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 St. Joe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Bruce R. Berkowitz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Fairholme Capital Management, L.L.C., 5966 South Dixie Highway, Suite 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South Miami, FL, 33143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(305) 358-3000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15,695,824.00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16,894,600.00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16,894,600.00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Bruce R. Berkowitz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1,909,967.00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15,695,824.00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1,909,967.00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16,894,600.00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18,804,567.00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Fairholme Funds,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15,695,824.00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15,695,824.00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15,695,824.00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St. Joe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130 RICHARD JACKSON BLVD, SUITE 200, PANAMA CITY BEACH, FLORIDA , 32407.</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The St. Joe Company (the "Issuer"). The address of the Issuer's offices is 130 Richard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Jackson Boulevard, Suite 200, Panama City Beach, Florida 32407. This Schedule 13D relates to the Issuer's Common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Stock (the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520"/>
        <w:spacing w:after="0" w:line="253" w:lineRule="auto"/>
        <w:rPr>
          <w:sz w:val="20"/>
          <w:szCs w:val="20"/>
          <w:color w:val="auto"/>
        </w:rPr>
      </w:pPr>
      <w:r>
        <w:rPr>
          <w:rFonts w:ascii="Times New Roman" w:cs="Times New Roman" w:eastAsia="Times New Roman" w:hAnsi="Times New Roman"/>
          <w:sz w:val="21"/>
          <w:szCs w:val="21"/>
          <w:color w:val="auto"/>
        </w:rPr>
        <w:t>(a-c, f) This Schedule 13D is being filed jointly by Fairholme Capital Management, L.L.C., a Delaware limited liability company ("Fairholme"), The Fairholme Fund, a series of Fairholme Funds, Inc., a Maryland investment</w:t>
      </w:r>
    </w:p>
    <w:p>
      <w:pPr>
        <w:spacing w:after="0" w:line="1" w:lineRule="exact"/>
        <w:rPr>
          <w:sz w:val="20"/>
          <w:szCs w:val="20"/>
          <w:color w:val="auto"/>
        </w:rPr>
      </w:pPr>
    </w:p>
    <w:p>
      <w:pPr>
        <w:ind w:left="920" w:right="6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(the "Fund") and Bruce R. Berkowitz, a United States citizen (collectively with Fairholme and the Fund, the "Reporting Persons"). The principal business address of the Reporting Persons is 5966 South Dixie Highway, Suite 300 South Miami, FL 33143. Bruce R. Berkowitz is the chief investment officer of Fairholme, an investment management firm that serves as the investment adviser to the Fund and other advisory accounts.</w:t>
      </w:r>
    </w:p>
    <w:p>
      <w:pPr>
        <w:spacing w:after="0" w:line="15" w:lineRule="exact"/>
        <w:rPr>
          <w:sz w:val="20"/>
          <w:szCs w:val="20"/>
          <w:color w:val="auto"/>
        </w:rPr>
      </w:pPr>
    </w:p>
    <w:p>
      <w:pPr>
        <w:ind w:left="920" w:right="4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has,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right="1820" w:firstLine="918"/>
        <w:spacing w:after="0" w:line="281" w:lineRule="auto"/>
        <w:rPr>
          <w:sz w:val="20"/>
          <w:szCs w:val="20"/>
          <w:color w:val="auto"/>
        </w:rPr>
      </w:pPr>
      <w:r>
        <w:rPr>
          <w:rFonts w:ascii="Times New Roman" w:cs="Times New Roman" w:eastAsia="Times New Roman" w:hAnsi="Times New Roman"/>
          <w:sz w:val="22"/>
          <w:szCs w:val="22"/>
          <w:color w:val="auto"/>
        </w:rPr>
        <w:t>No material changes from the Schedule 13D filed by the Reporting Persons on October 14, 2010. Item 4. Purpose of Transaction</w:t>
      </w:r>
    </w:p>
    <w:p>
      <w:pPr>
        <w:spacing w:after="0" w:line="2" w:lineRule="exact"/>
        <w:rPr>
          <w:sz w:val="20"/>
          <w:szCs w:val="20"/>
          <w:color w:val="auto"/>
        </w:rPr>
      </w:pPr>
    </w:p>
    <w:p>
      <w:pPr>
        <w:ind w:right="760" w:firstLine="918"/>
        <w:spacing w:after="0" w:line="281" w:lineRule="auto"/>
        <w:rPr>
          <w:sz w:val="20"/>
          <w:szCs w:val="20"/>
          <w:color w:val="auto"/>
        </w:rPr>
      </w:pPr>
      <w:r>
        <w:rPr>
          <w:rFonts w:ascii="Times New Roman" w:cs="Times New Roman" w:eastAsia="Times New Roman" w:hAnsi="Times New Roman"/>
          <w:sz w:val="22"/>
          <w:szCs w:val="22"/>
          <w:color w:val="auto"/>
        </w:rPr>
        <w:t>No material changes from the Schedule 13D amendment filed by the Reporting Persons on October 23, 2024. Item 5. Interest in Securities of the Issuer</w:t>
      </w:r>
    </w:p>
    <w:p>
      <w:pPr>
        <w:spacing w:after="0" w:line="2" w:lineRule="exact"/>
        <w:rPr>
          <w:sz w:val="20"/>
          <w:szCs w:val="20"/>
          <w:color w:val="auto"/>
        </w:rPr>
      </w:pPr>
    </w:p>
    <w:p>
      <w:pPr>
        <w:ind w:left="920" w:right="60" w:hanging="912"/>
        <w:spacing w:after="0" w:line="236"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 As of the date hereof, Fairholme may be deemed to be the beneficial owner of 16,894,600 Shares (29.4%) of the Issuer, the Fund may be deemed to be the beneficial owner of 15,695,824 Shares (27.3%) of the Issuer and Mr. Berkowitz may be deemed to be the beneficial owner of 18,804,567 Shares (32.8%) of the Issuer, based upon the 57,409,746 Shares outstanding as of April 27, 2026, according to the Form 10-Q filed by the Issuer on April 29,</w:t>
      </w:r>
    </w:p>
    <w:p>
      <w:pPr>
        <w:ind w:left="920" w:right="8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2026. Fairholme has the sole power to vote or direct the vote of 0 Shares, the Fund has the sole power to vote or direct the vote of 0 Shares and Bruce R. Berkowitz has the sole power to vote or direct the vote of 1,909,967 Shares to which this filing relates. Fairholme has the shared power to vote or direct the vote of 15,695,824 Shares, the Fund has the shared power to vote or direct the vote of 15,695,824 Shares and Mr. Berkowitz has the shared power to vote or direct the vote of 15,695,824 Shares to which this filing relates. Fairholme has the sole power to dispose or direct the disposition of 0 Shares, the Fund has the sole power to dispose or direct the disposition of 0 Shares and Mr. Berkowitz has the sole power to dispose or direct the disposition of 1,909,967 Shares to which this filing relates. Fairholme has the shared power to dispose or direct the disposition of 16,894,600 Shares, the Fund has the shared power to dispose or direct the disposition of 15,695,824 Shares and Mr. Berkowitz has the shared power to dispose or direct the disposition of 16,894,600 Shares to which this filing relates. The transactions effected in the Shares during the past 60 days are set forth in Exhibit B and each transaction was an open-market transaction. The Reporting</w:t>
      </w:r>
    </w:p>
    <w:p>
      <w:pPr>
        <w:sectPr>
          <w:pgSz w:w="11900" w:h="16838" w:orient="portrait"/>
          <w:cols w:equalWidth="0" w:num="1">
            <w:col w:w="11160"/>
          </w:cols>
          <w:pgMar w:left="360" w:top="112" w:right="379" w:bottom="0" w:gutter="0" w:footer="0" w:header="0"/>
        </w:sectPr>
      </w:pPr>
    </w:p>
    <w:bookmarkStart w:id="4" w:name="page5"/>
    <w:bookmarkEnd w:id="4"/>
    <w:p>
      <w:pPr>
        <w:ind w:left="920" w:right="880"/>
        <w:spacing w:after="0" w:line="256" w:lineRule="auto"/>
        <w:rPr>
          <w:sz w:val="20"/>
          <w:szCs w:val="20"/>
          <w:color w:val="auto"/>
        </w:rPr>
      </w:pPr>
      <w:r>
        <w:rPr>
          <w:rFonts w:ascii="Times New Roman" w:cs="Times New Roman" w:eastAsia="Times New Roman" w:hAnsi="Times New Roman"/>
          <w:sz w:val="22"/>
          <w:szCs w:val="22"/>
          <w:color w:val="auto"/>
        </w:rPr>
        <w:t>Persons specifically disclaim beneficial ownership in the Shares reported herein except to the extent of their pecuniary interest therein.</w:t>
      </w:r>
    </w:p>
    <w:p>
      <w:pPr>
        <w:spacing w:after="0" w:line="1" w:lineRule="exact"/>
        <w:rPr>
          <w:sz w:val="20"/>
          <w:szCs w:val="20"/>
          <w:color w:val="auto"/>
        </w:rPr>
      </w:pPr>
    </w:p>
    <w:p>
      <w:pPr>
        <w:ind w:left="920" w:right="1660" w:hanging="917"/>
        <w:spacing w:after="0" w:line="29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No material changes from the Schedule 13D filed by the Reporting Persons on April 26, 2017.</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Exhibit A - Joint Filing Statement Exhibit B - A description of the transactions in the Shares that were effected by the Reporting Persons during the 60 days prior to the date of this filing.</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Erica K. Kapahi</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Erica K. Kapahi, Chief Compliance Officer</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Bruce R. Berkowitz</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Erica K. Kapahi</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Erica K. Kapahi, (Attorney-in-fact)</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Fairholme Funds,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Erica K. Kapahi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Erica K. Kapahi, Chief Compliance Officer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13D/A dated May 7, 2026 relating to the Common Stock of The St. Joe Company shall be filed on behalf of the undersigned.</w:t>
      </w:r>
    </w:p>
    <w:p>
      <w:pPr>
        <w:spacing w:after="0" w:line="185"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22"/>
          <w:szCs w:val="22"/>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20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Erica K. Kapahi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Bruce R. Berkowitz</w:t>
      </w:r>
    </w:p>
    <w:p>
      <w:pPr>
        <w:spacing w:after="0" w:line="20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Erica K. Kapahi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(Attorney-in-fact)</w:t>
      </w:r>
    </w:p>
    <w:p>
      <w:pPr>
        <w:spacing w:after="0" w:line="3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Fairholme Funds, Inc.</w:t>
      </w:r>
    </w:p>
    <w:p>
      <w:pPr>
        <w:spacing w:after="0" w:line="2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Erica K. Kapahi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color w:val="auto"/>
        </w:rPr>
        <w:t>Chief Compliance Officer</w:t>
      </w:r>
    </w:p>
    <w:p>
      <w:pPr>
        <w:ind w:left="5280"/>
        <w:spacing w:after="0"/>
        <w:rPr>
          <w:sz w:val="20"/>
          <w:szCs w:val="20"/>
          <w:color w:val="auto"/>
        </w:rPr>
      </w:pPr>
      <w:r>
        <w:rPr>
          <w:rFonts w:ascii="Times New Roman" w:cs="Times New Roman" w:eastAsia="Times New Roman" w:hAnsi="Times New Roman"/>
          <w:sz w:val="22"/>
          <w:szCs w:val="22"/>
          <w:color w:val="auto"/>
        </w:rPr>
        <w:t>Fairholme Capital Management, L.L.C.</w:t>
      </w:r>
    </w:p>
    <w:p>
      <w:pPr>
        <w:sectPr>
          <w:pgSz w:w="11900" w:h="16838" w:orient="portrait"/>
          <w:cols w:equalWidth="0" w:num="1">
            <w:col w:w="11140"/>
          </w:cols>
          <w:pgMar w:left="320" w:top="11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9th day of April,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Fairholme Capital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Fairholme Holdings, LLC, Sole Member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31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Bruce R. Berkowitz, Controlling Person</w:t>
      </w:r>
    </w:p>
    <w:p>
      <w:pPr>
        <w:sectPr>
          <w:pgSz w:w="11900" w:h="16838" w:orient="portrait"/>
          <w:cols w:equalWidth="0" w:num="1">
            <w:col w:w="11240"/>
          </w:cols>
          <w:pgMar w:left="320" w:top="4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In Shares By Accounts Advised By Fairholme Capital Management, L.L.C.</w:t>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Date</w:t>
            </w:r>
          </w:p>
        </w:tc>
        <w:tc>
          <w:tcPr>
            <w:tcW w:w="2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Action</w:t>
            </w:r>
          </w:p>
        </w:tc>
        <w:tc>
          <w:tcPr>
            <w:tcW w:w="31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258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Price</w:t>
            </w:r>
          </w:p>
        </w:tc>
      </w:tr>
      <w:tr>
        <w:trPr>
          <w:trHeight w:val="237"/>
        </w:trPr>
        <w:tc>
          <w:tcPr>
            <w:tcW w:w="35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3/10/2026</w:t>
            </w:r>
          </w:p>
        </w:tc>
        <w:tc>
          <w:tcPr>
            <w:tcW w:w="20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SELL</w:t>
            </w:r>
          </w:p>
        </w:tc>
        <w:tc>
          <w:tcPr>
            <w:tcW w:w="3120" w:type="dxa"/>
            <w:vAlign w:val="bottom"/>
            <w:tcBorders>
              <w:bottom w:val="single" w:sz="8" w:color="auto"/>
              <w:right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rPr>
              <w:t>1,000</w:t>
            </w:r>
          </w:p>
        </w:tc>
        <w:tc>
          <w:tcPr>
            <w:tcW w:w="3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71.11</w:t>
            </w:r>
          </w:p>
        </w:tc>
      </w:tr>
      <w:tr>
        <w:trPr>
          <w:trHeight w:val="237"/>
        </w:trPr>
        <w:tc>
          <w:tcPr>
            <w:tcW w:w="35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3/17/2026</w:t>
            </w:r>
          </w:p>
        </w:tc>
        <w:tc>
          <w:tcPr>
            <w:tcW w:w="20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SELL</w:t>
            </w:r>
          </w:p>
        </w:tc>
        <w:tc>
          <w:tcPr>
            <w:tcW w:w="3120" w:type="dxa"/>
            <w:vAlign w:val="bottom"/>
            <w:tcBorders>
              <w:bottom w:val="single" w:sz="8" w:color="auto"/>
              <w:right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rPr>
              <w:t>21,100</w:t>
            </w:r>
          </w:p>
        </w:tc>
        <w:tc>
          <w:tcPr>
            <w:tcW w:w="3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72.22</w:t>
            </w:r>
          </w:p>
        </w:tc>
      </w:tr>
      <w:tr>
        <w:trPr>
          <w:trHeight w:val="236"/>
        </w:trPr>
        <w:tc>
          <w:tcPr>
            <w:tcW w:w="35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5/5/2026</w:t>
            </w:r>
          </w:p>
        </w:tc>
        <w:tc>
          <w:tcPr>
            <w:tcW w:w="20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SELL</w:t>
            </w:r>
          </w:p>
        </w:tc>
        <w:tc>
          <w:tcPr>
            <w:tcW w:w="3120" w:type="dxa"/>
            <w:vAlign w:val="bottom"/>
            <w:tcBorders>
              <w:bottom w:val="single" w:sz="8" w:color="auto"/>
              <w:right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rPr>
              <w:t>189,200</w:t>
            </w:r>
          </w:p>
        </w:tc>
        <w:tc>
          <w:tcPr>
            <w:tcW w:w="3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65.78</w:t>
            </w:r>
          </w:p>
        </w:tc>
      </w:tr>
      <w:tr>
        <w:trPr>
          <w:trHeight w:val="237"/>
        </w:trPr>
        <w:tc>
          <w:tcPr>
            <w:tcW w:w="35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5/6/2026</w:t>
            </w:r>
          </w:p>
        </w:tc>
        <w:tc>
          <w:tcPr>
            <w:tcW w:w="20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SELL</w:t>
            </w:r>
          </w:p>
        </w:tc>
        <w:tc>
          <w:tcPr>
            <w:tcW w:w="3120" w:type="dxa"/>
            <w:vAlign w:val="bottom"/>
            <w:tcBorders>
              <w:bottom w:val="single" w:sz="8" w:color="auto"/>
              <w:right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rPr>
              <w:t>163,600</w:t>
            </w:r>
          </w:p>
        </w:tc>
        <w:tc>
          <w:tcPr>
            <w:tcW w:w="3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65.78</w:t>
            </w:r>
          </w:p>
        </w:tc>
      </w:tr>
      <w:tr>
        <w:trPr>
          <w:trHeight w:val="237"/>
        </w:trPr>
        <w:tc>
          <w:tcPr>
            <w:tcW w:w="35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5/7/2026</w:t>
            </w:r>
          </w:p>
        </w:tc>
        <w:tc>
          <w:tcPr>
            <w:tcW w:w="20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SELL</w:t>
            </w:r>
          </w:p>
        </w:tc>
        <w:tc>
          <w:tcPr>
            <w:tcW w:w="3120" w:type="dxa"/>
            <w:vAlign w:val="bottom"/>
            <w:tcBorders>
              <w:bottom w:val="single" w:sz="8" w:color="auto"/>
              <w:right w:val="single" w:sz="8" w:color="auto"/>
            </w:tcBorders>
          </w:tcPr>
          <w:p>
            <w:pPr>
              <w:ind w:left="360"/>
              <w:spacing w:after="0" w:line="237" w:lineRule="exact"/>
              <w:rPr>
                <w:sz w:val="20"/>
                <w:szCs w:val="20"/>
                <w:color w:val="auto"/>
              </w:rPr>
            </w:pPr>
            <w:r>
              <w:rPr>
                <w:rFonts w:ascii="Times New Roman" w:cs="Times New Roman" w:eastAsia="Times New Roman" w:hAnsi="Times New Roman"/>
                <w:sz w:val="22"/>
                <w:szCs w:val="22"/>
                <w:color w:val="auto"/>
              </w:rPr>
              <w:t>52,800</w:t>
            </w:r>
          </w:p>
        </w:tc>
        <w:tc>
          <w:tcPr>
            <w:tcW w:w="3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65.33</w:t>
            </w:r>
          </w:p>
        </w:tc>
      </w:tr>
      <w:tr>
        <w:trPr>
          <w:trHeight w:val="209"/>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r>
      <w:tr>
        <w:trPr>
          <w:trHeight w:val="209"/>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r>
      <w:tr>
        <w:trPr>
          <w:trHeight w:val="209"/>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2026-05-07T20:04:03Z</dcterms:created>
  <dcterms:modified xsi:type="dcterms:W3CDTF">2026-05-07T20:04:03Z</dcterms:modified>
</cp:coreProperties>
</file>