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00"/>
        <w:ind w:left="0" w:right="0" w:hanging="0"/>
        <w:rPr/>
      </w:pPr>
      <w:hyperlink w:anchor="TOC">
        <w:bookmarkStart w:id="0" w:name="joe-20230331x10q.htm"/>
        <w:bookmarkStart w:id="1" w:name="ksjoe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240"/>
        <w:ind w:left="0" w:right="0" w:hanging="0"/>
        <w:jc w:val="center"/>
        <w:rPr/>
      </w:pPr>
      <w:r>
        <w:rPr/>
        <w:t>​</w:t>
      </w:r>
    </w:p>
    <w:p>
      <w:pPr>
        <w:pStyle w:val="TextBody"/>
        <w:spacing w:before="0" w:after="240"/>
        <w:ind w:left="0" w:right="0" w:hanging="0"/>
        <w:jc w:val="center"/>
        <w:rPr/>
      </w:pPr>
      <w:bookmarkStart w:id="2" w:name="_Hlk101170007"/>
      <w:bookmarkStart w:id="3" w:name="_c246e8c6_c6fb_42a2_b562_13b571ef2e14"/>
      <w:bookmarkEnd w:id="2"/>
      <w:bookmarkEnd w:id="3"/>
      <w:r>
        <w:rPr/>
        <w:t>​</w:t>
      </w:r>
    </w:p>
    <w:p>
      <w:pPr>
        <w:pStyle w:val="TextBody"/>
        <w:spacing w:before="0" w:after="0"/>
        <w:ind w:left="0" w:right="0" w:hanging="0"/>
        <w:jc w:val="center"/>
        <w:rPr>
          <w:rFonts w:ascii="Times New Roman;Times;serif" w:hAnsi="Times New Roman;Times;serif"/>
          <w:b/>
          <w:sz w:val="27"/>
        </w:rPr>
      </w:pPr>
      <w:r>
        <w:rPr>
          <w:rFonts w:ascii="Times New Roman;Times;serif" w:hAnsi="Times New Roman;Times;serif"/>
          <w:b/>
          <w:sz w:val="27"/>
        </w:rPr>
        <w:t>UNITED STATES</w:t>
      </w:r>
    </w:p>
    <w:p>
      <w:pPr>
        <w:pStyle w:val="TextBody"/>
        <w:spacing w:before="0" w:after="0"/>
        <w:ind w:left="0" w:right="0" w:hanging="0"/>
        <w:jc w:val="center"/>
        <w:rPr>
          <w:rFonts w:ascii="Times New Roman;Times;serif" w:hAnsi="Times New Roman;Times;serif"/>
          <w:b/>
          <w:sz w:val="27"/>
        </w:rPr>
      </w:pPr>
      <w:r>
        <w:rPr>
          <w:rFonts w:ascii="Times New Roman;Times;serif" w:hAnsi="Times New Roman;Times;serif"/>
          <w:b/>
          <w:sz w:val="27"/>
        </w:rPr>
        <w:t>SECURITIES AND EXCHANGE COMMISSION</w:t>
      </w:r>
    </w:p>
    <w:p>
      <w:pPr>
        <w:pStyle w:val="TextBody"/>
        <w:spacing w:before="0" w:after="0"/>
        <w:ind w:left="0" w:right="0" w:hanging="0"/>
        <w:jc w:val="center"/>
        <w:rPr>
          <w:rFonts w:ascii="Times New Roman;Times;serif" w:hAnsi="Times New Roman;Times;serif"/>
          <w:b/>
          <w:sz w:val="23"/>
        </w:rPr>
      </w:pPr>
      <w:r>
        <w:rPr>
          <w:rFonts w:ascii="Times New Roman;Times;serif" w:hAnsi="Times New Roman;Times;serif"/>
          <w:b/>
          <w:sz w:val="23"/>
        </w:rPr>
        <w:t>Washington, D.C. 20549</w:t>
      </w:r>
    </w:p>
    <w:p>
      <w:pPr>
        <w:pStyle w:val="TextBody"/>
        <w:spacing w:lineRule="atLeast" w:line="141" w:before="0" w:after="240"/>
        <w:ind w:left="0" w:right="0" w:hanging="0"/>
        <w:jc w:val="center"/>
        <w:rPr/>
      </w:pPr>
      <w:r>
        <w:rPr/>
        <w:t>​</w:t>
      </w:r>
    </w:p>
    <w:p>
      <w:pPr>
        <w:pStyle w:val="TextBody"/>
        <w:spacing w:lineRule="atLeast" w:line="141"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spacing w:lineRule="atLeast" w:line="141" w:before="0" w:after="240"/>
        <w:ind w:left="0" w:right="0" w:hanging="0"/>
        <w:jc w:val="center"/>
        <w:rPr/>
      </w:pPr>
      <w:r>
        <w:rPr/>
        <w:t>​</w:t>
      </w:r>
    </w:p>
    <w:p>
      <w:pPr>
        <w:pStyle w:val="TextBody"/>
        <w:spacing w:before="0" w:after="0"/>
        <w:ind w:left="0" w:right="0" w:hanging="0"/>
        <w:rPr>
          <w:rFonts w:ascii="Times New Roman;Times;serif" w:hAnsi="Times New Roman;Times;serif"/>
          <w:b/>
          <w:sz w:val="19"/>
        </w:rPr>
      </w:pPr>
      <w:r>
        <w:rPr>
          <w:rFonts w:ascii="Times New Roman;Times;serif" w:hAnsi="Times New Roman;Times;serif"/>
          <w:b/>
          <w:sz w:val="19"/>
        </w:rPr>
        <w:t>(Mark One)</w:t>
      </w:r>
    </w:p>
    <w:p>
      <w:pPr>
        <w:pStyle w:val="TextBody"/>
        <w:spacing w:lineRule="atLeast" w:line="141" w:before="0" w:after="240"/>
        <w:ind w:left="0" w:right="0" w:hanging="0"/>
        <w:rPr/>
      </w:pPr>
      <w:r>
        <w:rPr/>
        <w:t>​</w:t>
      </w:r>
    </w:p>
    <w:p>
      <w:pPr>
        <w:pStyle w:val="Normal"/>
        <w:spacing w:before="0" w:after="0"/>
        <w:rPr>
          <w:sz w:val="4"/>
          <w:szCs w:val="4"/>
        </w:rPr>
      </w:pPr>
      <w:r>
        <w:rPr>
          <w:sz w:val="4"/>
          <w:szCs w:val="4"/>
        </w:rPr>
      </w:r>
      <w:bookmarkStart w:id="4" w:name="Tc_T7ujUuVZvUSeC-f1CjUbSA_1_1"/>
      <w:bookmarkStart w:id="5" w:name="_2e05c158_b9a6_4024_b006_514d9198d468"/>
      <w:bookmarkStart w:id="6" w:name="Tc_T7ujUuVZvUSeC-f1CjUbSA_1_1"/>
      <w:bookmarkStart w:id="7" w:name="_2e05c158_b9a6_4024_b006_514d9198d468"/>
      <w:bookmarkEnd w:id="6"/>
      <w:bookmarkEnd w:id="7"/>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lineRule="atLeast" w:line="141" w:before="0" w:after="0"/>
              <w:ind w:left="0" w:right="0" w:hanging="0"/>
              <w:rPr/>
            </w:pPr>
            <w:r>
              <w:rPr/>
              <w:t>​</w:t>
            </w:r>
          </w:p>
        </w:tc>
        <w:tc>
          <w:tcPr>
            <w:tcW w:w="9874" w:type="dxa"/>
            <w:tcBorders/>
            <w:shd w:fill="auto" w:val="clear"/>
            <w:vAlign w:val="center"/>
          </w:tcPr>
          <w:p>
            <w:pPr>
              <w:pStyle w:val="TableContents"/>
              <w:spacing w:lineRule="atLeast" w:line="141"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23"/>
              </w:rPr>
            </w:pPr>
            <w:r>
              <w:rPr>
                <w:rFonts w:ascii="Times New Roman;Times;serif" w:hAnsi="Times New Roman;Times;serif"/>
                <w:b/>
                <w:sz w:val="23"/>
              </w:rPr>
              <w:t>QUARTERLY REPORT PURSUANT TO SECTION 13 OR 15(d) OF THE SECURITIES EXCHANGE ACT OF 1934</w:t>
            </w:r>
          </w:p>
        </w:tc>
      </w:tr>
    </w:tbl>
    <w:p>
      <w:pPr>
        <w:pStyle w:val="TextBody"/>
        <w:spacing w:lineRule="atLeast" w:line="141" w:before="0" w:after="0"/>
        <w:ind w:left="0" w:right="0" w:hanging="0"/>
        <w:rPr/>
      </w:pPr>
      <w:r>
        <w:rPr/>
        <w:t>​</w:t>
      </w:r>
    </w:p>
    <w:p>
      <w:pPr>
        <w:pStyle w:val="TextBody"/>
        <w:spacing w:before="0" w:after="0"/>
        <w:ind w:left="0" w:right="0" w:hanging="0"/>
        <w:jc w:val="center"/>
        <w:rPr>
          <w:rFonts w:ascii="Times New Roman;Times;serif" w:hAnsi="Times New Roman;Times;serif"/>
          <w:b/>
          <w:sz w:val="19"/>
        </w:rPr>
      </w:pPr>
      <w:r>
        <w:rPr>
          <w:rFonts w:ascii="Times New Roman;Times;serif" w:hAnsi="Times New Roman;Times;serif"/>
          <w:b/>
          <w:sz w:val="19"/>
        </w:rPr>
        <w:t>For the quarterly period ended March 31, 2023</w:t>
      </w:r>
    </w:p>
    <w:p>
      <w:pPr>
        <w:pStyle w:val="TextBody"/>
        <w:spacing w:lineRule="atLeast" w:line="141"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lineRule="atLeast" w:line="141" w:before="0" w:after="240"/>
        <w:ind w:left="0" w:right="0" w:hanging="0"/>
        <w:jc w:val="center"/>
        <w:rPr/>
      </w:pPr>
      <w:r>
        <w:rPr/>
        <w:t>​</w:t>
      </w:r>
    </w:p>
    <w:p>
      <w:pPr>
        <w:pStyle w:val="Normal"/>
        <w:spacing w:before="0" w:after="0"/>
        <w:rPr>
          <w:sz w:val="4"/>
          <w:szCs w:val="4"/>
        </w:rPr>
      </w:pPr>
      <w:r>
        <w:rPr>
          <w:sz w:val="4"/>
          <w:szCs w:val="4"/>
        </w:rPr>
      </w:r>
      <w:bookmarkStart w:id="8" w:name="Tc_12_jzAGEPE-KE0VXZQuBVg_1_1"/>
      <w:bookmarkStart w:id="9" w:name="_e2fb3093_afa6_4fcc_947e_dbd92ca82cdd"/>
      <w:bookmarkStart w:id="10" w:name="Tc_12_jzAGEPE-KE0VXZQuBVg_1_1"/>
      <w:bookmarkStart w:id="11" w:name="_e2fb3093_afa6_4fcc_947e_dbd92ca82cdd"/>
      <w:bookmarkEnd w:id="10"/>
      <w:bookmarkEnd w:id="11"/>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lineRule="atLeast" w:line="141" w:before="0" w:after="0"/>
              <w:ind w:left="0" w:right="0" w:hanging="0"/>
              <w:rPr/>
            </w:pPr>
            <w:r>
              <w:rPr/>
              <w:t>​</w:t>
            </w:r>
          </w:p>
        </w:tc>
        <w:tc>
          <w:tcPr>
            <w:tcW w:w="9874" w:type="dxa"/>
            <w:tcBorders/>
            <w:shd w:fill="auto" w:val="clear"/>
            <w:vAlign w:val="center"/>
          </w:tcPr>
          <w:p>
            <w:pPr>
              <w:pStyle w:val="TableContents"/>
              <w:spacing w:lineRule="atLeast" w:line="141"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23"/>
              </w:rPr>
            </w:pPr>
            <w:r>
              <w:rPr>
                <w:rFonts w:ascii="Times New Roman;Times;serif" w:hAnsi="Times New Roman;Times;serif"/>
                <w:b/>
                <w:sz w:val="23"/>
              </w:rPr>
              <w:t>TRANSITION REPORT PURSUANT TO SECTION 13 OR 15(d) OF THE SECURITIES EXCHANGE ACT OF 1934</w:t>
            </w:r>
          </w:p>
        </w:tc>
      </w:tr>
    </w:tbl>
    <w:p>
      <w:pPr>
        <w:pStyle w:val="TextBody"/>
        <w:spacing w:lineRule="atLeast" w:line="141" w:before="0" w:after="0"/>
        <w:ind w:left="0" w:right="0" w:hanging="0"/>
        <w:rPr/>
      </w:pPr>
      <w:r>
        <w:rPr/>
        <w:t>​</w:t>
      </w:r>
    </w:p>
    <w:p>
      <w:pPr>
        <w:pStyle w:val="TextBody"/>
        <w:spacing w:before="0" w:after="0"/>
        <w:ind w:left="0" w:right="0" w:hanging="0"/>
        <w:jc w:val="center"/>
        <w:rPr>
          <w:rFonts w:ascii="Times New Roman;Times;serif" w:hAnsi="Times New Roman;Times;serif"/>
          <w:b/>
          <w:sz w:val="19"/>
        </w:rPr>
      </w:pPr>
      <w:r>
        <w:rPr>
          <w:rFonts w:ascii="Times New Roman;Times;serif" w:hAnsi="Times New Roman;Times;serif"/>
          <w:b/>
          <w:sz w:val="19"/>
        </w:rPr>
        <w:t>For the transition period from                      to                     .</w:t>
      </w:r>
    </w:p>
    <w:p>
      <w:pPr>
        <w:pStyle w:val="TextBody"/>
        <w:spacing w:lineRule="atLeast" w:line="141"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19"/>
        </w:rPr>
      </w:pPr>
      <w:r>
        <w:rPr>
          <w:rFonts w:ascii="Times New Roman;Times;serif" w:hAnsi="Times New Roman;Times;serif"/>
          <w:b/>
          <w:sz w:val="19"/>
        </w:rPr>
        <w:t>Commission file number: 1-10466</w:t>
      </w:r>
    </w:p>
    <w:p>
      <w:pPr>
        <w:pStyle w:val="TextBody"/>
        <w:spacing w:lineRule="atLeast" w:line="141" w:before="0" w:after="240"/>
        <w:ind w:left="0" w:right="0" w:hanging="0"/>
        <w:jc w:val="center"/>
        <w:rPr/>
      </w:pPr>
      <w:r>
        <w:rPr/>
        <w:t>​</w:t>
      </w:r>
    </w:p>
    <w:p>
      <w:pPr>
        <w:pStyle w:val="TextBody"/>
        <w:spacing w:lineRule="atLeast" w:line="141"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31"/>
        </w:rPr>
      </w:pPr>
      <w:r>
        <w:rPr>
          <w:rFonts w:ascii="Times New Roman;Times;serif" w:hAnsi="Times New Roman;Times;serif"/>
          <w:b/>
          <w:sz w:val="31"/>
        </w:rPr>
        <w:t>The St. Joe Company</w:t>
      </w:r>
    </w:p>
    <w:p>
      <w:pPr>
        <w:pStyle w:val="TextBody"/>
        <w:spacing w:before="0" w:after="0"/>
        <w:ind w:left="0" w:right="0" w:hanging="0"/>
        <w:jc w:val="center"/>
        <w:rPr>
          <w:rFonts w:ascii="Times New Roman;Times;serif" w:hAnsi="Times New Roman;Times;serif"/>
          <w:b/>
          <w:sz w:val="19"/>
        </w:rPr>
      </w:pPr>
      <w:r>
        <w:rPr>
          <w:rFonts w:ascii="Times New Roman;Times;serif" w:hAnsi="Times New Roman;Times;serif"/>
          <w:b/>
          <w:sz w:val="19"/>
        </w:rPr>
        <w:t>(Exact name of registrant as specified in its charter)</w:t>
      </w:r>
    </w:p>
    <w:p>
      <w:pPr>
        <w:pStyle w:val="TextBody"/>
        <w:spacing w:lineRule="atLeast" w:line="141" w:before="0" w:after="240"/>
        <w:ind w:left="0" w:right="0" w:hanging="0"/>
        <w:jc w:val="center"/>
        <w:rPr/>
      </w:pPr>
      <w:r>
        <w:rPr/>
        <w:t>​</w:t>
      </w:r>
    </w:p>
    <w:p>
      <w:pPr>
        <w:pStyle w:val="TextBody"/>
        <w:spacing w:lineRule="atLeast" w:line="141" w:before="0" w:after="240"/>
        <w:ind w:left="0" w:right="0" w:hanging="0"/>
        <w:jc w:val="center"/>
        <w:rPr/>
      </w:pPr>
      <w:r>
        <w:rPr/>
        <w:t>​</w:t>
      </w:r>
    </w:p>
    <w:p>
      <w:pPr>
        <w:pStyle w:val="Normal"/>
        <w:spacing w:before="0" w:after="0"/>
        <w:rPr>
          <w:sz w:val="4"/>
          <w:szCs w:val="4"/>
        </w:rPr>
      </w:pPr>
      <w:r>
        <w:rPr>
          <w:sz w:val="4"/>
          <w:szCs w:val="4"/>
        </w:rPr>
      </w:r>
      <w:bookmarkStart w:id="12" w:name="Tc_2IeyzbL76EKMi0QB_tjgVQ_7_1"/>
      <w:bookmarkStart w:id="13" w:name="Tc_uw0Tadjv5Ei3RMfFn-Rznw_7_0"/>
      <w:bookmarkStart w:id="14" w:name="Tc_TQmMeXCYCkCf-K0SQNC8mA_6_0"/>
      <w:bookmarkStart w:id="15" w:name="Tc_5fNRTtDYVkebfo-jNDO7Ug_5_0"/>
      <w:bookmarkStart w:id="16" w:name="Tc_GEuhT1nQL0OrJ92Mkd7rzw_3_1"/>
      <w:bookmarkStart w:id="17" w:name="Tc_crLUpoVt20-PYJPoYtbwew_3_0"/>
      <w:bookmarkStart w:id="18" w:name="Tc__BZ0G50DHEidMfyCsZRukg_2_1"/>
      <w:bookmarkStart w:id="19" w:name="Tc_ca8ZkLCA306HyaBeXAcGEQ_2_0"/>
      <w:bookmarkStart w:id="20" w:name="_a76589f9_9278_4ce8_9350_52d52f841b4d"/>
      <w:bookmarkStart w:id="21" w:name="Tc_2IeyzbL76EKMi0QB_tjgVQ_7_1"/>
      <w:bookmarkStart w:id="22" w:name="Tc_uw0Tadjv5Ei3RMfFn-Rznw_7_0"/>
      <w:bookmarkStart w:id="23" w:name="Tc_TQmMeXCYCkCf-K0SQNC8mA_6_0"/>
      <w:bookmarkStart w:id="24" w:name="Tc_5fNRTtDYVkebfo-jNDO7Ug_5_0"/>
      <w:bookmarkStart w:id="25" w:name="Tc_GEuhT1nQL0OrJ92Mkd7rzw_3_1"/>
      <w:bookmarkStart w:id="26" w:name="Tc_crLUpoVt20-PYJPoYtbwew_3_0"/>
      <w:bookmarkStart w:id="27" w:name="Tc__BZ0G50DHEidMfyCsZRukg_2_1"/>
      <w:bookmarkStart w:id="28" w:name="Tc_ca8ZkLCA306HyaBeXAcGEQ_2_0"/>
      <w:bookmarkStart w:id="29" w:name="_a76589f9_9278_4ce8_9350_52d52f841b4d"/>
      <w:bookmarkEnd w:id="21"/>
      <w:bookmarkEnd w:id="22"/>
      <w:bookmarkEnd w:id="23"/>
      <w:bookmarkEnd w:id="24"/>
      <w:bookmarkEnd w:id="25"/>
      <w:bookmarkEnd w:id="26"/>
      <w:bookmarkEnd w:id="27"/>
      <w:bookmarkEnd w:id="28"/>
      <w:bookmarkEnd w:id="29"/>
    </w:p>
    <w:tbl>
      <w:tblPr>
        <w:tblW w:w="5402" w:type="dxa"/>
        <w:jc w:val="left"/>
        <w:tblInd w:w="0" w:type="dxa"/>
        <w:tblCellMar>
          <w:top w:w="0" w:type="dxa"/>
          <w:left w:w="0" w:type="dxa"/>
          <w:bottom w:w="0" w:type="dxa"/>
          <w:right w:w="0" w:type="dxa"/>
        </w:tblCellMar>
      </w:tblPr>
      <w:tblGrid>
        <w:gridCol w:w="3721"/>
        <w:gridCol w:w="1681"/>
      </w:tblGrid>
      <w:tr>
        <w:trPr/>
        <w:tc>
          <w:tcPr>
            <w:tcW w:w="3721" w:type="dxa"/>
            <w:tcBorders/>
            <w:shd w:fill="auto" w:val="clear"/>
            <w:vAlign w:val="center"/>
          </w:tcPr>
          <w:p>
            <w:pPr>
              <w:pStyle w:val="TableContents"/>
              <w:spacing w:lineRule="atLeast" w:line="141" w:before="0" w:after="0"/>
              <w:ind w:left="0" w:right="0" w:hanging="0"/>
              <w:rPr/>
            </w:pPr>
            <w:r>
              <w:rPr/>
              <w:t>​</w:t>
            </w:r>
          </w:p>
        </w:tc>
        <w:tc>
          <w:tcPr>
            <w:tcW w:w="1681" w:type="dxa"/>
            <w:tcBorders/>
            <w:shd w:fill="auto" w:val="clear"/>
            <w:vAlign w:val="center"/>
          </w:tcPr>
          <w:p>
            <w:pPr>
              <w:pStyle w:val="TableContents"/>
              <w:spacing w:lineRule="atLeast" w:line="141" w:before="0" w:after="0"/>
              <w:ind w:left="0" w:right="0" w:hanging="0"/>
              <w:rPr/>
            </w:pPr>
            <w:r>
              <w:rPr/>
              <w:t>​</w:t>
            </w:r>
          </w:p>
        </w:tc>
      </w:tr>
      <w:tr>
        <w:trPr/>
        <w:tc>
          <w:tcPr>
            <w:tcW w:w="372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Florida</w:t>
            </w:r>
          </w:p>
        </w:tc>
        <w:tc>
          <w:tcPr>
            <w:tcW w:w="168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59-0432511</w:t>
            </w:r>
          </w:p>
        </w:tc>
      </w:tr>
      <w:tr>
        <w:trPr/>
        <w:tc>
          <w:tcPr>
            <w:tcW w:w="372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(State or other jurisdiction of</w:t>
            </w:r>
          </w:p>
        </w:tc>
        <w:tc>
          <w:tcPr>
            <w:tcW w:w="168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(I.R.S. Employer</w:t>
            </w:r>
          </w:p>
        </w:tc>
      </w:tr>
      <w:tr>
        <w:trPr/>
        <w:tc>
          <w:tcPr>
            <w:tcW w:w="372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incorporation or organization)</w:t>
            </w:r>
          </w:p>
        </w:tc>
        <w:tc>
          <w:tcPr>
            <w:tcW w:w="168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Identification No.)</w:t>
            </w:r>
          </w:p>
        </w:tc>
      </w:tr>
      <w:tr>
        <w:trPr/>
        <w:tc>
          <w:tcPr>
            <w:tcW w:w="3721" w:type="dxa"/>
            <w:tcBorders/>
            <w:shd w:fill="auto" w:val="clear"/>
            <w:vAlign w:val="center"/>
          </w:tcPr>
          <w:p>
            <w:pPr>
              <w:pStyle w:val="TableContents"/>
              <w:spacing w:lineRule="atLeast" w:line="141" w:before="0" w:after="0"/>
              <w:ind w:left="0" w:right="0" w:hanging="0"/>
              <w:jc w:val="center"/>
              <w:rPr/>
            </w:pPr>
            <w:r>
              <w:rPr/>
              <w:t>​</w:t>
            </w:r>
          </w:p>
        </w:tc>
        <w:tc>
          <w:tcPr>
            <w:tcW w:w="1681" w:type="dxa"/>
            <w:tcBorders/>
            <w:shd w:fill="auto" w:val="clear"/>
            <w:vAlign w:val="center"/>
          </w:tcPr>
          <w:p>
            <w:pPr>
              <w:pStyle w:val="TableContents"/>
              <w:spacing w:lineRule="atLeast" w:line="141" w:before="0" w:after="0"/>
              <w:ind w:left="0" w:right="0" w:hanging="0"/>
              <w:jc w:val="center"/>
              <w:rPr/>
            </w:pPr>
            <w:r>
              <w:rPr/>
              <w:t>​</w:t>
            </w:r>
          </w:p>
        </w:tc>
      </w:tr>
      <w:tr>
        <w:trPr/>
        <w:tc>
          <w:tcPr>
            <w:tcW w:w="372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130 Richard Jackson Boulevard, Suite 200</w:t>
            </w:r>
          </w:p>
        </w:tc>
        <w:tc>
          <w:tcPr>
            <w:tcW w:w="1681" w:type="dxa"/>
            <w:tcBorders/>
            <w:shd w:fill="auto" w:val="clear"/>
            <w:vAlign w:val="center"/>
          </w:tcPr>
          <w:p>
            <w:pPr>
              <w:pStyle w:val="TableContents"/>
              <w:spacing w:before="0" w:after="240"/>
              <w:ind w:left="0" w:right="0" w:hanging="0"/>
              <w:jc w:val="center"/>
              <w:rPr/>
            </w:pPr>
            <w:r>
              <w:rPr/>
              <w:t>​</w:t>
            </w:r>
          </w:p>
        </w:tc>
      </w:tr>
      <w:tr>
        <w:trPr/>
        <w:tc>
          <w:tcPr>
            <w:tcW w:w="372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Panama City Beach, Florida</w:t>
            </w:r>
          </w:p>
        </w:tc>
        <w:tc>
          <w:tcPr>
            <w:tcW w:w="168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32407</w:t>
            </w:r>
          </w:p>
        </w:tc>
      </w:tr>
      <w:tr>
        <w:trPr/>
        <w:tc>
          <w:tcPr>
            <w:tcW w:w="372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(Address of principal executive offices)</w:t>
            </w:r>
          </w:p>
        </w:tc>
        <w:tc>
          <w:tcPr>
            <w:tcW w:w="1681" w:type="dxa"/>
            <w:tcBorders/>
            <w:shd w:fill="auto" w:val="clear"/>
            <w:vAlign w:val="center"/>
          </w:tcPr>
          <w:p>
            <w:pPr>
              <w:pStyle w:val="TableContents"/>
              <w:spacing w:before="0" w:after="0"/>
              <w:ind w:left="0" w:right="0" w:hanging="0"/>
              <w:jc w:val="center"/>
              <w:rPr>
                <w:rFonts w:ascii="Times New Roman;Times;serif" w:hAnsi="Times New Roman;Times;serif"/>
                <w:b/>
                <w:sz w:val="19"/>
              </w:rPr>
            </w:pPr>
            <w:r>
              <w:rPr>
                <w:rFonts w:ascii="Times New Roman;Times;serif" w:hAnsi="Times New Roman;Times;serif"/>
                <w:b/>
                <w:sz w:val="19"/>
              </w:rPr>
              <w:t>(Zip Code)</w:t>
            </w:r>
          </w:p>
        </w:tc>
      </w:tr>
    </w:tbl>
    <w:p>
      <w:pPr>
        <w:pStyle w:val="TextBody"/>
        <w:spacing w:lineRule="atLeast" w:line="141"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(850) 231-6400</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spacing w:before="0" w:after="8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Normal"/>
        <w:spacing w:before="0" w:after="0"/>
        <w:rPr>
          <w:sz w:val="4"/>
          <w:szCs w:val="4"/>
        </w:rPr>
      </w:pPr>
      <w:r>
        <w:rPr>
          <w:sz w:val="4"/>
          <w:szCs w:val="4"/>
        </w:rPr>
      </w:r>
      <w:bookmarkStart w:id="30" w:name="Tc_7d_1d6D0yk-yvd19fv5bnA_2_0"/>
      <w:bookmarkStart w:id="31" w:name="Tc_Qxbh7ub5yEq_ElXZECfq-w_1_4"/>
      <w:bookmarkStart w:id="32" w:name="Tc_22ssVABhdECAktuk192ROA_1_2"/>
      <w:bookmarkStart w:id="33" w:name="Tc_HtlirGx1OEeoaXVp38i5Aw_1_0"/>
      <w:bookmarkStart w:id="34" w:name="_67f532ac_ab19_41ec_9bed_d6e4b7dd558f"/>
      <w:bookmarkStart w:id="35" w:name="Tc_7d_1d6D0yk-yvd19fv5bnA_2_0"/>
      <w:bookmarkStart w:id="36" w:name="Tc_Qxbh7ub5yEq_ElXZECfq-w_1_4"/>
      <w:bookmarkStart w:id="37" w:name="Tc_22ssVABhdECAktuk192ROA_1_2"/>
      <w:bookmarkStart w:id="38" w:name="Tc_HtlirGx1OEeoaXVp38i5Aw_1_0"/>
      <w:bookmarkStart w:id="39" w:name="_67f532ac_ab19_41ec_9bed_d6e4b7dd558f"/>
      <w:bookmarkEnd w:id="35"/>
      <w:bookmarkEnd w:id="36"/>
      <w:bookmarkEnd w:id="37"/>
      <w:bookmarkEnd w:id="38"/>
      <w:bookmarkEnd w:id="39"/>
    </w:p>
    <w:tbl>
      <w:tblPr>
        <w:tblW w:w="6926" w:type="dxa"/>
        <w:jc w:val="left"/>
        <w:tblInd w:w="0" w:type="dxa"/>
        <w:tblCellMar>
          <w:top w:w="0" w:type="dxa"/>
          <w:left w:w="0" w:type="dxa"/>
          <w:bottom w:w="0" w:type="dxa"/>
          <w:right w:w="0" w:type="dxa"/>
        </w:tblCellMar>
      </w:tblPr>
      <w:tblGrid>
        <w:gridCol w:w="2191"/>
        <w:gridCol w:w="109"/>
        <w:gridCol w:w="1456"/>
        <w:gridCol w:w="109"/>
        <w:gridCol w:w="3061"/>
      </w:tblGrid>
      <w:tr>
        <w:trPr/>
        <w:tc>
          <w:tcPr>
            <w:tcW w:w="21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061" w:type="dxa"/>
            <w:tcBorders/>
            <w:shd w:fill="auto" w:val="clear"/>
            <w:vAlign w:val="center"/>
          </w:tcPr>
          <w:p>
            <w:pPr>
              <w:pStyle w:val="TableContents"/>
              <w:spacing w:before="0" w:after="283"/>
              <w:ind w:left="0" w:right="0" w:hanging="0"/>
              <w:rPr>
                <w:sz w:val="4"/>
                <w:szCs w:val="4"/>
              </w:rPr>
            </w:pPr>
            <w:r>
              <w:rPr>
                <w:sz w:val="4"/>
                <w:szCs w:val="4"/>
              </w:rPr>
            </w:r>
          </w:p>
        </w:tc>
      </w:tr>
      <w:tr>
        <w:trPr/>
        <w:tc>
          <w:tcPr>
            <w:tcW w:w="21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shd w:fill="auto" w:val="clear"/>
            <w:vAlign w:val="center"/>
          </w:tcPr>
          <w:p>
            <w:pPr>
              <w:pStyle w:val="TableContents"/>
              <w:spacing w:before="0" w:after="240"/>
              <w:ind w:left="0" w:right="0" w:hanging="0"/>
              <w:rPr/>
            </w:pPr>
            <w:r>
              <w:rPr/>
              <w:t>​</w:t>
            </w:r>
          </w:p>
        </w:tc>
        <w:tc>
          <w:tcPr>
            <w:tcW w:w="14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bottom w:val="single" w:sz="2" w:space="0" w:color="000000"/>
            </w:tcBorders>
            <w:shd w:fill="auto" w:val="clear"/>
            <w:tcMar>
              <w:bottom w:w="28" w:type="dxa"/>
            </w:tcMar>
            <w:vAlign w:val="center"/>
          </w:tcPr>
          <w:p>
            <w:pPr>
              <w:pStyle w:val="TableContents"/>
              <w:spacing w:before="0" w:after="240"/>
              <w:ind w:left="0" w:right="0" w:hanging="0"/>
              <w:rPr/>
            </w:pPr>
            <w:r>
              <w:rPr/>
              <w:t>​</w:t>
            </w:r>
          </w:p>
        </w:tc>
        <w:tc>
          <w:tcPr>
            <w:tcW w:w="30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219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4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109" w:type="dxa"/>
            <w:tcBorders/>
            <w:shd w:fill="auto" w:val="clear"/>
            <w:vAlign w:val="center"/>
          </w:tcPr>
          <w:p>
            <w:pPr>
              <w:pStyle w:val="TableContents"/>
              <w:spacing w:before="0" w:after="240"/>
              <w:ind w:left="0" w:right="0" w:hanging="0"/>
              <w:rPr/>
            </w:pPr>
            <w:r>
              <w:rPr/>
              <w:t>​</w:t>
            </w:r>
          </w:p>
        </w:tc>
        <w:tc>
          <w:tcPr>
            <w:tcW w:w="145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40"/>
              <w:ind w:left="0" w:right="0" w:hanging="0"/>
              <w:jc w:val="center"/>
              <w:rPr>
                <w:rFonts w:ascii="Times New Roman;Times;serif" w:hAnsi="Times New Roman;Times;serif"/>
                <w:sz w:val="20"/>
              </w:rPr>
            </w:pPr>
            <w:r>
              <w:rPr>
                <w:rFonts w:ascii="Times New Roman;Times;serif" w:hAnsi="Times New Roman;Times;serif"/>
                <w:sz w:val="20"/>
              </w:rPr>
              <w:t>JOE</w:t>
            </w:r>
          </w:p>
        </w:tc>
        <w:tc>
          <w:tcPr>
            <w:tcW w:w="109" w:type="dxa"/>
            <w:tcBorders>
              <w:bottom w:val="single" w:sz="2" w:space="0" w:color="000000"/>
            </w:tcBorders>
            <w:shd w:fill="auto" w:val="clear"/>
            <w:tcMar>
              <w:bottom w:w="28" w:type="dxa"/>
            </w:tcMar>
            <w:vAlign w:val="center"/>
          </w:tcPr>
          <w:p>
            <w:pPr>
              <w:pStyle w:val="TableContents"/>
              <w:spacing w:before="0" w:after="240"/>
              <w:ind w:left="0" w:right="0" w:hanging="0"/>
              <w:rPr/>
            </w:pPr>
            <w:r>
              <w:rPr/>
              <w:t>​</w:t>
            </w:r>
          </w:p>
        </w:tc>
        <w:tc>
          <w:tcPr>
            <w:tcW w:w="306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4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r>
        <w:trPr/>
        <w:tc>
          <w:tcPr>
            <w:tcW w:w="2191"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40"/>
              <w:ind w:left="0" w:right="0" w:hanging="0"/>
              <w:rPr/>
            </w:pPr>
            <w:r>
              <w:rPr/>
              <w:t>​</w:t>
            </w:r>
          </w:p>
        </w:tc>
        <w:tc>
          <w:tcPr>
            <w:tcW w:w="1456" w:type="dxa"/>
            <w:tcBorders>
              <w:top w:val="single" w:sz="2" w:space="0" w:color="000000"/>
            </w:tcBorders>
            <w:shd w:fill="auto" w:val="clear"/>
            <w:tcMar>
              <w:top w:w="28" w:type="dxa"/>
            </w:tcMar>
            <w:vAlign w:val="center"/>
          </w:tcPr>
          <w:p>
            <w:pPr>
              <w:pStyle w:val="TableContents"/>
              <w:spacing w:before="0" w:after="240"/>
              <w:ind w:left="0" w:right="0" w:hanging="0"/>
              <w:rPr/>
            </w:pPr>
            <w:r>
              <w:rPr/>
              <w:t>​</w:t>
            </w:r>
          </w:p>
        </w:tc>
        <w:tc>
          <w:tcPr>
            <w:tcW w:w="109" w:type="dxa"/>
            <w:tcBorders/>
            <w:shd w:fill="auto" w:val="clear"/>
            <w:vAlign w:val="center"/>
          </w:tcPr>
          <w:p>
            <w:pPr>
              <w:pStyle w:val="TableContents"/>
              <w:spacing w:before="0" w:after="240"/>
              <w:ind w:left="0" w:right="0" w:hanging="0"/>
              <w:rPr/>
            </w:pPr>
            <w:r>
              <w:rPr/>
              <w:t>​</w:t>
            </w:r>
          </w:p>
        </w:tc>
        <w:tc>
          <w:tcPr>
            <w:tcW w:w="3061" w:type="dxa"/>
            <w:tcBorders>
              <w:top w:val="single" w:sz="2" w:space="0" w:color="000000"/>
            </w:tcBorders>
            <w:shd w:fill="auto" w:val="clear"/>
            <w:tcMar>
              <w:top w:w="28" w:type="dxa"/>
            </w:tcMar>
            <w:vAlign w:val="center"/>
          </w:tcPr>
          <w:p>
            <w:pPr>
              <w:pStyle w:val="TableContents"/>
              <w:spacing w:before="0" w:after="240"/>
              <w:ind w:left="0" w:right="0" w:hanging="0"/>
              <w:jc w:val="center"/>
              <w:rPr/>
            </w:pPr>
            <w:r>
              <w:rPr/>
              <w:t>​</w:t>
            </w:r>
          </w:p>
        </w:tc>
      </w:tr>
    </w:tbl>
    <w:p>
      <w:pPr>
        <w:pStyle w:val="TextBody"/>
        <w:spacing w:before="0" w:after="0"/>
        <w:ind w:left="0" w:right="0" w:hanging="0"/>
        <w:rPr/>
      </w:pPr>
      <w:r>
        <w:rPr/>
        <w:t>​</w:t>
      </w:r>
    </w:p>
    <w:p>
      <w:pPr>
        <w:pStyle w:val="TextBody"/>
        <w:spacing w:lineRule="atLeast" w:line="141" w:before="0" w:after="240"/>
        <w:ind w:left="0" w:right="0" w:hanging="0"/>
        <w:jc w:val="center"/>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19"/>
        </w:rPr>
        <w:t>YES</w:t>
      </w:r>
      <w:r>
        <w:rPr>
          <w:rFonts w:ascii="Times New Roman;Times;serif" w:hAnsi="Times New Roman;Times;serif"/>
          <w:sz w:val="20"/>
        </w:rPr>
        <w:t>  ☑    </w:t>
      </w:r>
      <w:r>
        <w:rPr>
          <w:rFonts w:ascii="Times New Roman;Times;serif" w:hAnsi="Times New Roman;Times;serif"/>
          <w:sz w:val="19"/>
        </w:rPr>
        <w:t>NO  </w:t>
      </w:r>
      <w:r>
        <w:rPr>
          <w:rFonts w:ascii="Times New Roman;Times;serif" w:hAnsi="Times New Roman;Times;serif"/>
          <w:sz w:val="20"/>
        </w:rPr>
        <w:t>☐</w:t>
      </w:r>
    </w:p>
    <w:p>
      <w:pPr>
        <w:pStyle w:val="TextBody"/>
        <w:spacing w:lineRule="atLeast" w:line="141"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b w:val="false"/>
          <w:i w:val="false"/>
          <w:caps w:val="false"/>
          <w:smallCaps w:val="false"/>
          <w:sz w:val="19"/>
        </w:rPr>
        <w:t>YES</w:t>
      </w:r>
      <w:r>
        <w:rPr>
          <w:rFonts w:ascii="Times New Roman;Times;serif" w:hAnsi="Times New Roman;Times;serif"/>
          <w:sz w:val="20"/>
        </w:rPr>
        <w:t>  ☑    </w:t>
      </w:r>
      <w:r>
        <w:rPr>
          <w:rFonts w:ascii="Times New Roman;Times;serif" w:hAnsi="Times New Roman;Times;serif"/>
          <w:sz w:val="19"/>
        </w:rPr>
        <w:t>NO  </w:t>
      </w:r>
      <w:r>
        <w:rPr>
          <w:rFonts w:ascii="Times New Roman;Times;serif" w:hAnsi="Times New Roman;Times;serif"/>
          <w:sz w:val="20"/>
        </w:rPr>
        <w:t>☐</w:t>
      </w:r>
    </w:p>
    <w:p>
      <w:pPr>
        <w:pStyle w:val="TextBody"/>
        <w:spacing w:lineRule="atLeast" w:line="141" w:before="0" w:after="240"/>
        <w:ind w:left="0" w:right="0" w:firstLine="360"/>
        <w:rPr/>
      </w:pPr>
      <w:r>
        <w:rPr/>
        <w:t>​</w:t>
      </w:r>
    </w:p>
    <w:p>
      <w:pPr>
        <w:pStyle w:val="TextBody"/>
        <w:spacing w:before="0" w:after="0"/>
        <w:ind w:left="0" w:right="0" w:firstLine="360"/>
        <w:rPr>
          <w:rFonts w:ascii="Times New Roman;Times;serif" w:hAnsi="Times New Roman;Times;serif"/>
          <w:sz w:val="19"/>
        </w:rPr>
      </w:pPr>
      <w:r>
        <w:rPr>
          <w:rFonts w:ascii="Times New Roman;Times;serif" w:hAnsi="Times New Roman;Times;serif"/>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tLeast" w:line="141" w:before="0" w:after="240"/>
        <w:ind w:left="0" w:right="0" w:firstLine="360"/>
        <w:rPr/>
      </w:pPr>
      <w:r>
        <w:rPr/>
        <w:t>​</w:t>
      </w:r>
    </w:p>
    <w:p>
      <w:pPr>
        <w:pStyle w:val="Normal"/>
        <w:spacing w:before="0" w:after="0"/>
        <w:rPr>
          <w:sz w:val="4"/>
          <w:szCs w:val="4"/>
        </w:rPr>
      </w:pPr>
      <w:r>
        <w:rPr>
          <w:sz w:val="4"/>
          <w:szCs w:val="4"/>
        </w:rPr>
      </w:r>
      <w:bookmarkStart w:id="40" w:name="Tc_MNPvQgOgtkmxwLCzyf52Qg_5_2"/>
      <w:bookmarkStart w:id="41" w:name="Tc_hkrcjb7GJUe01AHvnGh4-w_3_2"/>
      <w:bookmarkStart w:id="42" w:name="Tc_c_BKXe8Wj060BhfqZ73s8g_3_1"/>
      <w:bookmarkStart w:id="43" w:name="Tc_dfoOArPd8kykT0gMt89Ucw_3_0"/>
      <w:bookmarkStart w:id="44" w:name="Tc_epvNrzEOi0eCWceCLf1Rvw_1_3"/>
      <w:bookmarkStart w:id="45" w:name="Tc_vYctg8Cczke8C0b8hPdEIQ_1_2"/>
      <w:bookmarkStart w:id="46" w:name="Tc_jzUhaztl9kOSE3IEF_q7Kw_1_1"/>
      <w:bookmarkStart w:id="47" w:name="_120e969a_2099_4731_a2ae_ad879a0aa2d3"/>
      <w:bookmarkStart w:id="48" w:name="Tc_MNPvQgOgtkmxwLCzyf52Qg_5_2"/>
      <w:bookmarkStart w:id="49" w:name="Tc_hkrcjb7GJUe01AHvnGh4-w_3_2"/>
      <w:bookmarkStart w:id="50" w:name="Tc_c_BKXe8Wj060BhfqZ73s8g_3_1"/>
      <w:bookmarkStart w:id="51" w:name="Tc_dfoOArPd8kykT0gMt89Ucw_3_0"/>
      <w:bookmarkStart w:id="52" w:name="Tc_epvNrzEOi0eCWceCLf1Rvw_1_3"/>
      <w:bookmarkStart w:id="53" w:name="Tc_vYctg8Cczke8C0b8hPdEIQ_1_2"/>
      <w:bookmarkStart w:id="54" w:name="Tc_jzUhaztl9kOSE3IEF_q7Kw_1_1"/>
      <w:bookmarkStart w:id="55" w:name="_120e969a_2099_4731_a2ae_ad879a0aa2d3"/>
      <w:bookmarkEnd w:id="48"/>
      <w:bookmarkEnd w:id="49"/>
      <w:bookmarkEnd w:id="50"/>
      <w:bookmarkEnd w:id="51"/>
      <w:bookmarkEnd w:id="52"/>
      <w:bookmarkEnd w:id="53"/>
      <w:bookmarkEnd w:id="54"/>
      <w:bookmarkEnd w:id="55"/>
    </w:p>
    <w:tbl>
      <w:tblPr>
        <w:tblW w:w="4909" w:type="dxa"/>
        <w:jc w:val="left"/>
        <w:tblInd w:w="0" w:type="dxa"/>
        <w:tblCellMar>
          <w:top w:w="0" w:type="dxa"/>
          <w:left w:w="0" w:type="dxa"/>
          <w:bottom w:w="0" w:type="dxa"/>
          <w:right w:w="0" w:type="dxa"/>
        </w:tblCellMar>
      </w:tblPr>
      <w:tblGrid>
        <w:gridCol w:w="1921"/>
        <w:gridCol w:w="316"/>
        <w:gridCol w:w="2311"/>
        <w:gridCol w:w="361"/>
      </w:tblGrid>
      <w:tr>
        <w:trPr/>
        <w:tc>
          <w:tcPr>
            <w:tcW w:w="1921" w:type="dxa"/>
            <w:tcBorders/>
            <w:shd w:fill="auto" w:val="clear"/>
            <w:vAlign w:val="center"/>
          </w:tcPr>
          <w:p>
            <w:pPr>
              <w:pStyle w:val="TableContents"/>
              <w:spacing w:lineRule="atLeast" w:line="141" w:before="0" w:after="0"/>
              <w:ind w:left="0" w:right="0" w:hanging="0"/>
              <w:rPr/>
            </w:pPr>
            <w:r>
              <w:rPr/>
              <w:t>​</w:t>
            </w:r>
          </w:p>
        </w:tc>
        <w:tc>
          <w:tcPr>
            <w:tcW w:w="316" w:type="dxa"/>
            <w:tcBorders/>
            <w:shd w:fill="auto" w:val="clear"/>
            <w:vAlign w:val="center"/>
          </w:tcPr>
          <w:p>
            <w:pPr>
              <w:pStyle w:val="TableContents"/>
              <w:spacing w:lineRule="atLeast" w:line="141" w:before="0" w:after="0"/>
              <w:ind w:left="0" w:right="0" w:hanging="0"/>
              <w:rPr/>
            </w:pPr>
            <w:r>
              <w:rPr/>
              <w:t>​</w:t>
            </w:r>
          </w:p>
        </w:tc>
        <w:tc>
          <w:tcPr>
            <w:tcW w:w="2311" w:type="dxa"/>
            <w:tcBorders/>
            <w:shd w:fill="auto" w:val="clear"/>
            <w:vAlign w:val="center"/>
          </w:tcPr>
          <w:p>
            <w:pPr>
              <w:pStyle w:val="TableContents"/>
              <w:spacing w:lineRule="atLeast" w:line="141" w:before="0" w:after="0"/>
              <w:ind w:left="0" w:right="0" w:hanging="0"/>
              <w:rPr/>
            </w:pPr>
            <w:r>
              <w:rPr/>
              <w:t>​</w:t>
            </w:r>
          </w:p>
        </w:tc>
        <w:tc>
          <w:tcPr>
            <w:tcW w:w="361" w:type="dxa"/>
            <w:tcBorders/>
            <w:shd w:fill="auto" w:val="clear"/>
            <w:vAlign w:val="center"/>
          </w:tcPr>
          <w:p>
            <w:pPr>
              <w:pStyle w:val="TableContents"/>
              <w:spacing w:lineRule="atLeast" w:line="141" w:before="0" w:after="0"/>
              <w:ind w:left="0" w:right="0" w:hanging="0"/>
              <w:rPr/>
            </w:pPr>
            <w:r>
              <w:rPr/>
              <w:t>​</w:t>
            </w:r>
          </w:p>
        </w:tc>
      </w:tr>
      <w:tr>
        <w:trPr/>
        <w:tc>
          <w:tcPr>
            <w:tcW w:w="19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Large accelerated filer</w:t>
            </w:r>
          </w:p>
        </w:tc>
        <w:tc>
          <w:tcPr>
            <w:tcW w:w="316"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Accelerated filer</w:t>
            </w:r>
          </w:p>
        </w:tc>
        <w:tc>
          <w:tcPr>
            <w:tcW w:w="361" w:type="dxa"/>
            <w:tcBorders/>
            <w:shd w:fill="auto" w:val="clear"/>
            <w:vAlign w:val="center"/>
          </w:tcPr>
          <w:p>
            <w:pPr>
              <w:pStyle w:val="TableContents"/>
              <w:spacing w:before="0" w:after="0"/>
              <w:ind w:left="0" w:right="0" w:hanging="0"/>
              <w:rPr/>
            </w:pPr>
            <w:r>
              <w:rPr/>
              <w:t>☐</w:t>
            </w:r>
          </w:p>
        </w:tc>
      </w:tr>
      <w:tr>
        <w:trPr/>
        <w:tc>
          <w:tcPr>
            <w:tcW w:w="1921" w:type="dxa"/>
            <w:tcBorders/>
            <w:shd w:fill="auto" w:val="clear"/>
            <w:vAlign w:val="center"/>
          </w:tcPr>
          <w:p>
            <w:pPr>
              <w:pStyle w:val="TableContents"/>
              <w:spacing w:lineRule="atLeast" w:line="141" w:before="0" w:after="240"/>
              <w:ind w:left="0" w:right="0" w:hanging="0"/>
              <w:rPr/>
            </w:pPr>
            <w:r>
              <w:rPr/>
              <w:t>​</w:t>
            </w:r>
          </w:p>
        </w:tc>
        <w:tc>
          <w:tcPr>
            <w:tcW w:w="316" w:type="dxa"/>
            <w:tcBorders/>
            <w:shd w:fill="auto" w:val="clear"/>
            <w:vAlign w:val="center"/>
          </w:tcPr>
          <w:p>
            <w:pPr>
              <w:pStyle w:val="TableContents"/>
              <w:spacing w:lineRule="atLeast" w:line="141" w:before="0" w:after="240"/>
              <w:ind w:left="0" w:right="0" w:hanging="0"/>
              <w:rPr/>
            </w:pPr>
            <w:r>
              <w:rPr/>
              <w:t>​</w:t>
            </w:r>
          </w:p>
        </w:tc>
        <w:tc>
          <w:tcPr>
            <w:tcW w:w="2311" w:type="dxa"/>
            <w:tcBorders/>
            <w:shd w:fill="auto" w:val="clear"/>
            <w:vAlign w:val="center"/>
          </w:tcPr>
          <w:p>
            <w:pPr>
              <w:pStyle w:val="TableContents"/>
              <w:spacing w:lineRule="atLeast" w:line="141" w:before="0" w:after="240"/>
              <w:ind w:left="0" w:right="0" w:hanging="0"/>
              <w:rPr/>
            </w:pPr>
            <w:r>
              <w:rPr/>
              <w:t>​</w:t>
            </w:r>
          </w:p>
        </w:tc>
        <w:tc>
          <w:tcPr>
            <w:tcW w:w="361" w:type="dxa"/>
            <w:tcBorders/>
            <w:shd w:fill="auto" w:val="clear"/>
            <w:vAlign w:val="center"/>
          </w:tcPr>
          <w:p>
            <w:pPr>
              <w:pStyle w:val="TableContents"/>
              <w:spacing w:lineRule="atLeast" w:line="141" w:before="0" w:after="240"/>
              <w:ind w:left="0" w:right="0" w:hanging="0"/>
              <w:rPr/>
            </w:pPr>
            <w:r>
              <w:rPr/>
              <w:t>​</w:t>
            </w:r>
          </w:p>
        </w:tc>
      </w:tr>
      <w:tr>
        <w:trPr/>
        <w:tc>
          <w:tcPr>
            <w:tcW w:w="19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Non-accelerated filer</w:t>
            </w:r>
          </w:p>
        </w:tc>
        <w:tc>
          <w:tcPr>
            <w:tcW w:w="316"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Smaller reporting company</w:t>
            </w:r>
          </w:p>
        </w:tc>
        <w:tc>
          <w:tcPr>
            <w:tcW w:w="361" w:type="dxa"/>
            <w:tcBorders/>
            <w:shd w:fill="auto" w:val="clear"/>
            <w:vAlign w:val="center"/>
          </w:tcPr>
          <w:p>
            <w:pPr>
              <w:pStyle w:val="TableContents"/>
              <w:spacing w:before="0" w:after="0"/>
              <w:ind w:left="0" w:right="0" w:hanging="0"/>
              <w:rPr/>
            </w:pPr>
            <w:r>
              <w:rPr/>
              <w:t>☐</w:t>
            </w:r>
          </w:p>
        </w:tc>
      </w:tr>
      <w:tr>
        <w:trPr/>
        <w:tc>
          <w:tcPr>
            <w:tcW w:w="1921" w:type="dxa"/>
            <w:tcBorders/>
            <w:shd w:fill="auto" w:val="clear"/>
            <w:vAlign w:val="center"/>
          </w:tcPr>
          <w:p>
            <w:pPr>
              <w:pStyle w:val="TableContents"/>
              <w:spacing w:before="0" w:after="240"/>
              <w:ind w:left="0" w:right="0" w:hanging="0"/>
              <w:rPr/>
            </w:pPr>
            <w:r>
              <w:rPr/>
              <w:t>​</w:t>
            </w:r>
          </w:p>
        </w:tc>
        <w:tc>
          <w:tcPr>
            <w:tcW w:w="316" w:type="dxa"/>
            <w:tcBorders/>
            <w:shd w:fill="auto" w:val="clear"/>
            <w:vAlign w:val="center"/>
          </w:tcPr>
          <w:p>
            <w:pPr>
              <w:pStyle w:val="TableContents"/>
              <w:spacing w:before="0" w:after="240"/>
              <w:ind w:left="0" w:right="0" w:hanging="0"/>
              <w:rPr/>
            </w:pPr>
            <w:r>
              <w:rPr/>
              <w:t>​</w:t>
            </w:r>
          </w:p>
        </w:tc>
        <w:tc>
          <w:tcPr>
            <w:tcW w:w="2311" w:type="dxa"/>
            <w:tcBorders/>
            <w:shd w:fill="auto" w:val="clear"/>
            <w:vAlign w:val="center"/>
          </w:tcPr>
          <w:p>
            <w:pPr>
              <w:pStyle w:val="TableContents"/>
              <w:spacing w:before="0" w:after="240"/>
              <w:ind w:left="0" w:right="0" w:hanging="0"/>
              <w:rPr/>
            </w:pPr>
            <w:r>
              <w:rPr/>
              <w:t>​</w:t>
            </w:r>
          </w:p>
        </w:tc>
        <w:tc>
          <w:tcPr>
            <w:tcW w:w="361" w:type="dxa"/>
            <w:tcBorders/>
            <w:shd w:fill="auto" w:val="clear"/>
            <w:vAlign w:val="center"/>
          </w:tcPr>
          <w:p>
            <w:pPr>
              <w:pStyle w:val="TableContents"/>
              <w:spacing w:before="0" w:after="240"/>
              <w:ind w:left="0" w:right="0" w:hanging="0"/>
              <w:rPr/>
            </w:pPr>
            <w:r>
              <w:rPr/>
              <w:t>​</w:t>
            </w:r>
          </w:p>
        </w:tc>
      </w:tr>
      <w:tr>
        <w:trPr/>
        <w:tc>
          <w:tcPr>
            <w:tcW w:w="1921" w:type="dxa"/>
            <w:tcBorders/>
            <w:shd w:fill="auto" w:val="clear"/>
            <w:vAlign w:val="center"/>
          </w:tcPr>
          <w:p>
            <w:pPr>
              <w:pStyle w:val="TableContents"/>
              <w:spacing w:before="0" w:after="240"/>
              <w:ind w:left="0" w:right="0" w:hanging="0"/>
              <w:rPr/>
            </w:pPr>
            <w:r>
              <w:rPr/>
              <w:t>​</w:t>
            </w:r>
          </w:p>
        </w:tc>
        <w:tc>
          <w:tcPr>
            <w:tcW w:w="316" w:type="dxa"/>
            <w:tcBorders/>
            <w:shd w:fill="auto" w:val="clear"/>
            <w:vAlign w:val="center"/>
          </w:tcPr>
          <w:p>
            <w:pPr>
              <w:pStyle w:val="TableContents"/>
              <w:spacing w:before="0" w:after="24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Emerging growth company</w:t>
            </w:r>
          </w:p>
        </w:tc>
        <w:tc>
          <w:tcPr>
            <w:tcW w:w="361" w:type="dxa"/>
            <w:tcBorders/>
            <w:shd w:fill="auto" w:val="clear"/>
            <w:vAlign w:val="center"/>
          </w:tcPr>
          <w:p>
            <w:pPr>
              <w:pStyle w:val="TableContents"/>
              <w:spacing w:before="0" w:after="0"/>
              <w:ind w:left="0" w:right="0" w:hanging="0"/>
              <w:rPr/>
            </w:pPr>
            <w:r>
              <w:rPr/>
              <w:t>☐</w:t>
            </w:r>
          </w:p>
        </w:tc>
      </w:tr>
    </w:tbl>
    <w:p>
      <w:pPr>
        <w:pStyle w:val="TextBody"/>
        <w:spacing w:lineRule="atLeast" w:line="141" w:before="0" w:after="0"/>
        <w:ind w:left="0" w:right="0" w:hanging="0"/>
        <w:rPr/>
      </w:pPr>
      <w:r>
        <w:rPr/>
        <w:t>​</w:t>
      </w:r>
    </w:p>
    <w:p>
      <w:pPr>
        <w:pStyle w:val="TextBody"/>
        <w:spacing w:before="0" w:after="0"/>
        <w:ind w:left="0" w:right="0" w:firstLine="360"/>
        <w:rPr>
          <w:rFonts w:ascii="Times New Roman;Times;serif" w:hAnsi="Times New Roman;Times;serif"/>
          <w:sz w:val="18"/>
        </w:rPr>
      </w:pPr>
      <w:r>
        <w:rPr>
          <w:rFonts w:ascii="Times New Roman;Times;serif" w:hAnsi="Times New Roman;Times;serif"/>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spacing w:lineRule="atLeast" w:line="141"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9"/>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9"/>
        </w:rPr>
        <w:t>NO  </w:t>
      </w:r>
      <w:r>
        <w:rPr>
          <w:rFonts w:ascii="Times New Roman;Times;serif" w:hAnsi="Times New Roman;Times;serif"/>
          <w:sz w:val="20"/>
        </w:rPr>
        <w:t>☑</w:t>
      </w:r>
    </w:p>
    <w:p>
      <w:pPr>
        <w:pStyle w:val="TextBody"/>
        <w:spacing w:lineRule="atLeast" w:line="141" w:before="0" w:after="240"/>
        <w:ind w:left="0" w:right="0" w:firstLine="360"/>
        <w:rPr/>
      </w:pPr>
      <w:r>
        <w:rPr/>
        <w:t>​</w:t>
      </w:r>
    </w:p>
    <w:p>
      <w:pPr>
        <w:pStyle w:val="TextBody"/>
        <w:spacing w:before="0" w:after="0"/>
        <w:ind w:left="0" w:right="0" w:firstLine="360"/>
        <w:rPr>
          <w:rFonts w:ascii="Times New Roman;Times;serif" w:hAnsi="Times New Roman;Times;serif"/>
          <w:sz w:val="18"/>
        </w:rPr>
      </w:pPr>
      <w:r>
        <w:rPr>
          <w:rFonts w:ascii="Times New Roman;Times;serif" w:hAnsi="Times New Roman;Times;serif"/>
          <w:sz w:val="19"/>
        </w:rPr>
        <w:t>As of April 24, 2023, there were 58,372,040</w:t>
      </w:r>
      <w:r>
        <w:rPr>
          <w:rFonts w:ascii="Times New Roman;Times;serif" w:hAnsi="Times New Roman;Times;serif"/>
          <w:sz w:val="18"/>
        </w:rPr>
        <w:t xml:space="preserve"> </w:t>
      </w:r>
      <w:r>
        <w:rPr>
          <w:rFonts w:ascii="Times New Roman;Times;serif" w:hAnsi="Times New Roman;Times;serif"/>
          <w:sz w:val="19"/>
        </w:rPr>
        <w:t>shares of common stock, no par value, outstanding.</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6" w:name="_Hlk132890510_0"/>
      <w:bookmarkStart w:id="57" w:name="_5f1ec9cf_fb01_402e_a595_e9e14c3fc880"/>
      <w:bookmarkEnd w:id="56"/>
      <w:bookmarkEnd w:id="57"/>
      <w:r>
        <w:rPr>
          <w:rFonts w:ascii="Times New Roman;Times;serif" w:hAnsi="Times New Roman;Times;serif"/>
          <w:b/>
          <w:sz w:val="20"/>
        </w:rPr>
        <w:t>THE ST. JOE COMPANY</w:t>
      </w:r>
    </w:p>
    <w:p>
      <w:pPr>
        <w:pStyle w:val="TextBody"/>
        <w:spacing w:before="0" w:after="240"/>
        <w:ind w:left="0" w:right="0" w:hanging="0"/>
        <w:jc w:val="center"/>
        <w:rPr>
          <w:rFonts w:ascii="Times New Roman;Times;serif" w:hAnsi="Times New Roman;Times;serif"/>
          <w:b/>
          <w:sz w:val="20"/>
        </w:rPr>
      </w:pPr>
      <w:bookmarkStart w:id="58" w:name="TOC"/>
      <w:bookmarkEnd w:id="58"/>
      <w:r>
        <w:rPr>
          <w:rFonts w:ascii="Times New Roman;Times;serif" w:hAnsi="Times New Roman;Times;serif"/>
          <w:b/>
          <w:sz w:val="20"/>
        </w:rPr>
        <w:t>INDEX</w:t>
      </w:r>
    </w:p>
    <w:tbl>
      <w:tblPr>
        <w:tblW w:w="10205" w:type="dxa"/>
        <w:jc w:val="left"/>
        <w:tblInd w:w="0" w:type="dxa"/>
        <w:tblCellMar>
          <w:top w:w="0" w:type="dxa"/>
          <w:left w:w="0" w:type="dxa"/>
          <w:bottom w:w="0" w:type="dxa"/>
          <w:right w:w="0" w:type="dxa"/>
        </w:tblCellMar>
      </w:tblPr>
      <w:tblGrid>
        <w:gridCol w:w="9394"/>
        <w:gridCol w:w="811"/>
      </w:tblGrid>
      <w:tr>
        <w:trPr/>
        <w:tc>
          <w:tcPr>
            <w:tcW w:w="9394" w:type="dxa"/>
            <w:tcBorders/>
            <w:shd w:fill="auto" w:val="clear"/>
            <w:vAlign w:val="center"/>
          </w:tcPr>
          <w:p>
            <w:pPr>
              <w:pStyle w:val="TableContents"/>
              <w:spacing w:lineRule="atLeast" w:line="141" w:before="0" w:after="0"/>
              <w:ind w:left="0" w:right="0" w:hanging="0"/>
              <w:rPr/>
            </w:pPr>
            <w:r>
              <w:rPr/>
              <w:t>​</w: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lineRule="atLeast" w:line="141"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tLeast" w:line="141" w:before="0" w:after="0"/>
                              <w:ind w:left="0" w:right="0" w:hanging="0"/>
                              <w:rPr/>
                            </w:pPr>
                            <w:r>
                              <w:rPr/>
                              <w:t>​</w:t>
                            </w:r>
                          </w:p>
                        </w:txbxContent>
                      </v:textbox>
                    </v:rect>
                  </w:pict>
                </mc:Fallback>
              </mc:AlternateContent>
            </w:r>
          </w:p>
        </w:tc>
      </w:tr>
      <w:tr>
        <w:trPr/>
        <w:tc>
          <w:tcPr>
            <w:tcW w:w="9394" w:type="dxa"/>
            <w:tcBorders/>
            <w:shd w:fill="auto" w:val="clear"/>
            <w:vAlign w:val="center"/>
          </w:tcPr>
          <w:p>
            <w:pPr>
              <w:pStyle w:val="TableContents"/>
              <w:spacing w:before="0" w:after="0"/>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9394" w:type="dxa"/>
            <w:tcBorders/>
            <w:shd w:fill="auto" w:val="clear"/>
            <w:vAlign w:val="center"/>
          </w:tcPr>
          <w:p>
            <w:pPr>
              <w:pStyle w:val="TableContents"/>
              <w:spacing w:before="40" w:after="40"/>
              <w:ind w:left="0" w:right="0" w:hanging="0"/>
              <w:rPr/>
            </w:pPr>
            <w:hyperlink w:anchor="PARTIFINANCIALINFORMATION_187217">
              <w:r>
                <w:rPr>
                  <w:rStyle w:val="InternetLink"/>
                  <w:rFonts w:ascii="Times New Roman;Times;serif" w:hAnsi="Times New Roman;Times;serif"/>
                  <w:b/>
                  <w:i w:val="false"/>
                  <w:caps w:val="false"/>
                  <w:smallCaps w:val="false"/>
                  <w:sz w:val="20"/>
                </w:rPr>
                <w:t>PART I</w:t>
              </w:r>
            </w:hyperlink>
          </w:p>
        </w:tc>
        <w:tc>
          <w:tcPr>
            <w:tcW w:w="811" w:type="dxa"/>
            <w:tcBorders>
              <w:top w:val="single" w:sz="2" w:space="0" w:color="000000"/>
            </w:tcBorders>
            <w:shd w:fill="auto" w:val="clear"/>
            <w:tcMar>
              <w:top w:w="28" w:type="dxa"/>
            </w:tcMar>
            <w:vAlign w:val="center"/>
          </w:tcPr>
          <w:p>
            <w:pPr>
              <w:pStyle w:val="TableContents"/>
              <w:spacing w:before="40" w:after="40"/>
              <w:ind w:left="0" w:right="0" w:hanging="0"/>
              <w:jc w:val="center"/>
              <w:rPr/>
            </w:pPr>
            <w:r>
              <w:rPr/>
              <w:t>​</w:t>
            </w:r>
          </w:p>
        </w:tc>
      </w:tr>
      <w:tr>
        <w:trPr/>
        <w:tc>
          <w:tcPr>
            <w:tcW w:w="9394" w:type="dxa"/>
            <w:tcBorders/>
            <w:shd w:fill="auto" w:val="clear"/>
            <w:vAlign w:val="center"/>
          </w:tcPr>
          <w:p>
            <w:pPr>
              <w:pStyle w:val="TableContents"/>
              <w:spacing w:before="40" w:after="40"/>
              <w:ind w:left="0" w:right="0" w:hanging="0"/>
              <w:rPr/>
            </w:pPr>
            <w:hyperlink w:anchor="Item1FinancialStatements_514348">
              <w:r>
                <w:rPr>
                  <w:rStyle w:val="InternetLink"/>
                  <w:rFonts w:ascii="Times New Roman;Times;serif" w:hAnsi="Times New Roman;Times;serif"/>
                  <w:b w:val="false"/>
                  <w:i w:val="false"/>
                  <w:caps w:val="false"/>
                  <w:smallCaps w:val="false"/>
                  <w:sz w:val="20"/>
                </w:rPr>
                <w:t>Item 1. Financial Statements (Unaudited)</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394" w:type="dxa"/>
            <w:tcBorders/>
            <w:shd w:fill="auto" w:val="clear"/>
            <w:vAlign w:val="center"/>
          </w:tcPr>
          <w:p>
            <w:pPr>
              <w:pStyle w:val="TableContents"/>
              <w:spacing w:before="40" w:after="40"/>
              <w:ind w:left="0" w:right="0" w:hanging="0"/>
              <w:rPr/>
            </w:pPr>
            <w:hyperlink w:anchor="CONDENSEDCONSOLIDATEDBALANCESHEETS_38440">
              <w:r>
                <w:rPr>
                  <w:rStyle w:val="InternetLink"/>
                  <w:rFonts w:ascii="Times New Roman;Times;serif" w:hAnsi="Times New Roman;Times;serif"/>
                  <w:b w:val="false"/>
                  <w:i w:val="false"/>
                  <w:caps w:val="false"/>
                  <w:smallCaps w:val="false"/>
                  <w:sz w:val="20"/>
                </w:rPr>
                <w:t>Condensed Consolidated Balance Sheets - March 31, 2023 and December 31, 2022</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394" w:type="dxa"/>
            <w:tcBorders/>
            <w:shd w:fill="auto" w:val="clear"/>
            <w:vAlign w:val="center"/>
          </w:tcPr>
          <w:p>
            <w:pPr>
              <w:pStyle w:val="TableContents"/>
              <w:spacing w:before="40" w:after="40"/>
              <w:ind w:left="0" w:right="0" w:hanging="0"/>
              <w:rPr/>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Income - Three Months Ended March 31, 2023 and 2022</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394" w:type="dxa"/>
            <w:tcBorders/>
            <w:shd w:fill="auto" w:val="clear"/>
            <w:vAlign w:val="center"/>
          </w:tcPr>
          <w:p>
            <w:pPr>
              <w:pStyle w:val="TableContents"/>
              <w:spacing w:before="40" w:after="40"/>
              <w:ind w:left="0" w:right="0" w:hanging="0"/>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 Three Months Ended March 31, 2023 and 2022</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394" w:type="dxa"/>
            <w:tcBorders/>
            <w:shd w:fill="auto" w:val="clear"/>
            <w:vAlign w:val="center"/>
          </w:tcPr>
          <w:p>
            <w:pPr>
              <w:pStyle w:val="TableContents"/>
              <w:spacing w:before="40" w:after="40"/>
              <w:ind w:left="0" w:right="0" w:hanging="0"/>
              <w:rPr/>
            </w:pPr>
            <w:hyperlink w:anchor="Equity_Statement">
              <w:r>
                <w:rPr>
                  <w:rStyle w:val="InternetLink"/>
                  <w:rFonts w:ascii="Times New Roman;Times;serif" w:hAnsi="Times New Roman;Times;serif"/>
                  <w:b w:val="false"/>
                  <w:i w:val="false"/>
                  <w:caps w:val="false"/>
                  <w:smallCaps w:val="false"/>
                  <w:sz w:val="20"/>
                </w:rPr>
                <w:t>Condensed Consolidated Statements of Changes in Stockholders’ Equity - Three Months Ended March 31, 2023 and 2022</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394" w:type="dxa"/>
            <w:tcBorders/>
            <w:shd w:fill="auto" w:val="clear"/>
            <w:vAlign w:val="center"/>
          </w:tcPr>
          <w:p>
            <w:pPr>
              <w:pStyle w:val="TableContents"/>
              <w:spacing w:before="40" w:after="40"/>
              <w:ind w:left="0" w:right="0" w:hanging="0"/>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 Three Months Ended March 31, 2023 and 2022</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9394" w:type="dxa"/>
            <w:tcBorders/>
            <w:shd w:fill="auto" w:val="clear"/>
            <w:vAlign w:val="center"/>
          </w:tcPr>
          <w:p>
            <w:pPr>
              <w:pStyle w:val="TableContents"/>
              <w:spacing w:before="40" w:after="40"/>
              <w:ind w:left="0" w:right="0" w:hanging="0"/>
              <w:rPr/>
            </w:pPr>
            <w:hyperlink w:anchor="NOTESTOTHECONDENSEDCONSOLIDATEDFINANCIAL">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9394" w:type="dxa"/>
            <w:tcBorders/>
            <w:shd w:fill="auto" w:val="clear"/>
            <w:vAlign w:val="center"/>
          </w:tcPr>
          <w:p>
            <w:pPr>
              <w:pStyle w:val="TableContents"/>
              <w:spacing w:before="40" w:after="4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9394" w:type="dxa"/>
            <w:tcBorders/>
            <w:shd w:fill="auto" w:val="clear"/>
            <w:vAlign w:val="center"/>
          </w:tcPr>
          <w:p>
            <w:pPr>
              <w:pStyle w:val="TableContents"/>
              <w:spacing w:before="40" w:after="4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71</w:t>
            </w:r>
          </w:p>
        </w:tc>
      </w:tr>
      <w:tr>
        <w:trPr/>
        <w:tc>
          <w:tcPr>
            <w:tcW w:w="9394" w:type="dxa"/>
            <w:tcBorders/>
            <w:shd w:fill="auto" w:val="clear"/>
            <w:vAlign w:val="center"/>
          </w:tcPr>
          <w:p>
            <w:pPr>
              <w:pStyle w:val="TableContents"/>
              <w:spacing w:before="40" w:after="40"/>
              <w:ind w:left="0" w:right="0" w:hanging="0"/>
              <w:rPr/>
            </w:pPr>
            <w:hyperlink w:anchor="Item4ControlsandProcedures_887098">
              <w:r>
                <w:rPr>
                  <w:rStyle w:val="InternetLink"/>
                  <w:rFonts w:ascii="Times New Roman;Times;serif" w:hAnsi="Times New Roman;Times;serif"/>
                  <w:b w:val="false"/>
                  <w:i w:val="false"/>
                  <w:caps w:val="false"/>
                  <w:smallCaps w:val="false"/>
                  <w:sz w:val="20"/>
                </w:rPr>
                <w:t>Item 4. Controls and Procedures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9394" w:type="dxa"/>
            <w:tcBorders/>
            <w:shd w:fill="auto" w:val="clear"/>
            <w:vAlign w:val="center"/>
          </w:tcPr>
          <w:p>
            <w:pPr>
              <w:pStyle w:val="TableContents"/>
              <w:spacing w:before="40" w:after="40"/>
              <w:ind w:left="0" w:right="0" w:hanging="0"/>
              <w:rPr/>
            </w:pPr>
            <w:hyperlink w:anchor="PARTIIOTHERINFORMATION_895295">
              <w:r>
                <w:rPr>
                  <w:rStyle w:val="InternetLink"/>
                  <w:rFonts w:ascii="Times New Roman;Times;serif" w:hAnsi="Times New Roman;Times;serif"/>
                  <w:b/>
                  <w:i w:val="false"/>
                  <w:caps w:val="false"/>
                  <w:smallCaps w:val="false"/>
                  <w:sz w:val="20"/>
                </w:rPr>
                <w:t>PART II</w:t>
              </w:r>
            </w:hyperlink>
          </w:p>
        </w:tc>
        <w:tc>
          <w:tcPr>
            <w:tcW w:w="811" w:type="dxa"/>
            <w:tcBorders/>
            <w:shd w:fill="auto" w:val="clear"/>
            <w:vAlign w:val="center"/>
          </w:tcPr>
          <w:p>
            <w:pPr>
              <w:pStyle w:val="TableContents"/>
              <w:spacing w:before="40" w:after="40"/>
              <w:ind w:left="0" w:right="0" w:hanging="0"/>
              <w:jc w:val="center"/>
              <w:rPr/>
            </w:pPr>
            <w:r>
              <w:rPr/>
              <w:t>​</w:t>
            </w:r>
          </w:p>
        </w:tc>
      </w:tr>
      <w:tr>
        <w:trPr/>
        <w:tc>
          <w:tcPr>
            <w:tcW w:w="9394" w:type="dxa"/>
            <w:tcBorders/>
            <w:shd w:fill="auto" w:val="clear"/>
            <w:vAlign w:val="center"/>
          </w:tcPr>
          <w:p>
            <w:pPr>
              <w:pStyle w:val="TableContents"/>
              <w:spacing w:before="40" w:after="40"/>
              <w:ind w:left="0" w:right="0" w:hanging="0"/>
              <w:rPr/>
            </w:pPr>
            <w:hyperlink w:anchor="Item1LegalProceedings_52834">
              <w:r>
                <w:rPr>
                  <w:rStyle w:val="InternetLink"/>
                  <w:rFonts w:ascii="Times New Roman;Times;serif" w:hAnsi="Times New Roman;Times;serif"/>
                  <w:b w:val="false"/>
                  <w:i w:val="false"/>
                  <w:caps w:val="false"/>
                  <w:smallCaps w:val="false"/>
                  <w:sz w:val="20"/>
                </w:rPr>
                <w:t>Item 1. Legal Proceedings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9394" w:type="dxa"/>
            <w:tcBorders/>
            <w:shd w:fill="auto" w:val="clear"/>
            <w:vAlign w:val="center"/>
          </w:tcPr>
          <w:p>
            <w:pPr>
              <w:pStyle w:val="TableContents"/>
              <w:spacing w:before="40" w:after="40"/>
              <w:ind w:left="0" w:right="0" w:hanging="0"/>
              <w:rPr/>
            </w:pPr>
            <w:hyperlink w:anchor="Item1ARiskFactors_980256">
              <w:r>
                <w:rPr>
                  <w:rStyle w:val="InternetLink"/>
                  <w:rFonts w:ascii="Times New Roman;Times;serif" w:hAnsi="Times New Roman;Times;serif"/>
                  <w:b w:val="false"/>
                  <w:i w:val="false"/>
                  <w:caps w:val="false"/>
                  <w:smallCaps w:val="false"/>
                  <w:sz w:val="20"/>
                </w:rPr>
                <w:t>Item 1A. Risk Factors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9394" w:type="dxa"/>
            <w:tcBorders/>
            <w:shd w:fill="auto" w:val="clear"/>
            <w:vAlign w:val="center"/>
          </w:tcPr>
          <w:p>
            <w:pPr>
              <w:pStyle w:val="TableContents"/>
              <w:spacing w:before="40" w:after="4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9394" w:type="dxa"/>
            <w:tcBorders/>
            <w:shd w:fill="auto" w:val="clear"/>
            <w:vAlign w:val="center"/>
          </w:tcPr>
          <w:p>
            <w:pPr>
              <w:pStyle w:val="TableContents"/>
              <w:spacing w:before="40" w:after="40"/>
              <w:ind w:left="0" w:right="0" w:hanging="0"/>
              <w:rPr/>
            </w:pPr>
            <w:hyperlink w:anchor="Item3DefaultsuponSeniorSecurities_741045">
              <w:r>
                <w:rPr>
                  <w:rStyle w:val="InternetLink"/>
                  <w:rFonts w:ascii="Times New Roman;Times;serif" w:hAnsi="Times New Roman;Times;serif"/>
                  <w:b w:val="false"/>
                  <w:i w:val="false"/>
                  <w:caps w:val="false"/>
                  <w:smallCaps w:val="false"/>
                  <w:sz w:val="20"/>
                </w:rPr>
                <w:t>Item 3. Defaults Upon Senior Securities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9394" w:type="dxa"/>
            <w:tcBorders/>
            <w:shd w:fill="auto" w:val="clear"/>
            <w:vAlign w:val="center"/>
          </w:tcPr>
          <w:p>
            <w:pPr>
              <w:pStyle w:val="TableContents"/>
              <w:spacing w:before="40" w:after="40"/>
              <w:ind w:left="0" w:right="0" w:hanging="0"/>
              <w:rPr/>
            </w:pPr>
            <w:hyperlink w:anchor="Item4MineSafetyDisclosures_49809">
              <w:r>
                <w:rPr>
                  <w:rStyle w:val="InternetLink"/>
                  <w:rFonts w:ascii="Times New Roman;Times;serif" w:hAnsi="Times New Roman;Times;serif"/>
                  <w:b w:val="false"/>
                  <w:i w:val="false"/>
                  <w:caps w:val="false"/>
                  <w:smallCaps w:val="false"/>
                  <w:sz w:val="20"/>
                </w:rPr>
                <w:t>Item 4. Mine Safety Disclosures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9394" w:type="dxa"/>
            <w:tcBorders/>
            <w:shd w:fill="auto" w:val="clear"/>
            <w:vAlign w:val="center"/>
          </w:tcPr>
          <w:p>
            <w:pPr>
              <w:pStyle w:val="TableContents"/>
              <w:spacing w:before="40" w:after="40"/>
              <w:ind w:left="0" w:right="0" w:hanging="0"/>
              <w:rPr/>
            </w:pPr>
            <w:hyperlink w:anchor="Item5OtherInformation_321484">
              <w:r>
                <w:rPr>
                  <w:rStyle w:val="InternetLink"/>
                  <w:rFonts w:ascii="Times New Roman;Times;serif" w:hAnsi="Times New Roman;Times;serif"/>
                  <w:b w:val="false"/>
                  <w:i w:val="false"/>
                  <w:caps w:val="false"/>
                  <w:smallCaps w:val="false"/>
                  <w:sz w:val="20"/>
                </w:rPr>
                <w:t>Item 5. Other Information</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9394" w:type="dxa"/>
            <w:tcBorders/>
            <w:shd w:fill="auto" w:val="clear"/>
            <w:vAlign w:val="center"/>
          </w:tcPr>
          <w:p>
            <w:pPr>
              <w:pStyle w:val="TableContents"/>
              <w:spacing w:before="40" w:after="40"/>
              <w:ind w:left="0" w:right="0" w:hanging="0"/>
              <w:rPr/>
            </w:pPr>
            <w:hyperlink w:anchor="Item6Exhibits_42059">
              <w:r>
                <w:rPr>
                  <w:rStyle w:val="InternetLink"/>
                  <w:rFonts w:ascii="Times New Roman;Times;serif" w:hAnsi="Times New Roman;Times;serif"/>
                  <w:b w:val="false"/>
                  <w:i w:val="false"/>
                  <w:caps w:val="false"/>
                  <w:smallCaps w:val="false"/>
                  <w:sz w:val="20"/>
                </w:rPr>
                <w:t>Item 6. Exhibits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73</w:t>
            </w:r>
          </w:p>
        </w:tc>
      </w:tr>
      <w:tr>
        <w:trPr/>
        <w:tc>
          <w:tcPr>
            <w:tcW w:w="9394" w:type="dxa"/>
            <w:tcBorders/>
            <w:shd w:fill="auto" w:val="clear"/>
            <w:vAlign w:val="center"/>
          </w:tcPr>
          <w:p>
            <w:pPr>
              <w:pStyle w:val="TableContents"/>
              <w:spacing w:before="40" w:after="40"/>
              <w:ind w:left="0" w:right="0" w:hanging="0"/>
              <w:rPr/>
            </w:pPr>
            <w:hyperlink w:anchor="SIGNATURES_149802">
              <w:r>
                <w:rPr>
                  <w:rStyle w:val="InternetLink"/>
                  <w:rFonts w:ascii="Times New Roman;Times;serif" w:hAnsi="Times New Roman;Times;serif"/>
                  <w:b/>
                  <w:i w:val="false"/>
                  <w:caps w:val="false"/>
                  <w:smallCaps w:val="false"/>
                  <w:sz w:val="20"/>
                </w:rPr>
                <w:t>SIGNATURES</w:t>
              </w:r>
            </w:hyperlink>
          </w:p>
        </w:tc>
        <w:tc>
          <w:tcPr>
            <w:tcW w:w="811" w:type="dxa"/>
            <w:tcBorders/>
            <w:shd w:fill="auto" w:val="clear"/>
            <w:vAlign w:val="center"/>
          </w:tcPr>
          <w:p>
            <w:pPr>
              <w:pStyle w:val="TableContents"/>
              <w:spacing w:before="40" w:after="40"/>
              <w:ind w:left="0" w:right="0" w:hanging="0"/>
              <w:jc w:val="center"/>
              <w:rPr>
                <w:rFonts w:ascii="Times New Roman;Times;serif" w:hAnsi="Times New Roman;Times;serif"/>
                <w:sz w:val="20"/>
              </w:rPr>
            </w:pPr>
            <w:r>
              <w:rPr>
                <w:rFonts w:ascii="Times New Roman;Times;serif" w:hAnsi="Times New Roman;Times;serif"/>
                <w:sz w:val="20"/>
              </w:rPr>
              <w:t>74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9" w:name="PARTIFINANCIALINFORMATION_187217"/>
      <w:bookmarkStart w:id="60" w:name="_364299"/>
      <w:bookmarkStart w:id="61" w:name="_31f4dfed_9604_4f41_a332_a09b37340074"/>
      <w:bookmarkEnd w:id="59"/>
      <w:bookmarkEnd w:id="60"/>
      <w:bookmarkEnd w:id="61"/>
      <w:r>
        <w:rPr>
          <w:rFonts w:ascii="Times New Roman;Times;serif" w:hAnsi="Times New Roman;Times;serif"/>
          <w:b/>
          <w:sz w:val="20"/>
        </w:rPr>
        <w:t>PART I - FINANCIAL INFORMATION</w:t>
      </w:r>
    </w:p>
    <w:p>
      <w:pPr>
        <w:pStyle w:val="TextBody"/>
        <w:pBdr/>
        <w:spacing w:before="0" w:after="240"/>
        <w:ind w:left="0" w:right="0" w:hanging="720"/>
        <w:rPr>
          <w:rFonts w:ascii="Times New Roman;Times;serif" w:hAnsi="Times New Roman;Times;serif"/>
          <w:b/>
          <w:sz w:val="20"/>
        </w:rPr>
      </w:pPr>
      <w:bookmarkStart w:id="62" w:name="Item1FinancialStatements_514348"/>
      <w:bookmarkEnd w:id="62"/>
      <w:r>
        <w:rPr>
          <w:rFonts w:ascii="Times New Roman;Times;serif" w:hAnsi="Times New Roman;Times;serif"/>
          <w:b/>
          <w:sz w:val="20"/>
        </w:rPr>
        <w:t>Item 1.         </w:t>
      </w:r>
      <w:r>
        <w:rPr>
          <w:rFonts w:ascii="Times New Roman;Times;serif" w:hAnsi="Times New Roman;Times;serif"/>
          <w:b/>
          <w:i/>
          <w:sz w:val="20"/>
        </w:rPr>
        <w:t>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spacing w:before="0" w:after="0"/>
        <w:ind w:left="0" w:right="0" w:hanging="0"/>
        <w:jc w:val="center"/>
        <w:rPr>
          <w:rFonts w:ascii="Times New Roman;Times;serif" w:hAnsi="Times New Roman;Times;serif"/>
          <w:b/>
          <w:sz w:val="20"/>
        </w:rPr>
      </w:pPr>
      <w:bookmarkStart w:id="63" w:name="CONDENSEDCONSOLIDATEDBALANCESHEETS_38440"/>
      <w:bookmarkEnd w:id="63"/>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spacing w:before="0" w:after="0"/>
        <w:rPr>
          <w:sz w:val="4"/>
          <w:szCs w:val="4"/>
        </w:rPr>
      </w:pPr>
      <w:r>
        <w:rPr>
          <w:sz w:val="4"/>
          <w:szCs w:val="4"/>
        </w:rPr>
      </w:r>
      <w:bookmarkStart w:id="64" w:name="Tc_ICql_2BZ_E64CFYeFt-vow_30_5"/>
      <w:bookmarkStart w:id="65" w:name="Tc_XE7Y-6-unkGLGQgsn6QOig_30_2"/>
      <w:bookmarkStart w:id="66" w:name="Tc_nsPnY4To_kqiI0TxwwBzAw_30_0"/>
      <w:bookmarkStart w:id="67" w:name="Tc_Ah7btE8xVE-7ybgVzIjWYQ_29_0"/>
      <w:bookmarkStart w:id="68" w:name="Tc_5qrAsHs-x06LlcZl-9BJ9w_28_0"/>
      <w:bookmarkStart w:id="69" w:name="Tc_Y7izV3aQM0-Q-YUxKmUrtA_27_0"/>
      <w:bookmarkStart w:id="70" w:name="Tc_hxPhFC518USsQkOIhb9FuQ_26_0"/>
      <w:bookmarkStart w:id="71" w:name="Tc_l_l-9PLEoUyil3gOJ1Qcsg_25_0"/>
      <w:bookmarkStart w:id="72" w:name="Tc_SV87S6y4pUi9HZY5yeywxA_24_0"/>
      <w:bookmarkStart w:id="73" w:name="Tc_ak23RKzkoU2CCZ3jlyriqg_23_0"/>
      <w:bookmarkStart w:id="74" w:name="Tc_pW4bOhpX_0yNWe9c3YC53g_21_0"/>
      <w:bookmarkStart w:id="75" w:name="Tc_1ZAOQxGfpUi8y28ndnfkZA_19_0"/>
      <w:bookmarkStart w:id="76" w:name="Tc_sBh0oN8sxEiunoLUkYhcDg_18_0"/>
      <w:bookmarkStart w:id="77" w:name="Tc_57yudxJH3km2RYbMMNhifA_17_0"/>
      <w:bookmarkStart w:id="78" w:name="Tc_GKob2oRzzU2HlWafOb3gwQ_16_0"/>
      <w:bookmarkStart w:id="79" w:name="Tc_ZeavadydOEyzbtpK_ifTng_15_0"/>
      <w:bookmarkStart w:id="80" w:name="Tc_FdxKS3Om_EKVGbvQQGdCRg_14_5"/>
      <w:bookmarkStart w:id="81" w:name="Tc_afMdG1ltfEaiUItvkOIPKQ_14_2"/>
      <w:bookmarkStart w:id="82" w:name="Tc_WFgznmsKtk6NI-djSRgNUA_14_0"/>
      <w:bookmarkStart w:id="83" w:name="Tc_6MBaSm0S5ESDNHP1CdPuBQ_13_0"/>
      <w:bookmarkStart w:id="84" w:name="Tc_mWutmMsSz0aoepvMTdnPOQ_12_0"/>
      <w:bookmarkStart w:id="85" w:name="Tc_W4OmbjL_h0ypf4P1Y9mDew_11_5"/>
      <w:bookmarkStart w:id="86" w:name="Tc_TtrpDAulGkyvrH9F3BAFPQ_11_2"/>
      <w:bookmarkStart w:id="87" w:name="Tc_ct4BsC8-TUCco2K8KvBdNg_11_0"/>
      <w:bookmarkStart w:id="88" w:name="Tc_7Z6lu_O7uUaFIwfATY9rJg_10_0"/>
      <w:bookmarkStart w:id="89" w:name="Tc_v9Z5gVUUw0SayZgMloZodg_9_0"/>
      <w:bookmarkStart w:id="90" w:name="Tc_4qZujAwIKUyHCrUZ1LWG5A_8_0"/>
      <w:bookmarkStart w:id="91" w:name="Tc_Ye-KeP0vKEmvQfpMbizeow_7_0"/>
      <w:bookmarkStart w:id="92" w:name="Tc_viZ7pD9-9Um4zQMDAXv37Q_6_0"/>
      <w:bookmarkStart w:id="93" w:name="Tc_mGrqDz5HfUCs1OpZjynclQ_5_0"/>
      <w:bookmarkStart w:id="94" w:name="Tc_uNB6s1Z8WUGDsM5-oEiZhQ_4_5"/>
      <w:bookmarkStart w:id="95" w:name="Tc_5Kpv-dsqUEm_3CvrBPXqCQ_4_2"/>
      <w:bookmarkStart w:id="96" w:name="Tc_jOjijwBwiEiHTp3yvqMAiw_4_0"/>
      <w:bookmarkStart w:id="97" w:name="Tc_Nlgp5YHzakmLxBJN-RcsEQ_3_0"/>
      <w:bookmarkStart w:id="98" w:name="Tc_2RtC2FY2nUKOkf6D_gIYHg_2_5"/>
      <w:bookmarkStart w:id="99" w:name="Tc_AABnt9l0G0aBTdEKDvKIfg_2_2"/>
      <w:bookmarkStart w:id="100" w:name="Tc_amKUr6AvVEmHHwTGEqtoLw_1_5"/>
      <w:bookmarkStart w:id="101" w:name="Tc_YgfYgl-MkU6f28jwGoOrwg_1_2"/>
      <w:bookmarkStart w:id="102" w:name="_d58c755d_5701_4fb6_9e9e_e930e7efbd82"/>
      <w:bookmarkStart w:id="103" w:name="Tc_ICql_2BZ_E64CFYeFt-vow_30_5"/>
      <w:bookmarkStart w:id="104" w:name="Tc_XE7Y-6-unkGLGQgsn6QOig_30_2"/>
      <w:bookmarkStart w:id="105" w:name="Tc_nsPnY4To_kqiI0TxwwBzAw_30_0"/>
      <w:bookmarkStart w:id="106" w:name="Tc_Ah7btE8xVE-7ybgVzIjWYQ_29_0"/>
      <w:bookmarkStart w:id="107" w:name="Tc_5qrAsHs-x06LlcZl-9BJ9w_28_0"/>
      <w:bookmarkStart w:id="108" w:name="Tc_Y7izV3aQM0-Q-YUxKmUrtA_27_0"/>
      <w:bookmarkStart w:id="109" w:name="Tc_hxPhFC518USsQkOIhb9FuQ_26_0"/>
      <w:bookmarkStart w:id="110" w:name="Tc_l_l-9PLEoUyil3gOJ1Qcsg_25_0"/>
      <w:bookmarkStart w:id="111" w:name="Tc_SV87S6y4pUi9HZY5yeywxA_24_0"/>
      <w:bookmarkStart w:id="112" w:name="Tc_ak23RKzkoU2CCZ3jlyriqg_23_0"/>
      <w:bookmarkStart w:id="113" w:name="Tc_pW4bOhpX_0yNWe9c3YC53g_21_0"/>
      <w:bookmarkStart w:id="114" w:name="Tc_1ZAOQxGfpUi8y28ndnfkZA_19_0"/>
      <w:bookmarkStart w:id="115" w:name="Tc_sBh0oN8sxEiunoLUkYhcDg_18_0"/>
      <w:bookmarkStart w:id="116" w:name="Tc_57yudxJH3km2RYbMMNhifA_17_0"/>
      <w:bookmarkStart w:id="117" w:name="Tc_GKob2oRzzU2HlWafOb3gwQ_16_0"/>
      <w:bookmarkStart w:id="118" w:name="Tc_ZeavadydOEyzbtpK_ifTng_15_0"/>
      <w:bookmarkStart w:id="119" w:name="Tc_FdxKS3Om_EKVGbvQQGdCRg_14_5"/>
      <w:bookmarkStart w:id="120" w:name="Tc_afMdG1ltfEaiUItvkOIPKQ_14_2"/>
      <w:bookmarkStart w:id="121" w:name="Tc_WFgznmsKtk6NI-djSRgNUA_14_0"/>
      <w:bookmarkStart w:id="122" w:name="Tc_6MBaSm0S5ESDNHP1CdPuBQ_13_0"/>
      <w:bookmarkStart w:id="123" w:name="Tc_mWutmMsSz0aoepvMTdnPOQ_12_0"/>
      <w:bookmarkStart w:id="124" w:name="Tc_W4OmbjL_h0ypf4P1Y9mDew_11_5"/>
      <w:bookmarkStart w:id="125" w:name="Tc_TtrpDAulGkyvrH9F3BAFPQ_11_2"/>
      <w:bookmarkStart w:id="126" w:name="Tc_ct4BsC8-TUCco2K8KvBdNg_11_0"/>
      <w:bookmarkStart w:id="127" w:name="Tc_7Z6lu_O7uUaFIwfATY9rJg_10_0"/>
      <w:bookmarkStart w:id="128" w:name="Tc_v9Z5gVUUw0SayZgMloZodg_9_0"/>
      <w:bookmarkStart w:id="129" w:name="Tc_4qZujAwIKUyHCrUZ1LWG5A_8_0"/>
      <w:bookmarkStart w:id="130" w:name="Tc_Ye-KeP0vKEmvQfpMbizeow_7_0"/>
      <w:bookmarkStart w:id="131" w:name="Tc_viZ7pD9-9Um4zQMDAXv37Q_6_0"/>
      <w:bookmarkStart w:id="132" w:name="Tc_mGrqDz5HfUCs1OpZjynclQ_5_0"/>
      <w:bookmarkStart w:id="133" w:name="Tc_uNB6s1Z8WUGDsM5-oEiZhQ_4_5"/>
      <w:bookmarkStart w:id="134" w:name="Tc_5Kpv-dsqUEm_3CvrBPXqCQ_4_2"/>
      <w:bookmarkStart w:id="135" w:name="Tc_jOjijwBwiEiHTp3yvqMAiw_4_0"/>
      <w:bookmarkStart w:id="136" w:name="Tc_Nlgp5YHzakmLxBJN-RcsEQ_3_0"/>
      <w:bookmarkStart w:id="137" w:name="Tc_2RtC2FY2nUKOkf6D_gIYHg_2_5"/>
      <w:bookmarkStart w:id="138" w:name="Tc_AABnt9l0G0aBTdEKDvKIfg_2_2"/>
      <w:bookmarkStart w:id="139" w:name="Tc_amKUr6AvVEmHHwTGEqtoLw_1_5"/>
      <w:bookmarkStart w:id="140" w:name="Tc_YgfYgl-MkU6f28jwGoOrwg_1_2"/>
      <w:bookmarkStart w:id="141" w:name="_d58c755d_5701_4fb6_9e9e_e930e7efbd8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CellMar>
          <w:top w:w="0" w:type="dxa"/>
          <w:left w:w="0" w:type="dxa"/>
          <w:bottom w:w="0" w:type="dxa"/>
          <w:right w:w="0" w:type="dxa"/>
        </w:tblCellMar>
      </w:tblPr>
      <w:tblGrid>
        <w:gridCol w:w="7164"/>
        <w:gridCol w:w="326"/>
        <w:gridCol w:w="211"/>
        <w:gridCol w:w="931"/>
        <w:gridCol w:w="326"/>
        <w:gridCol w:w="211"/>
        <w:gridCol w:w="1036"/>
      </w:tblGrid>
      <w:tr>
        <w:trPr/>
        <w:tc>
          <w:tcPr>
            <w:tcW w:w="71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549140" cy="175260"/>
                      <wp:effectExtent l="0" t="0" r="0" b="0"/>
                      <wp:wrapNone/>
                      <wp:docPr id="2" name="Frame2"/>
                      <a:graphic xmlns:a="http://schemas.openxmlformats.org/drawingml/2006/main">
                        <a:graphicData uri="http://schemas.microsoft.com/office/word/2010/wordprocessingShape">
                          <wps:wsp>
                            <wps:cNvSpPr txBox="1"/>
                            <wps:spPr>
                              <a:xfrm>
                                <a:off x="0" y="0"/>
                                <a:ext cx="4549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91185" cy="175260"/>
                      <wp:effectExtent l="0" t="0" r="0" b="0"/>
                      <wp:wrapNone/>
                      <wp:docPr id="5" name="Frame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57860" cy="175260"/>
                      <wp:effectExtent l="0" t="0" r="0" b="0"/>
                      <wp:wrapNone/>
                      <wp:docPr id="8" name="Frame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16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2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64" w:type="dxa"/>
            <w:tcBorders/>
            <w:shd w:fill="CCEE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  </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 real estate,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1,026,286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996,261</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 unconsolidated joint ventures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50,025</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57,152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37,747</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Investments - debt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40,576</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61,729</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 of accumulated depreciation of $67,673 and $67,133 as of March 31, 2023 and December 31, 2022, respectively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39,638</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Investments held by special purpose entities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204,476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204,863</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1,466,259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1,430,839</w:t>
            </w:r>
          </w:p>
        </w:tc>
      </w:tr>
      <w:tr>
        <w:trPr/>
        <w:tc>
          <w:tcPr>
            <w:tcW w:w="7164"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Debt,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420,689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385,860</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96,139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94,371</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40,860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38,936</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78,256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82,706</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Senior Notes held by special purpose entity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177,932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177,857</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813,876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779,730</w:t>
            </w:r>
          </w:p>
        </w:tc>
      </w:tr>
      <w:tr>
        <w:trPr/>
        <w:tc>
          <w:tcPr>
            <w:tcW w:w="71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Commitments and contingencies (Note 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71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no par value; 180,000,000 shares authorized; 58,372,040 and 58,335,541 issued and outstanding at March 31, 2023 and December 31, 2022, respectively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270,169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270,028</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362,897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358,344</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2,430</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635,139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630,802</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Non-controlling interest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20,307</w:t>
            </w:r>
          </w:p>
        </w:tc>
      </w:tr>
      <w:tr>
        <w:trPr/>
        <w:tc>
          <w:tcPr>
            <w:tcW w:w="71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equity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652,383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651,109</w:t>
            </w:r>
          </w:p>
        </w:tc>
      </w:tr>
      <w:tr>
        <w:trPr/>
        <w:tc>
          <w:tcPr>
            <w:tcW w:w="71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and equity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1,466,259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1,430,839</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following presents the portion of the condensed consolidated balances attributable to the Company’s consolidated joint ventures, which, as of March 31, 2023 and December 31, 2022, include the Pier Park North joint venture (“Pier Park North JV”), Pier Park Crossings LLC (“Pier Park Crossings JV”), Origins Crossings, LLC (“Watersound Origins Crossings JV”), SJWCSL, LLC (“Watercrest JV”), Watersound Closings &amp; Escrow, LLC (“Watersound Closings JV”), Pier Park Crossings Phase II LLC (“Pier Park Crossings Phase II JV”), Mexico Beach Crossings, LLC (“Mexico Beach Crossings JV”), Pier Park Resort Hotel, LLC (“Pier Park Resort Hotel JV”), the 30A Greenway Hotel, LLC (“The Lodge 30A JV”), Panama City Timber Finance Company, LLC and Northwest Florida Timber Finance, LLC. See Note 2. </w:t>
      </w:r>
      <w:r>
        <w:rPr>
          <w:rFonts w:ascii="Times New Roman;Times;serif" w:hAnsi="Times New Roman;Times;serif"/>
          <w:i/>
          <w:sz w:val="20"/>
        </w:rPr>
        <w:t>Summary of Significant Accounting Policies. Basis of Presentation and Principles of Consolidation</w:t>
      </w:r>
      <w:r>
        <w:rPr>
          <w:rFonts w:ascii="Times New Roman;Times;serif" w:hAnsi="Times New Roman;Times;serif"/>
          <w:sz w:val="20"/>
        </w:rPr>
        <w:t xml:space="preserve"> and Note 4. </w:t>
      </w:r>
      <w:r>
        <w:rPr>
          <w:rFonts w:ascii="Times New Roman;Times;serif" w:hAnsi="Times New Roman;Times;serif"/>
          <w:i/>
          <w:sz w:val="20"/>
        </w:rPr>
        <w:t>Joint Ventures</w:t>
      </w:r>
      <w:r>
        <w:rPr>
          <w:rFonts w:ascii="Times New Roman;Times;serif" w:hAnsi="Times New Roman;Times;serif"/>
          <w:sz w:val="20"/>
        </w:rPr>
        <w:t xml:space="preserve"> for additional information. The following assets may only be used to settle obligations of the consolidated joint ventures and the following liabilities are only obligations of the consolidated joint ventures and do not have recourse to the general credit of the Company, except for covenants and guarantees discussed in Note 9. </w:t>
      </w:r>
      <w:r>
        <w:rPr>
          <w:rFonts w:ascii="Times New Roman;Times;serif" w:hAnsi="Times New Roman;Times;serif"/>
          <w:i/>
          <w:sz w:val="20"/>
        </w:rPr>
        <w:t>Debt, Net</w:t>
      </w:r>
      <w:r>
        <w:rPr>
          <w:rFonts w:ascii="Times New Roman;Times;serif" w:hAnsi="Times New Roman;Times;serif"/>
          <w:sz w:val="20"/>
        </w:rPr>
        <w:t>.</w:t>
      </w:r>
    </w:p>
    <w:p>
      <w:pPr>
        <w:pStyle w:val="Normal"/>
        <w:spacing w:before="0" w:after="0"/>
        <w:rPr>
          <w:sz w:val="4"/>
          <w:szCs w:val="4"/>
        </w:rPr>
      </w:pPr>
      <w:r>
        <w:rPr>
          <w:sz w:val="4"/>
          <w:szCs w:val="4"/>
        </w:rPr>
      </w:r>
      <w:bookmarkStart w:id="142" w:name="Tc_trrlVE9UbUuJjMKSZD7Zyg_15_5"/>
      <w:bookmarkStart w:id="143" w:name="Tc_gtWkQ_CwEUq-CaeWW6a5tw_15_2"/>
      <w:bookmarkStart w:id="144" w:name="Tc_87Otze3j7UiWwu_cyRjL1A_15_0"/>
      <w:bookmarkStart w:id="145" w:name="Tc_L_Q909VXxkK8Y1Z48Vx_3g_14_0"/>
      <w:bookmarkStart w:id="146" w:name="Tc_HsO3tSV1NEOvIYBpCyIZAw_13_0"/>
      <w:bookmarkStart w:id="147" w:name="Tc_RNQ3liPBdE6OD52aTlbfbw_12_0"/>
      <w:bookmarkStart w:id="148" w:name="Tc_HbHzBtQP2ESxcip8i5ZY4g_11_5"/>
      <w:bookmarkStart w:id="149" w:name="Tc_L82DLdRdpEOsUACIRTCkNw_11_2"/>
      <w:bookmarkStart w:id="150" w:name="Tc_V3uz11amK0GawVZOS7nluA_11_0"/>
      <w:bookmarkStart w:id="151" w:name="Tc_cUzGDS8x2U25kyHn5BC8GA_10_0"/>
      <w:bookmarkStart w:id="152" w:name="Tc_i81JDnobfkCx6lyx7CUz8Q_9_5"/>
      <w:bookmarkStart w:id="153" w:name="Tc_rtbRXxiRY0-mw6dc-zLUxw_9_2"/>
      <w:bookmarkStart w:id="154" w:name="Tc_9ArbUy1lQEOPwieoEIc11g_9_0"/>
      <w:bookmarkStart w:id="155" w:name="Tc_RASweUGxXEGx-bbXHAb4kw_8_0"/>
      <w:bookmarkStart w:id="156" w:name="Tc_2HmvR-P4Y0CxP7duztvFxQ_7_0"/>
      <w:bookmarkStart w:id="157" w:name="Tc_mb3KvgnZokqjStSbkK5esQ_6_0"/>
      <w:bookmarkStart w:id="158" w:name="Tc_SOn9rk-XH0SrhGeeIvSm0A_5_0"/>
      <w:bookmarkStart w:id="159" w:name="Tc_ZfYJakOxsEO55hI0NT21Qg_4_5"/>
      <w:bookmarkStart w:id="160" w:name="Tc_D1QTQQQTNU2Oe0FpyX9hpw_4_2"/>
      <w:bookmarkStart w:id="161" w:name="Tc_qNiR6NHJlECkF2ENY1Q0Lw_4_0"/>
      <w:bookmarkStart w:id="162" w:name="Tc_R2-wMehk9EK4GKHxdAzFgw_3_0"/>
      <w:bookmarkStart w:id="163" w:name="Tc_uNvSyWBcAki_1__pBrMY4w_2_5"/>
      <w:bookmarkStart w:id="164" w:name="Tc_g59l3okEAkiHquccW1HrMg_2_2"/>
      <w:bookmarkStart w:id="165" w:name="Tc_vUBOw4NNcESCapwJdSgWWg_1_5"/>
      <w:bookmarkStart w:id="166" w:name="Tc_76hBLMc2AE-12NABG2rs0g_1_2"/>
      <w:bookmarkStart w:id="167" w:name="_4e724c21_d012_4afa_a9c3_3fa68bfabe11"/>
      <w:bookmarkStart w:id="168" w:name="Tc_trrlVE9UbUuJjMKSZD7Zyg_15_5"/>
      <w:bookmarkStart w:id="169" w:name="Tc_gtWkQ_CwEUq-CaeWW6a5tw_15_2"/>
      <w:bookmarkStart w:id="170" w:name="Tc_87Otze3j7UiWwu_cyRjL1A_15_0"/>
      <w:bookmarkStart w:id="171" w:name="Tc_L_Q909VXxkK8Y1Z48Vx_3g_14_0"/>
      <w:bookmarkStart w:id="172" w:name="Tc_HsO3tSV1NEOvIYBpCyIZAw_13_0"/>
      <w:bookmarkStart w:id="173" w:name="Tc_RNQ3liPBdE6OD52aTlbfbw_12_0"/>
      <w:bookmarkStart w:id="174" w:name="Tc_HbHzBtQP2ESxcip8i5ZY4g_11_5"/>
      <w:bookmarkStart w:id="175" w:name="Tc_L82DLdRdpEOsUACIRTCkNw_11_2"/>
      <w:bookmarkStart w:id="176" w:name="Tc_V3uz11amK0GawVZOS7nluA_11_0"/>
      <w:bookmarkStart w:id="177" w:name="Tc_cUzGDS8x2U25kyHn5BC8GA_10_0"/>
      <w:bookmarkStart w:id="178" w:name="Tc_i81JDnobfkCx6lyx7CUz8Q_9_5"/>
      <w:bookmarkStart w:id="179" w:name="Tc_rtbRXxiRY0-mw6dc-zLUxw_9_2"/>
      <w:bookmarkStart w:id="180" w:name="Tc_9ArbUy1lQEOPwieoEIc11g_9_0"/>
      <w:bookmarkStart w:id="181" w:name="Tc_RASweUGxXEGx-bbXHAb4kw_8_0"/>
      <w:bookmarkStart w:id="182" w:name="Tc_2HmvR-P4Y0CxP7duztvFxQ_7_0"/>
      <w:bookmarkStart w:id="183" w:name="Tc_mb3KvgnZokqjStSbkK5esQ_6_0"/>
      <w:bookmarkStart w:id="184" w:name="Tc_SOn9rk-XH0SrhGeeIvSm0A_5_0"/>
      <w:bookmarkStart w:id="185" w:name="Tc_ZfYJakOxsEO55hI0NT21Qg_4_5"/>
      <w:bookmarkStart w:id="186" w:name="Tc_D1QTQQQTNU2Oe0FpyX9hpw_4_2"/>
      <w:bookmarkStart w:id="187" w:name="Tc_qNiR6NHJlECkF2ENY1Q0Lw_4_0"/>
      <w:bookmarkStart w:id="188" w:name="Tc_R2-wMehk9EK4GKHxdAzFgw_3_0"/>
      <w:bookmarkStart w:id="189" w:name="Tc_uNvSyWBcAki_1__pBrMY4w_2_5"/>
      <w:bookmarkStart w:id="190" w:name="Tc_g59l3okEAkiHquccW1HrMg_2_2"/>
      <w:bookmarkStart w:id="191" w:name="Tc_vUBOw4NNcESCapwJdSgWWg_1_5"/>
      <w:bookmarkStart w:id="192" w:name="Tc_76hBLMc2AE-12NABG2rs0g_1_2"/>
      <w:bookmarkStart w:id="193" w:name="_4e724c21_d012_4afa_a9c3_3fa68bfabe11"/>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6535" w:type="dxa"/>
        <w:jc w:val="left"/>
        <w:tblInd w:w="0" w:type="dxa"/>
        <w:tblCellMar>
          <w:top w:w="0" w:type="dxa"/>
          <w:left w:w="0" w:type="dxa"/>
          <w:bottom w:w="0" w:type="dxa"/>
          <w:right w:w="0" w:type="dxa"/>
        </w:tblCellMar>
      </w:tblPr>
      <w:tblGrid>
        <w:gridCol w:w="3706"/>
        <w:gridCol w:w="326"/>
        <w:gridCol w:w="211"/>
        <w:gridCol w:w="781"/>
        <w:gridCol w:w="326"/>
        <w:gridCol w:w="228"/>
        <w:gridCol w:w="957"/>
      </w:tblGrid>
      <w:tr>
        <w:trPr/>
        <w:tc>
          <w:tcPr>
            <w:tcW w:w="3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53310" cy="175260"/>
                      <wp:effectExtent l="0" t="0" r="0" b="0"/>
                      <wp:wrapNone/>
                      <wp:docPr id="9" name="Frame9"/>
                      <a:graphic xmlns:a="http://schemas.openxmlformats.org/drawingml/2006/main">
                        <a:graphicData uri="http://schemas.microsoft.com/office/word/2010/wordprocessingShape">
                          <wps:wsp>
                            <wps:cNvSpPr txBox="1"/>
                            <wps:spPr>
                              <a:xfrm>
                                <a:off x="0" y="0"/>
                                <a:ext cx="2353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4780" cy="175260"/>
                      <wp:effectExtent l="0" t="0" r="0" b="0"/>
                      <wp:wrapNone/>
                      <wp:docPr id="14" name="Frame14"/>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07695" cy="175260"/>
                      <wp:effectExtent l="0" t="0" r="0" b="0"/>
                      <wp:wrapNone/>
                      <wp:docPr id="15" name="Frame15"/>
                      <a:graphic xmlns:a="http://schemas.openxmlformats.org/drawingml/2006/main">
                        <a:graphicData uri="http://schemas.microsoft.com/office/word/2010/wordprocessingShape">
                          <wps:wsp>
                            <wps:cNvSpPr txBox="1"/>
                            <wps:spPr>
                              <a:xfrm>
                                <a:off x="0" y="0"/>
                                <a:ext cx="607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06" w:type="dxa"/>
            <w:tcBorders/>
            <w:shd w:fill="CCEE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957" w:type="dxa"/>
            <w:tcBorders/>
            <w:shd w:fill="CCEEFF" w:val="clear"/>
            <w:vAlign w:val="center"/>
          </w:tcPr>
          <w:p>
            <w:pPr>
              <w:pStyle w:val="TableContents"/>
              <w:spacing w:before="0" w:after="0"/>
              <w:ind w:left="0" w:right="0" w:hanging="0"/>
              <w:jc w:val="right"/>
              <w:rPr/>
            </w:pPr>
            <w:r>
              <w:rPr/>
              <w:t>  </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 real estate,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275,886</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272,395</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10,616</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7,353</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13,600</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16,804</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10,410</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7,219</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Investments held by special purpose entities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204,476</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204,863</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514,988</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508,634</w:t>
            </w:r>
          </w:p>
        </w:tc>
      </w:tr>
      <w:tr>
        <w:trPr/>
        <w:tc>
          <w:tcPr>
            <w:tcW w:w="37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957" w:type="dxa"/>
            <w:tcBorders/>
            <w:shd w:fill="auto" w:val="clear"/>
            <w:vAlign w:val="center"/>
          </w:tcPr>
          <w:p>
            <w:pPr>
              <w:pStyle w:val="TableContents"/>
              <w:spacing w:before="0" w:after="0"/>
              <w:ind w:left="0" w:right="0" w:hanging="0"/>
              <w:jc w:val="right"/>
              <w:rPr/>
            </w:pPr>
            <w:r>
              <w:rPr/>
              <w:t>  </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Debt,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268,231</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243,447</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18,834</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Senior Notes held by special purpose entity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177,932</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177,857</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458,701</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440,372</w:t>
            </w:r>
          </w:p>
        </w:tc>
      </w:tr>
    </w:tbl>
    <w:p>
      <w:pPr>
        <w:pStyle w:val="TextBody"/>
        <w:spacing w:before="0" w:after="0"/>
        <w:ind w:left="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94" w:name="_2f874f06_e3cc_483e_a96d_8f2d1ea80520"/>
      <w:bookmarkEnd w:id="194"/>
      <w:r>
        <w:rPr>
          <w:rFonts w:ascii="Times New Roman;Times;serif" w:hAnsi="Times New Roman;Times;serif"/>
          <w:b/>
          <w:sz w:val="20"/>
        </w:rPr>
        <w:t>THE ST. JOE COMPANY</w:t>
      </w:r>
    </w:p>
    <w:p>
      <w:pPr>
        <w:pStyle w:val="TextBody"/>
        <w:spacing w:before="0" w:after="0"/>
        <w:ind w:left="0" w:right="0" w:hanging="0"/>
        <w:jc w:val="center"/>
        <w:rPr>
          <w:rFonts w:ascii="Times New Roman;Times;serif" w:hAnsi="Times New Roman;Times;serif"/>
          <w:b/>
          <w:sz w:val="20"/>
        </w:rPr>
      </w:pPr>
      <w:bookmarkStart w:id="195" w:name="CONDENSEDCONSOLIDATEDSTATEMENTSOFINCOME_"/>
      <w:bookmarkEnd w:id="195"/>
      <w:r>
        <w:rPr>
          <w:rFonts w:ascii="Times New Roman;Times;serif" w:hAnsi="Times New Roman;Times;serif"/>
          <w:b/>
          <w:sz w:val="20"/>
        </w:rPr>
        <w:t>CONDENSED CONSOLIDATED STATEMENTS OF INCOME</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 except per share amounts)</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spacing w:before="0" w:after="0"/>
        <w:rPr>
          <w:sz w:val="4"/>
          <w:szCs w:val="4"/>
        </w:rPr>
      </w:pPr>
      <w:r>
        <w:rPr>
          <w:sz w:val="4"/>
          <w:szCs w:val="4"/>
        </w:rPr>
      </w:r>
      <w:bookmarkStart w:id="196" w:name="Tc_sTDkJAoYy02Z-eBJG0nf0A_38_0"/>
      <w:bookmarkStart w:id="197" w:name="Tc_KKDE5kA2bUW3YtUzM_pdmg_37_0"/>
      <w:bookmarkStart w:id="198" w:name="Tc_zROS8tNQYEGemW_vuClBMQ_36_0"/>
      <w:bookmarkStart w:id="199" w:name="Tc_IASdhlhrGUqJ2QM6-kpAmQ_34_5"/>
      <w:bookmarkStart w:id="200" w:name="Tc_QMEX7DDzWkeLHkXU7eUN-A_34_2"/>
      <w:bookmarkStart w:id="201" w:name="Tc_ObC_V3stK0-9-b5MHJ40Uw_34_0"/>
      <w:bookmarkStart w:id="202" w:name="Tc__R7jtyeLNkGoPP6zny1hSg_33_5"/>
      <w:bookmarkStart w:id="203" w:name="Tc_EpRJERmQK0O-FkHm09glzg_33_2"/>
      <w:bookmarkStart w:id="204" w:name="Tc_UlmhS0PLFEaJpUtRSPpDGQ_33_0"/>
      <w:bookmarkStart w:id="205" w:name="Tc_DYhqnuCwb0CMkTryI-0tFw_32_0"/>
      <w:bookmarkStart w:id="206" w:name="Tc_A1C24rL0-UKSjUkxaERD5g_30_5"/>
      <w:bookmarkStart w:id="207" w:name="Tc_JhInWunAbEWAZkw7QB5x0A_30_2"/>
      <w:bookmarkStart w:id="208" w:name="Tc_OAH1-Q_L8EOaaxtOeMY80Q_30_0"/>
      <w:bookmarkStart w:id="209" w:name="Tc_VE2th02M70ibMVWeqLuJww_29_0"/>
      <w:bookmarkStart w:id="210" w:name="Tc_WuwqeNkhS0SuKXd6VIq-uw_28_0"/>
      <w:bookmarkStart w:id="211" w:name="Tc_uwoM2jO3e0iHwUov3oI8WQ_27_0"/>
      <w:bookmarkStart w:id="212" w:name="Tc_1V7BcqKXxEKT1N5lTvJqUg_26_0"/>
      <w:bookmarkStart w:id="213" w:name="Tc_lL4Sy3Pozk6GLLpJfUgvyQ_25_0"/>
      <w:bookmarkStart w:id="214" w:name="Tc_YCulNeW7Y0-NwIFXRGCVqw_24_0"/>
      <w:bookmarkStart w:id="215" w:name="Tc_cJf8UoIOlU2iKhT9q5DkTA_23_0"/>
      <w:bookmarkStart w:id="216" w:name="Tc_-0i_Usx23EefqvdqfvbvFQ_22_0"/>
      <w:bookmarkStart w:id="217" w:name="Tc_JTbgQV4pcEODFUuFiM3GSg_21_0"/>
      <w:bookmarkStart w:id="218" w:name="Tc_byZ3r0abvUm292lpUdRg3w_20_0"/>
      <w:bookmarkStart w:id="219" w:name="Tc_Mca1GqzzfEaexVVSNtJfaQ_19_0"/>
      <w:bookmarkStart w:id="220" w:name="Tc_NDhx55RoQUuoUX5w-9cAdg_18_0"/>
      <w:bookmarkStart w:id="221" w:name="Tc_ydosoKY7Yk6GtDcMtWIlkA_17_0"/>
      <w:bookmarkStart w:id="222" w:name="Tc_nsi6uItsy0-QqzhRO0cQmw_16_0"/>
      <w:bookmarkStart w:id="223" w:name="Tc_caDxeoyusUCVvZU8zbtFng_15_0"/>
      <w:bookmarkStart w:id="224" w:name="Tc_bdQoPk7gr0Wz5-_CnZ1i-A_14_0"/>
      <w:bookmarkStart w:id="225" w:name="Tc_ffEbJZ0pO0K67vLLzws9bg_13_0"/>
      <w:bookmarkStart w:id="226" w:name="Tc_ARAWJQlsIESPSBfbcDjxaQ_12_0"/>
      <w:bookmarkStart w:id="227" w:name="Tc_xbNBM6SaUkCvPfaIlBqkMQ_11_0"/>
      <w:bookmarkStart w:id="228" w:name="Tc_to6q8TRbU0WffTbMZU1gIw_10_0"/>
      <w:bookmarkStart w:id="229" w:name="Tc_-1yWXML9Ek-wcCtkYz2O_w_9_0"/>
      <w:bookmarkStart w:id="230" w:name="Tc_8rDnYRhPvEa4_mAyIw9YBg_8_0"/>
      <w:bookmarkStart w:id="231" w:name="Tc_xRtmgfv_IUSQPwiOCvT2WQ_7_0"/>
      <w:bookmarkStart w:id="232" w:name="Tc_EbYym_EJvkirEb4dmFM86g_6_0"/>
      <w:bookmarkStart w:id="233" w:name="Tc_jRDuv9Ln_ESXSiwryjB4Rg_5_5"/>
      <w:bookmarkStart w:id="234" w:name="Tc_yOyAcPNp-UGqu8rL1B7n3A_5_2"/>
      <w:bookmarkStart w:id="235" w:name="Tc_h42RJA-2Mkam9QiIYp9oOA_5_0"/>
      <w:bookmarkStart w:id="236" w:name="Tc_xn2266kSU02HPhh4V3O8NQ_4_0"/>
      <w:bookmarkStart w:id="237" w:name="Tc_m8Rjvqoc10e09CRn07GJug_3_5"/>
      <w:bookmarkStart w:id="238" w:name="Tc_jNspYX2u9kO8Zgf6ijedoQ_3_2"/>
      <w:bookmarkStart w:id="239" w:name="Tc_-UUy8MxNGkeNMM-lxQziCw_2_2"/>
      <w:bookmarkStart w:id="240" w:name="Tc_lwUNoP0oAUuRJG0VyQDjlg_1_2"/>
      <w:bookmarkStart w:id="241" w:name="_185a36df_19dd_485d_b828_f81a83194a17"/>
      <w:bookmarkStart w:id="242" w:name="Tc_sTDkJAoYy02Z-eBJG0nf0A_38_0"/>
      <w:bookmarkStart w:id="243" w:name="Tc_KKDE5kA2bUW3YtUzM_pdmg_37_0"/>
      <w:bookmarkStart w:id="244" w:name="Tc_zROS8tNQYEGemW_vuClBMQ_36_0"/>
      <w:bookmarkStart w:id="245" w:name="Tc_IASdhlhrGUqJ2QM6-kpAmQ_34_5"/>
      <w:bookmarkStart w:id="246" w:name="Tc_QMEX7DDzWkeLHkXU7eUN-A_34_2"/>
      <w:bookmarkStart w:id="247" w:name="Tc_ObC_V3stK0-9-b5MHJ40Uw_34_0"/>
      <w:bookmarkStart w:id="248" w:name="Tc__R7jtyeLNkGoPP6zny1hSg_33_5"/>
      <w:bookmarkStart w:id="249" w:name="Tc_EpRJERmQK0O-FkHm09glzg_33_2"/>
      <w:bookmarkStart w:id="250" w:name="Tc_UlmhS0PLFEaJpUtRSPpDGQ_33_0"/>
      <w:bookmarkStart w:id="251" w:name="Tc_DYhqnuCwb0CMkTryI-0tFw_32_0"/>
      <w:bookmarkStart w:id="252" w:name="Tc_A1C24rL0-UKSjUkxaERD5g_30_5"/>
      <w:bookmarkStart w:id="253" w:name="Tc_JhInWunAbEWAZkw7QB5x0A_30_2"/>
      <w:bookmarkStart w:id="254" w:name="Tc_OAH1-Q_L8EOaaxtOeMY80Q_30_0"/>
      <w:bookmarkStart w:id="255" w:name="Tc_VE2th02M70ibMVWeqLuJww_29_0"/>
      <w:bookmarkStart w:id="256" w:name="Tc_WuwqeNkhS0SuKXd6VIq-uw_28_0"/>
      <w:bookmarkStart w:id="257" w:name="Tc_uwoM2jO3e0iHwUov3oI8WQ_27_0"/>
      <w:bookmarkStart w:id="258" w:name="Tc_1V7BcqKXxEKT1N5lTvJqUg_26_0"/>
      <w:bookmarkStart w:id="259" w:name="Tc_lL4Sy3Pozk6GLLpJfUgvyQ_25_0"/>
      <w:bookmarkStart w:id="260" w:name="Tc_YCulNeW7Y0-NwIFXRGCVqw_24_0"/>
      <w:bookmarkStart w:id="261" w:name="Tc_cJf8UoIOlU2iKhT9q5DkTA_23_0"/>
      <w:bookmarkStart w:id="262" w:name="Tc_-0i_Usx23EefqvdqfvbvFQ_22_0"/>
      <w:bookmarkStart w:id="263" w:name="Tc_JTbgQV4pcEODFUuFiM3GSg_21_0"/>
      <w:bookmarkStart w:id="264" w:name="Tc_byZ3r0abvUm292lpUdRg3w_20_0"/>
      <w:bookmarkStart w:id="265" w:name="Tc_Mca1GqzzfEaexVVSNtJfaQ_19_0"/>
      <w:bookmarkStart w:id="266" w:name="Tc_NDhx55RoQUuoUX5w-9cAdg_18_0"/>
      <w:bookmarkStart w:id="267" w:name="Tc_ydosoKY7Yk6GtDcMtWIlkA_17_0"/>
      <w:bookmarkStart w:id="268" w:name="Tc_nsi6uItsy0-QqzhRO0cQmw_16_0"/>
      <w:bookmarkStart w:id="269" w:name="Tc_caDxeoyusUCVvZU8zbtFng_15_0"/>
      <w:bookmarkStart w:id="270" w:name="Tc_bdQoPk7gr0Wz5-_CnZ1i-A_14_0"/>
      <w:bookmarkStart w:id="271" w:name="Tc_ffEbJZ0pO0K67vLLzws9bg_13_0"/>
      <w:bookmarkStart w:id="272" w:name="Tc_ARAWJQlsIESPSBfbcDjxaQ_12_0"/>
      <w:bookmarkStart w:id="273" w:name="Tc_xbNBM6SaUkCvPfaIlBqkMQ_11_0"/>
      <w:bookmarkStart w:id="274" w:name="Tc_to6q8TRbU0WffTbMZU1gIw_10_0"/>
      <w:bookmarkStart w:id="275" w:name="Tc_-1yWXML9Ek-wcCtkYz2O_w_9_0"/>
      <w:bookmarkStart w:id="276" w:name="Tc_8rDnYRhPvEa4_mAyIw9YBg_8_0"/>
      <w:bookmarkStart w:id="277" w:name="Tc_xRtmgfv_IUSQPwiOCvT2WQ_7_0"/>
      <w:bookmarkStart w:id="278" w:name="Tc_EbYym_EJvkirEb4dmFM86g_6_0"/>
      <w:bookmarkStart w:id="279" w:name="Tc_jRDuv9Ln_ESXSiwryjB4Rg_5_5"/>
      <w:bookmarkStart w:id="280" w:name="Tc_yOyAcPNp-UGqu8rL1B7n3A_5_2"/>
      <w:bookmarkStart w:id="281" w:name="Tc_h42RJA-2Mkam9QiIYp9oOA_5_0"/>
      <w:bookmarkStart w:id="282" w:name="Tc_xn2266kSU02HPhh4V3O8NQ_4_0"/>
      <w:bookmarkStart w:id="283" w:name="Tc_m8Rjvqoc10e09CRn07GJug_3_5"/>
      <w:bookmarkStart w:id="284" w:name="Tc_jNspYX2u9kO8Zgf6ijedoQ_3_2"/>
      <w:bookmarkStart w:id="285" w:name="Tc_-UUy8MxNGkeNMM-lxQziCw_2_2"/>
      <w:bookmarkStart w:id="286" w:name="Tc_lwUNoP0oAUuRJG0VyQDjlg_1_2"/>
      <w:bookmarkStart w:id="287" w:name="_185a36df_19dd_485d_b828_f81a83194a17"/>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tbl>
      <w:tblPr>
        <w:tblW w:w="9207" w:type="dxa"/>
        <w:jc w:val="left"/>
        <w:tblInd w:w="0" w:type="dxa"/>
        <w:tblCellMar>
          <w:top w:w="0" w:type="dxa"/>
          <w:left w:w="0" w:type="dxa"/>
          <w:bottom w:w="0" w:type="dxa"/>
          <w:right w:w="0" w:type="dxa"/>
        </w:tblCellMar>
      </w:tblPr>
      <w:tblGrid>
        <w:gridCol w:w="5956"/>
        <w:gridCol w:w="326"/>
        <w:gridCol w:w="211"/>
        <w:gridCol w:w="1036"/>
        <w:gridCol w:w="326"/>
        <w:gridCol w:w="211"/>
        <w:gridCol w:w="1141"/>
      </w:tblGrid>
      <w:tr>
        <w:trPr/>
        <w:tc>
          <w:tcPr>
            <w:tcW w:w="5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782060" cy="175260"/>
                      <wp:effectExtent l="0" t="0" r="0" b="0"/>
                      <wp:wrapNone/>
                      <wp:docPr id="16" name="Frame16"/>
                      <a:graphic xmlns:a="http://schemas.openxmlformats.org/drawingml/2006/main">
                        <a:graphicData uri="http://schemas.microsoft.com/office/word/2010/wordprocessingShape">
                          <wps:wsp>
                            <wps:cNvSpPr txBox="1"/>
                            <wps:spPr>
                              <a:xfrm>
                                <a:off x="0" y="0"/>
                                <a:ext cx="3782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57860" cy="175260"/>
                      <wp:effectExtent l="0" t="0" r="0" b="0"/>
                      <wp:wrapNone/>
                      <wp:docPr id="19" name="Frame1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24535" cy="175260"/>
                      <wp:effectExtent l="0" t="0" r="0" b="0"/>
                      <wp:wrapNone/>
                      <wp:docPr id="22" name="Frame2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36,774</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16,321</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Leasing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8,822</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Timber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2,954</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72,991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64,871</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real estate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15,295</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hospitality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14,868</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leasing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3,652</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timber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5,656</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depletion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7,322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5,026</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61,687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44,647</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11,304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20,224</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income,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(4,153)</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 income (loss) from unconsolidated joint ventures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17,989</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(4,536)</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13,453</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 attributable to non-controlling interest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the Company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13,412</w:t>
            </w:r>
          </w:p>
        </w:tc>
      </w:tr>
      <w:tr>
        <w:trPr/>
        <w:tc>
          <w:tcPr>
            <w:tcW w:w="5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PER SHARE ATTRIBUTABLE TO THE COMPANY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r>
      <w:tr>
        <w:trPr/>
        <w:tc>
          <w:tcPr>
            <w:tcW w:w="5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WEIGHTED AVERAGE SHARES OUTSTANDING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58,309,093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58,882,549</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58,309,093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58,886,931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88" w:name="_08407ade_856c_405a_a24b_726a79c7f871"/>
      <w:bookmarkEnd w:id="288"/>
      <w:r>
        <w:rPr>
          <w:rFonts w:ascii="Times New Roman;Times;serif" w:hAnsi="Times New Roman;Times;serif"/>
          <w:b/>
          <w:sz w:val="20"/>
        </w:rPr>
        <w:t>THE ST. JOE COMPANY</w:t>
      </w:r>
    </w:p>
    <w:p>
      <w:pPr>
        <w:pStyle w:val="TextBody"/>
        <w:spacing w:before="0" w:after="0"/>
        <w:ind w:left="0" w:right="0" w:hanging="0"/>
        <w:jc w:val="center"/>
        <w:rPr>
          <w:rFonts w:ascii="Times New Roman;Times;serif" w:hAnsi="Times New Roman;Times;serif"/>
          <w:b/>
          <w:sz w:val="20"/>
        </w:rPr>
      </w:pPr>
      <w:bookmarkStart w:id="289" w:name="CONDENSEDCONSOLIDATEDSTATEMENTSOFCOMPREH"/>
      <w:bookmarkEnd w:id="289"/>
      <w:r>
        <w:rPr>
          <w:rFonts w:ascii="Times New Roman;Times;serif" w:hAnsi="Times New Roman;Times;serif"/>
          <w:b/>
          <w:sz w:val="20"/>
        </w:rPr>
        <w:t>CONDENSED CONSOLIDATED STATEMENTS OF COMPREHENSIVE INCOME</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spacing w:before="0" w:after="0"/>
        <w:rPr>
          <w:sz w:val="4"/>
          <w:szCs w:val="4"/>
        </w:rPr>
      </w:pPr>
      <w:r>
        <w:rPr>
          <w:sz w:val="4"/>
          <w:szCs w:val="4"/>
        </w:rPr>
      </w:r>
      <w:bookmarkStart w:id="290" w:name="Tc_qNcu3oq4ekmL7wpxHbeNIg_15_5"/>
      <w:bookmarkStart w:id="291" w:name="Tc_nt-ODyXUvkOcSdJMtnPBrg_15_2"/>
      <w:bookmarkStart w:id="292" w:name="Tc_u86S7jRSDkmD-1cha4-A0Q_15_0"/>
      <w:bookmarkStart w:id="293" w:name="Tc_QlpAgVMOtkSOTDdKZiLEmQ_14_0"/>
      <w:bookmarkStart w:id="294" w:name="Tc_3E-suUOZBUiLjvGoWdra1Q_13_0"/>
      <w:bookmarkStart w:id="295" w:name="Tc_fgZDVsC-0U-Eigitc3nCQA_12_0"/>
      <w:bookmarkStart w:id="296" w:name="Tc_CCrWuyPjPEW5ETt4-paLlw_11_0"/>
      <w:bookmarkStart w:id="297" w:name="Tc_yDxU7ih4tUm_NW2ydOxx5w_10_0"/>
      <w:bookmarkStart w:id="298" w:name="Tc_bdQ1Jqz0j0Wq1RYRuufutA_9_0"/>
      <w:bookmarkStart w:id="299" w:name="Tc_qZjkX5tKhkGIuXLEBlcKkw_8_0"/>
      <w:bookmarkStart w:id="300" w:name="Tc_D6nUDVI-HEmFPcgbkaZpSg_7_0"/>
      <w:bookmarkStart w:id="301" w:name="Tc_zq1BwVpUBkK-NbW5Vo1jow_6_0"/>
      <w:bookmarkStart w:id="302" w:name="Tc_Kl9mbj1zeEeHe0JPBjNANA_5_0"/>
      <w:bookmarkStart w:id="303" w:name="Tc_mgem1vrOikGpI5VKoa3QuA_4_5"/>
      <w:bookmarkStart w:id="304" w:name="Tc_dUA0Si0oVECBX9As59jt8g_4_2"/>
      <w:bookmarkStart w:id="305" w:name="Tc_1BeU8dADFUS_3EGsElQ4sQ_4_0"/>
      <w:bookmarkStart w:id="306" w:name="Tc_uYy-DssVPEqzmp6yNWaDOA_3_5"/>
      <w:bookmarkStart w:id="307" w:name="Tc_bDtv-18MfUyPpAtKqF4bMQ_3_2"/>
      <w:bookmarkStart w:id="308" w:name="Tc_otd-BVs0T0qZGJITw976bQ_2_2"/>
      <w:bookmarkStart w:id="309" w:name="Tc_c16ufjlTokWOpmNT_PL6Ig_1_2"/>
      <w:bookmarkStart w:id="310" w:name="_28c5e4e5_6d93_4c6d_bcab_f1a712b3720a"/>
      <w:bookmarkStart w:id="311" w:name="Tc_qNcu3oq4ekmL7wpxHbeNIg_15_5"/>
      <w:bookmarkStart w:id="312" w:name="Tc_nt-ODyXUvkOcSdJMtnPBrg_15_2"/>
      <w:bookmarkStart w:id="313" w:name="Tc_u86S7jRSDkmD-1cha4-A0Q_15_0"/>
      <w:bookmarkStart w:id="314" w:name="Tc_QlpAgVMOtkSOTDdKZiLEmQ_14_0"/>
      <w:bookmarkStart w:id="315" w:name="Tc_3E-suUOZBUiLjvGoWdra1Q_13_0"/>
      <w:bookmarkStart w:id="316" w:name="Tc_fgZDVsC-0U-Eigitc3nCQA_12_0"/>
      <w:bookmarkStart w:id="317" w:name="Tc_CCrWuyPjPEW5ETt4-paLlw_11_0"/>
      <w:bookmarkStart w:id="318" w:name="Tc_yDxU7ih4tUm_NW2ydOxx5w_10_0"/>
      <w:bookmarkStart w:id="319" w:name="Tc_bdQ1Jqz0j0Wq1RYRuufutA_9_0"/>
      <w:bookmarkStart w:id="320" w:name="Tc_qZjkX5tKhkGIuXLEBlcKkw_8_0"/>
      <w:bookmarkStart w:id="321" w:name="Tc_D6nUDVI-HEmFPcgbkaZpSg_7_0"/>
      <w:bookmarkStart w:id="322" w:name="Tc_zq1BwVpUBkK-NbW5Vo1jow_6_0"/>
      <w:bookmarkStart w:id="323" w:name="Tc_Kl9mbj1zeEeHe0JPBjNANA_5_0"/>
      <w:bookmarkStart w:id="324" w:name="Tc_mgem1vrOikGpI5VKoa3QuA_4_5"/>
      <w:bookmarkStart w:id="325" w:name="Tc_dUA0Si0oVECBX9As59jt8g_4_2"/>
      <w:bookmarkStart w:id="326" w:name="Tc_1BeU8dADFUS_3EGsElQ4sQ_4_0"/>
      <w:bookmarkStart w:id="327" w:name="Tc_uYy-DssVPEqzmp6yNWaDOA_3_5"/>
      <w:bookmarkStart w:id="328" w:name="Tc_bDtv-18MfUyPpAtKqF4bMQ_3_2"/>
      <w:bookmarkStart w:id="329" w:name="Tc_otd-BVs0T0qZGJITw976bQ_2_2"/>
      <w:bookmarkStart w:id="330" w:name="Tc_c16ufjlTokWOpmNT_PL6Ig_1_2"/>
      <w:bookmarkStart w:id="331" w:name="_28c5e4e5_6d93_4c6d_bcab_f1a712b3720a"/>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tbl>
      <w:tblPr>
        <w:tblW w:w="8667" w:type="dxa"/>
        <w:jc w:val="left"/>
        <w:tblInd w:w="0" w:type="dxa"/>
        <w:tblCellMar>
          <w:top w:w="0" w:type="dxa"/>
          <w:left w:w="0" w:type="dxa"/>
          <w:bottom w:w="0" w:type="dxa"/>
          <w:right w:w="0" w:type="dxa"/>
        </w:tblCellMar>
      </w:tblPr>
      <w:tblGrid>
        <w:gridCol w:w="6136"/>
        <w:gridCol w:w="326"/>
        <w:gridCol w:w="211"/>
        <w:gridCol w:w="676"/>
        <w:gridCol w:w="326"/>
        <w:gridCol w:w="211"/>
        <w:gridCol w:w="781"/>
      </w:tblGrid>
      <w:tr>
        <w:trPr/>
        <w:tc>
          <w:tcPr>
            <w:tcW w:w="61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896360" cy="175260"/>
                      <wp:effectExtent l="0" t="0" r="0" b="0"/>
                      <wp:wrapNone/>
                      <wp:docPr id="23" name="Frame23"/>
                      <a:graphic xmlns:a="http://schemas.openxmlformats.org/drawingml/2006/main">
                        <a:graphicData uri="http://schemas.microsoft.com/office/word/2010/wordprocessingShape">
                          <wps:wsp>
                            <wps:cNvSpPr txBox="1"/>
                            <wps:spPr>
                              <a:xfrm>
                                <a:off x="0" y="0"/>
                                <a:ext cx="3896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1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1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1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13,453</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unrealized gain (loss) on available-for-sale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2,308</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 - unconsolidated joint venture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Reclassification of net realized (gain) loss included in earnings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before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2,446</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 (expense)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comprehensive (loss) income, net of tax</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income, net of tax</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15,454</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loss (income) attributable to non-controlling interest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income attributable to the Company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10,033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14,721</w:t>
            </w:r>
          </w:p>
        </w:tc>
      </w:tr>
    </w:tbl>
    <w:p>
      <w:pPr>
        <w:pStyle w:val="TextBody"/>
        <w:spacing w:before="0" w:after="0"/>
        <w:ind w:left="36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pPr>
      <w:bookmarkStart w:id="332" w:name="_Hlk83021714"/>
      <w:bookmarkStart w:id="333" w:name="_9d2e95dc_2466_4599_91c8_124dffdd6110"/>
      <w:bookmarkEnd w:id="332"/>
      <w:bookmarkEnd w:id="333"/>
      <w:r>
        <w:rPr/>
        <w:t>​</w:t>
      </w:r>
    </w:p>
    <w:p>
      <w:pPr>
        <w:pStyle w:val="TextBody"/>
        <w:spacing w:before="0" w:after="0"/>
        <w:ind w:left="0" w:right="0" w:hanging="0"/>
        <w:jc w:val="center"/>
        <w:rPr>
          <w:rFonts w:ascii="Times New Roman;Times;serif" w:hAnsi="Times New Roman;Times;serif"/>
          <w:b/>
          <w:sz w:val="20"/>
        </w:rPr>
      </w:pPr>
      <w:bookmarkStart w:id="334" w:name="Equity_Statement"/>
      <w:bookmarkEnd w:id="334"/>
      <w:r>
        <w:rPr>
          <w:rFonts w:ascii="Times New Roman;Times;serif" w:hAnsi="Times New Roman;Times;serif"/>
          <w:b/>
          <w:sz w:val="20"/>
        </w:rPr>
        <w:t>THE ST. JOE COMPANY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spacing w:before="0" w:after="0"/>
        <w:rPr>
          <w:sz w:val="4"/>
          <w:szCs w:val="4"/>
        </w:rPr>
      </w:pPr>
      <w:r>
        <w:rPr>
          <w:sz w:val="4"/>
          <w:szCs w:val="4"/>
        </w:rPr>
      </w:r>
      <w:bookmarkStart w:id="335" w:name="Tc_jp3D-eN_TkqcGIcHNlUSdA_13_16"/>
      <w:bookmarkStart w:id="336" w:name="Tc_1ZQVUvZBiUOUSNGuycF6kg_13_13"/>
      <w:bookmarkStart w:id="337" w:name="Tc_bZ2Gzpk5BU6CQhMoeZJ4OA_13_10"/>
      <w:bookmarkStart w:id="338" w:name="Tc_s46qdxdYS0uYVjylDM3RDQ_13_7"/>
      <w:bookmarkStart w:id="339" w:name="Tc_4-uTC8-SgEq9qJmPTL03_Q_13_4"/>
      <w:bookmarkStart w:id="340" w:name="Tc_L3QDxjlJLEipyyXi8-2Iqg_13_0"/>
      <w:bookmarkStart w:id="341" w:name="Tc_IQ9wOfhKUkaZPM9b7e6_dQ_12_11"/>
      <w:bookmarkStart w:id="342" w:name="Tc_ESjrW7a8S0CvPljpOihWGA_12_5"/>
      <w:bookmarkStart w:id="343" w:name="Tc_dx2PUPA6uEGxtEUQXDPjwQ_12_2"/>
      <w:bookmarkStart w:id="344" w:name="Tc_AZq51ehchUKN9T5nhzCPTQ_12_0"/>
      <w:bookmarkStart w:id="345" w:name="Tc_xcM-Fg94m0SGhbjKZaFgUQ_11_8"/>
      <w:bookmarkStart w:id="346" w:name="Tc_-hdC2flW5EuilpxKVyxOrw_11_5"/>
      <w:bookmarkStart w:id="347" w:name="Tc_XyLDcS0Md0Owfx94eG1ngg_11_2"/>
      <w:bookmarkStart w:id="348" w:name="Tc_ZPhjaceFAk6oHv3zgxYXYw_11_0"/>
      <w:bookmarkStart w:id="349" w:name="Tc_AlxYOQ1eikuNyrCTfHvKyQ_10_14"/>
      <w:bookmarkStart w:id="350" w:name="Tc_v2OPJj3Ht023eQ4bh-_LmQ_10_11"/>
      <w:bookmarkStart w:id="351" w:name="Tc_nrOO-AZPgE6pnj7vWcXlBQ_10_5"/>
      <w:bookmarkStart w:id="352" w:name="Tc_p5XAnIMnLEK_QL6lk_zinA_10_2"/>
      <w:bookmarkStart w:id="353" w:name="Tc_Xa7tYQRuaEGIjz2Iq7BtpQ_10_0"/>
      <w:bookmarkStart w:id="354" w:name="Tc_DO7WLGjAB0GyfJOVGr7Ndw_9_14"/>
      <w:bookmarkStart w:id="355" w:name="Tc_D1E0JaIDe022jfLiD8wrdw_9_11"/>
      <w:bookmarkStart w:id="356" w:name="Tc_V09mhseE6UKjAkOdnD9Kig_9_8"/>
      <w:bookmarkStart w:id="357" w:name="Tc_PCb-H4yHSEK9YKdzbtcC3A_9_2"/>
      <w:bookmarkStart w:id="358" w:name="Tc_On2Up_XZJkenwhV3J7EGnQ_9_0"/>
      <w:bookmarkStart w:id="359" w:name="Tc_RQMpgTw_iESbasqk96oasg_8_17"/>
      <w:bookmarkStart w:id="360" w:name="Tc__G9U6JN4wEOVL-xYKkAt0A_8_14"/>
      <w:bookmarkStart w:id="361" w:name="Tc_gu3_JiWPKUeazVQYJvb_QQ_8_11"/>
      <w:bookmarkStart w:id="362" w:name="Tc_JvtxkOwawkCnHWTwlMq_-Q_8_8"/>
      <w:bookmarkStart w:id="363" w:name="Tc_0wzp99NIZkOWX1Y4UoIbEw_8_5"/>
      <w:bookmarkStart w:id="364" w:name="Tc_rbiVqVEzV0yK6Ga1CrBFMg_8_0"/>
      <w:bookmarkStart w:id="365" w:name="Tc_It2zQOq1N0iZ3e7b5CgH_w_7_11"/>
      <w:bookmarkStart w:id="366" w:name="Tc_7teAlGaBV0yWiCw7yPe1bg_7_8"/>
      <w:bookmarkStart w:id="367" w:name="Tc_T83tyyV1-ECKEyp0_rmsDQ_7_5"/>
      <w:bookmarkStart w:id="368" w:name="Tc_UH6MV3HG50WSh4lz7S-XJA_7_2"/>
      <w:bookmarkStart w:id="369" w:name="Tc_-motgBp1y0Sp0yn40obqLw_7_0"/>
      <w:bookmarkStart w:id="370" w:name="Tc_WnK3UL_kt0y58-2a9Ob3-w_6_11"/>
      <w:bookmarkStart w:id="371" w:name="Tc_12kmd9QSe0Gx_FZfvqZ0qw_6_8"/>
      <w:bookmarkStart w:id="372" w:name="Tc_9-Y12CitqE6sNeDCcaUiTA_6_5"/>
      <w:bookmarkStart w:id="373" w:name="Tc_9pYAQq3w0Ue4gmHKAGqNPg_6_2"/>
      <w:bookmarkStart w:id="374" w:name="Tc_O6NbeHHv1kOxOlZ81FMCbA_6_0"/>
      <w:bookmarkStart w:id="375" w:name="Tc_REX_Q-ZFBkGk_6Rr_Q-9WQ_5_16"/>
      <w:bookmarkStart w:id="376" w:name="Tc_TOL_peJVpkKqIKwaizCehA_5_13"/>
      <w:bookmarkStart w:id="377" w:name="Tc_5EXAUv5RA0GlERv4AXrcCw_5_10"/>
      <w:bookmarkStart w:id="378" w:name="Tc_blGLmmasd0Gv5Cu0JAVC_g_5_7"/>
      <w:bookmarkStart w:id="379" w:name="Tc_67DA5j0YEUmkqeEIquCc6Q_5_4"/>
      <w:bookmarkStart w:id="380" w:name="Tc_9JBuzeye3EKpT_9W15zpkw_5_0"/>
      <w:bookmarkStart w:id="381" w:name="Tc_DMef6CPrEUWECdhG2_I-ag_4_17"/>
      <w:bookmarkStart w:id="382" w:name="Tc_H2WfVd7FD0Gs1LarLOw7Ig_4_14"/>
      <w:bookmarkStart w:id="383" w:name="Tc_Xryz0lsyQkiBOCJVSSGB6w_4_11"/>
      <w:bookmarkStart w:id="384" w:name="Tc_YFAqqfHQnkKED9WT5enSxw_4_8"/>
      <w:bookmarkStart w:id="385" w:name="Tc_SYGHtzqjcEKtxRC71guZqA_4_5"/>
      <w:bookmarkStart w:id="386" w:name="Tc_l4uO2oGJoU-NIP8b6LlQXg_4_2"/>
      <w:bookmarkStart w:id="387" w:name="Tc_LvpfImoLWk2_-WS0rkwzhg_3_14"/>
      <w:bookmarkStart w:id="388" w:name="Tc_SpycYixgqUqQPX79zEYeYQ_3_11"/>
      <w:bookmarkStart w:id="389" w:name="Tc_dzXj-zLxA0uYa_3huhSh4Q_3_8"/>
      <w:bookmarkStart w:id="390" w:name="Tc_ZSsC3pIXt0CMMygJd_GGZQ_3_2"/>
      <w:bookmarkStart w:id="391" w:name="Tc_rcJV8FynkUCg8VvkkStlOg_2_11"/>
      <w:bookmarkStart w:id="392" w:name="Tc_tqwI26ZcZ0uqPtAFD6d7AA_2_2"/>
      <w:bookmarkStart w:id="393" w:name="_1da09236_8205_4c4f_8fa8_29704afc0745"/>
      <w:bookmarkStart w:id="394" w:name="Tc_jp3D-eN_TkqcGIcHNlUSdA_13_16"/>
      <w:bookmarkStart w:id="395" w:name="Tc_1ZQVUvZBiUOUSNGuycF6kg_13_13"/>
      <w:bookmarkStart w:id="396" w:name="Tc_bZ2Gzpk5BU6CQhMoeZJ4OA_13_10"/>
      <w:bookmarkStart w:id="397" w:name="Tc_s46qdxdYS0uYVjylDM3RDQ_13_7"/>
      <w:bookmarkStart w:id="398" w:name="Tc_4-uTC8-SgEq9qJmPTL03_Q_13_4"/>
      <w:bookmarkStart w:id="399" w:name="Tc_L3QDxjlJLEipyyXi8-2Iqg_13_0"/>
      <w:bookmarkStart w:id="400" w:name="Tc_IQ9wOfhKUkaZPM9b7e6_dQ_12_11"/>
      <w:bookmarkStart w:id="401" w:name="Tc_ESjrW7a8S0CvPljpOihWGA_12_5"/>
      <w:bookmarkStart w:id="402" w:name="Tc_dx2PUPA6uEGxtEUQXDPjwQ_12_2"/>
      <w:bookmarkStart w:id="403" w:name="Tc_AZq51ehchUKN9T5nhzCPTQ_12_0"/>
      <w:bookmarkStart w:id="404" w:name="Tc_xcM-Fg94m0SGhbjKZaFgUQ_11_8"/>
      <w:bookmarkStart w:id="405" w:name="Tc_-hdC2flW5EuilpxKVyxOrw_11_5"/>
      <w:bookmarkStart w:id="406" w:name="Tc_XyLDcS0Md0Owfx94eG1ngg_11_2"/>
      <w:bookmarkStart w:id="407" w:name="Tc_ZPhjaceFAk6oHv3zgxYXYw_11_0"/>
      <w:bookmarkStart w:id="408" w:name="Tc_AlxYOQ1eikuNyrCTfHvKyQ_10_14"/>
      <w:bookmarkStart w:id="409" w:name="Tc_v2OPJj3Ht023eQ4bh-_LmQ_10_11"/>
      <w:bookmarkStart w:id="410" w:name="Tc_nrOO-AZPgE6pnj7vWcXlBQ_10_5"/>
      <w:bookmarkStart w:id="411" w:name="Tc_p5XAnIMnLEK_QL6lk_zinA_10_2"/>
      <w:bookmarkStart w:id="412" w:name="Tc_Xa7tYQRuaEGIjz2Iq7BtpQ_10_0"/>
      <w:bookmarkStart w:id="413" w:name="Tc_DO7WLGjAB0GyfJOVGr7Ndw_9_14"/>
      <w:bookmarkStart w:id="414" w:name="Tc_D1E0JaIDe022jfLiD8wrdw_9_11"/>
      <w:bookmarkStart w:id="415" w:name="Tc_V09mhseE6UKjAkOdnD9Kig_9_8"/>
      <w:bookmarkStart w:id="416" w:name="Tc_PCb-H4yHSEK9YKdzbtcC3A_9_2"/>
      <w:bookmarkStart w:id="417" w:name="Tc_On2Up_XZJkenwhV3J7EGnQ_9_0"/>
      <w:bookmarkStart w:id="418" w:name="Tc_RQMpgTw_iESbasqk96oasg_8_17"/>
      <w:bookmarkStart w:id="419" w:name="Tc__G9U6JN4wEOVL-xYKkAt0A_8_14"/>
      <w:bookmarkStart w:id="420" w:name="Tc_gu3_JiWPKUeazVQYJvb_QQ_8_11"/>
      <w:bookmarkStart w:id="421" w:name="Tc_JvtxkOwawkCnHWTwlMq_-Q_8_8"/>
      <w:bookmarkStart w:id="422" w:name="Tc_0wzp99NIZkOWX1Y4UoIbEw_8_5"/>
      <w:bookmarkStart w:id="423" w:name="Tc_rbiVqVEzV0yK6Ga1CrBFMg_8_0"/>
      <w:bookmarkStart w:id="424" w:name="Tc_It2zQOq1N0iZ3e7b5CgH_w_7_11"/>
      <w:bookmarkStart w:id="425" w:name="Tc_7teAlGaBV0yWiCw7yPe1bg_7_8"/>
      <w:bookmarkStart w:id="426" w:name="Tc_T83tyyV1-ECKEyp0_rmsDQ_7_5"/>
      <w:bookmarkStart w:id="427" w:name="Tc_UH6MV3HG50WSh4lz7S-XJA_7_2"/>
      <w:bookmarkStart w:id="428" w:name="Tc_-motgBp1y0Sp0yn40obqLw_7_0"/>
      <w:bookmarkStart w:id="429" w:name="Tc_WnK3UL_kt0y58-2a9Ob3-w_6_11"/>
      <w:bookmarkStart w:id="430" w:name="Tc_12kmd9QSe0Gx_FZfvqZ0qw_6_8"/>
      <w:bookmarkStart w:id="431" w:name="Tc_9-Y12CitqE6sNeDCcaUiTA_6_5"/>
      <w:bookmarkStart w:id="432" w:name="Tc_9pYAQq3w0Ue4gmHKAGqNPg_6_2"/>
      <w:bookmarkStart w:id="433" w:name="Tc_O6NbeHHv1kOxOlZ81FMCbA_6_0"/>
      <w:bookmarkStart w:id="434" w:name="Tc_REX_Q-ZFBkGk_6Rr_Q-9WQ_5_16"/>
      <w:bookmarkStart w:id="435" w:name="Tc_TOL_peJVpkKqIKwaizCehA_5_13"/>
      <w:bookmarkStart w:id="436" w:name="Tc_5EXAUv5RA0GlERv4AXrcCw_5_10"/>
      <w:bookmarkStart w:id="437" w:name="Tc_blGLmmasd0Gv5Cu0JAVC_g_5_7"/>
      <w:bookmarkStart w:id="438" w:name="Tc_67DA5j0YEUmkqeEIquCc6Q_5_4"/>
      <w:bookmarkStart w:id="439" w:name="Tc_9JBuzeye3EKpT_9W15zpkw_5_0"/>
      <w:bookmarkStart w:id="440" w:name="Tc_DMef6CPrEUWECdhG2_I-ag_4_17"/>
      <w:bookmarkStart w:id="441" w:name="Tc_H2WfVd7FD0Gs1LarLOw7Ig_4_14"/>
      <w:bookmarkStart w:id="442" w:name="Tc_Xryz0lsyQkiBOCJVSSGB6w_4_11"/>
      <w:bookmarkStart w:id="443" w:name="Tc_YFAqqfHQnkKED9WT5enSxw_4_8"/>
      <w:bookmarkStart w:id="444" w:name="Tc_SYGHtzqjcEKtxRC71guZqA_4_5"/>
      <w:bookmarkStart w:id="445" w:name="Tc_l4uO2oGJoU-NIP8b6LlQXg_4_2"/>
      <w:bookmarkStart w:id="446" w:name="Tc_LvpfImoLWk2_-WS0rkwzhg_3_14"/>
      <w:bookmarkStart w:id="447" w:name="Tc_SpycYixgqUqQPX79zEYeYQ_3_11"/>
      <w:bookmarkStart w:id="448" w:name="Tc_dzXj-zLxA0uYa_3huhSh4Q_3_8"/>
      <w:bookmarkStart w:id="449" w:name="Tc_ZSsC3pIXt0CMMygJd_GGZQ_3_2"/>
      <w:bookmarkStart w:id="450" w:name="Tc_rcJV8FynkUCg8VvkkStlOg_2_11"/>
      <w:bookmarkStart w:id="451" w:name="Tc_tqwI26ZcZ0uqPtAFD6d7AA_2_2"/>
      <w:bookmarkStart w:id="452" w:name="_1da09236_8205_4c4f_8fa8_29704afc0745"/>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tbl>
      <w:tblPr>
        <w:tblW w:w="11173" w:type="dxa"/>
        <w:jc w:val="left"/>
        <w:tblInd w:w="0" w:type="dxa"/>
        <w:tblCellMar>
          <w:top w:w="0" w:type="dxa"/>
          <w:left w:w="0" w:type="dxa"/>
          <w:bottom w:w="0" w:type="dxa"/>
          <w:right w:w="0" w:type="dxa"/>
        </w:tblCellMar>
      </w:tblPr>
      <w:tblGrid>
        <w:gridCol w:w="1741"/>
        <w:gridCol w:w="326"/>
        <w:gridCol w:w="1036"/>
        <w:gridCol w:w="326"/>
        <w:gridCol w:w="326"/>
        <w:gridCol w:w="781"/>
        <w:gridCol w:w="326"/>
        <w:gridCol w:w="326"/>
        <w:gridCol w:w="781"/>
        <w:gridCol w:w="326"/>
        <w:gridCol w:w="211"/>
        <w:gridCol w:w="1216"/>
        <w:gridCol w:w="326"/>
        <w:gridCol w:w="326"/>
        <w:gridCol w:w="1261"/>
        <w:gridCol w:w="326"/>
        <w:gridCol w:w="326"/>
        <w:gridCol w:w="886"/>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105535" cy="175260"/>
                      <wp:effectExtent l="0" t="0" r="0" b="0"/>
                      <wp:wrapNone/>
                      <wp:docPr id="30" name="Frame30"/>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57860" cy="175260"/>
                      <wp:effectExtent l="0" t="0" r="0" b="0"/>
                      <wp:wrapNone/>
                      <wp:docPr id="32" name="Frame3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35" name="Frame3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5935" cy="175260"/>
                      <wp:effectExtent l="0" t="0" r="0" b="0"/>
                      <wp:wrapNone/>
                      <wp:docPr id="38" name="Frame3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72160" cy="175260"/>
                      <wp:effectExtent l="0" t="0" r="0" b="0"/>
                      <wp:wrapNone/>
                      <wp:docPr id="41" name="Frame41"/>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800735" cy="175260"/>
                      <wp:effectExtent l="0" t="0" r="0" b="0"/>
                      <wp:wrapNone/>
                      <wp:docPr id="44" name="Frame44"/>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62610" cy="175260"/>
                      <wp:effectExtent l="0" t="0" r="0" b="0"/>
                      <wp:wrapNone/>
                      <wp:docPr id="47" name="Frame4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center"/>
              <w:rPr/>
            </w:pPr>
            <w:r>
              <w:rPr/>
              <w:t>​</w: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6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Balance at December 31, 2022</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58,335,541</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270,028</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358,344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2,430</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20,307</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651,109</w:t>
            </w:r>
          </w:p>
        </w:tc>
      </w:tr>
      <w:tr>
        <w:trPr/>
        <w:tc>
          <w:tcPr>
            <w:tcW w:w="174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Capital contributions from non-controlling interest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214</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214</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Capital distributions to non-controlling interest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(2,094)</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(2,094)</w:t>
            </w:r>
          </w:p>
        </w:tc>
      </w:tr>
      <w:tr>
        <w:trPr/>
        <w:tc>
          <w:tcPr>
            <w:tcW w:w="174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Issuance of restricted stock</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36,499</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Stock based compensation expense</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141</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141</w:t>
            </w:r>
          </w:p>
        </w:tc>
      </w:tr>
      <w:tr>
        <w:trPr/>
        <w:tc>
          <w:tcPr>
            <w:tcW w:w="1741"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9"/>
              </w:rPr>
              <w:t>Dividends ($0.10</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(5,837)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(5,837)</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Other comprehensive loss, net of tax</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(357)</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(274)</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(631)</w:t>
            </w:r>
          </w:p>
        </w:tc>
      </w:tr>
      <w:tr>
        <w:trPr/>
        <w:tc>
          <w:tcPr>
            <w:tcW w:w="174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Net income (loss)</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10,390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(909)</w:t>
            </w:r>
          </w:p>
        </w:tc>
        <w:tc>
          <w:tcPr>
            <w:tcW w:w="326"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9,481</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Balance at March 31, 2023</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58,372,040</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270,169</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362,897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2,073</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17,244</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19"/>
              </w:rPr>
            </w:pPr>
            <w:r>
              <w:rPr>
                <w:rFonts w:ascii="Times New Roman;Times;serif" w:hAnsi="Times New Roman;Times;serif"/>
                <w:b/>
                <w:sz w:val="19"/>
              </w:rPr>
              <w:t>652,383</w:t>
            </w:r>
          </w:p>
        </w:tc>
      </w:tr>
    </w:tbl>
    <w:p>
      <w:pPr>
        <w:pStyle w:val="TextBody"/>
        <w:spacing w:before="0" w:after="240"/>
        <w:ind w:left="0" w:right="0" w:hanging="0"/>
        <w:rPr/>
      </w:pPr>
      <w:r>
        <w:rPr/>
        <w:t>​</w:t>
      </w:r>
    </w:p>
    <w:p>
      <w:pPr>
        <w:pStyle w:val="TextBody"/>
        <w:spacing w:before="0" w:after="240"/>
        <w:ind w:left="0" w:right="0" w:hanging="0"/>
        <w:rPr/>
      </w:pPr>
      <w:r>
        <w:rPr/>
        <w:t>​</w:t>
      </w:r>
    </w:p>
    <w:p>
      <w:pPr>
        <w:pStyle w:val="Normal"/>
        <w:spacing w:before="0" w:after="0"/>
        <w:rPr>
          <w:sz w:val="4"/>
          <w:szCs w:val="4"/>
        </w:rPr>
      </w:pPr>
      <w:r>
        <w:rPr>
          <w:sz w:val="4"/>
          <w:szCs w:val="4"/>
        </w:rPr>
      </w:r>
      <w:bookmarkStart w:id="453" w:name="Tc_VJHwy7-r3UW_64Dr2cYt1Q_13_16"/>
      <w:bookmarkStart w:id="454" w:name="Tc_gZpGWJq2GUmmSz5zT7jReA_13_13"/>
      <w:bookmarkStart w:id="455" w:name="Tc_aT0aSo_ilkeJenRA-4fCDw_13_10"/>
      <w:bookmarkStart w:id="456" w:name="Tc_GLnovmsEt0ODucRvAAxmWQ_13_7"/>
      <w:bookmarkStart w:id="457" w:name="Tc_4uWRk2KMRE65enmd5niFMA_13_4"/>
      <w:bookmarkStart w:id="458" w:name="Tc_xIDHAgeA0EW-XzkqBuspjQ_13_0"/>
      <w:bookmarkStart w:id="459" w:name="Tc_hwB2g71PI0a7WMXca6CAng_12_11"/>
      <w:bookmarkStart w:id="460" w:name="Tc_hgTcmHdRd0-FEph-9nS8fg_12_5"/>
      <w:bookmarkStart w:id="461" w:name="Tc_Nqrl2LbGZ0qw0eOyli4Bww_12_2"/>
      <w:bookmarkStart w:id="462" w:name="Tc_97iqRiglNka46qICJO0RDw_12_0"/>
      <w:bookmarkStart w:id="463" w:name="Tc_Bpwl99gKh0uQLwyrRLS7gg_11_8"/>
      <w:bookmarkStart w:id="464" w:name="Tc_rVp1TxBiMkOxCK5pKwzg7Q_11_5"/>
      <w:bookmarkStart w:id="465" w:name="Tc_iP_762DZn0moPrMViavLyw_11_2"/>
      <w:bookmarkStart w:id="466" w:name="Tc_LbCVwvIEU0eWA3nqUFPRgg_11_0"/>
      <w:bookmarkStart w:id="467" w:name="Tc_D4Qmle-q90emNDiaBSwwWQ_10_14"/>
      <w:bookmarkStart w:id="468" w:name="Tc_JxdShcffJ0GaBy8cNJwSFw_10_11"/>
      <w:bookmarkStart w:id="469" w:name="Tc_822fKPITpkeKJq6gj1UDxA_10_5"/>
      <w:bookmarkStart w:id="470" w:name="Tc_mpc0sJq6E0mtF5TjF--sYA_10_2"/>
      <w:bookmarkStart w:id="471" w:name="Tc_r0TZ0rvztUmoRW6qqT3g0A_10_0"/>
      <w:bookmarkStart w:id="472" w:name="Tc_c2RxqUOJ_UWJ3Ht-TdVVjw_9_14"/>
      <w:bookmarkStart w:id="473" w:name="Tc_--lb4iS3LkerJIU2LgzwrA_9_11"/>
      <w:bookmarkStart w:id="474" w:name="Tc_1dMUQyFVI0Cau7AedziAFA_9_8"/>
      <w:bookmarkStart w:id="475" w:name="Tc_hKZM1pvZqECUv726Uap1TQ_9_2"/>
      <w:bookmarkStart w:id="476" w:name="Tc_ZMbNqwjC-kmLEhWWrGoBtQ_9_0"/>
      <w:bookmarkStart w:id="477" w:name="Tc_u2VLbMYSDUmttZieH6qFzw_8_17"/>
      <w:bookmarkStart w:id="478" w:name="Tc_pNUBKmWTwEWRbiYpT2Qxzg_8_14"/>
      <w:bookmarkStart w:id="479" w:name="Tc_08Ku1g0lxkWvIAjQXIOyXQ_8_11"/>
      <w:bookmarkStart w:id="480" w:name="Tc_e5M89AZmjEmDHaFVjc62SA_8_8"/>
      <w:bookmarkStart w:id="481" w:name="Tc_w_xeTmWNg0O0xTHJeJS_Lg_8_5"/>
      <w:bookmarkStart w:id="482" w:name="Tc_ODKUFnJfRUq-USSGpi6IRQ_8_0"/>
      <w:bookmarkStart w:id="483" w:name="Tc_5_2Vlryv60SGJqOWbzYwGA_7_11"/>
      <w:bookmarkStart w:id="484" w:name="Tc_aopGKcH6tUaNNPrybB9CgQ_7_8"/>
      <w:bookmarkStart w:id="485" w:name="Tc_UXdrNKHhnUib5yQOesMMoA_7_5"/>
      <w:bookmarkStart w:id="486" w:name="Tc_y2IUhoVgjEKywtYCUatXTw_7_2"/>
      <w:bookmarkStart w:id="487" w:name="Tc_sTxC7scLTUuvAn6eZoNrqA_7_0"/>
      <w:bookmarkStart w:id="488" w:name="Tc_yFQX1gh4XEmp4EUC_8GQmQ_6_11"/>
      <w:bookmarkStart w:id="489" w:name="Tc_EaIwuWbWfUiMv6oygcm0kg_6_8"/>
      <w:bookmarkStart w:id="490" w:name="Tc_A0BI2Ta0K0qg8Aj7XhAUAA_6_5"/>
      <w:bookmarkStart w:id="491" w:name="Tc_QqbUJc7VJ0SvmBpn-3Jwbg_6_2"/>
      <w:bookmarkStart w:id="492" w:name="Tc_k_tVBnpB4k-EB9HFzA6t0g_6_0"/>
      <w:bookmarkStart w:id="493" w:name="Tc_t1KwfDcLfEqzTsQMiDPUKw_5_16"/>
      <w:bookmarkStart w:id="494" w:name="Tc_r6cTIphjeUC0bAkU6AbROQ_5_13"/>
      <w:bookmarkStart w:id="495" w:name="Tc_KOydaNW3GU6XVAQoVMosFA_5_10"/>
      <w:bookmarkStart w:id="496" w:name="Tc_3rAes9XF-0mFn0_uG9pcfA_5_7"/>
      <w:bookmarkStart w:id="497" w:name="Tc_cYkOQDCnNkiiTLAYt3GmRg_5_4"/>
      <w:bookmarkStart w:id="498" w:name="Tc_kQ06v32ImUex7ZlcCEA80A_5_0"/>
      <w:bookmarkStart w:id="499" w:name="Tc_QqLlaUEiXkW804WSZX2lUQ_4_17"/>
      <w:bookmarkStart w:id="500" w:name="Tc_KwKF80zeg0uMW7JbWBEsqA_4_14"/>
      <w:bookmarkStart w:id="501" w:name="Tc_QGwEsQG81kq-gXUtvKp5bw_4_11"/>
      <w:bookmarkStart w:id="502" w:name="Tc_Yg705ejPGkGOPZ3LLlkIzg_4_8"/>
      <w:bookmarkStart w:id="503" w:name="Tc_5oTnb3f490mO6MWTE1CAjw_4_5"/>
      <w:bookmarkStart w:id="504" w:name="Tc_p4lxEP0SIE6MtXMrO3zeJw_4_2"/>
      <w:bookmarkStart w:id="505" w:name="Tc_iCTl11Sl_UinMgisCPDHVg_3_14"/>
      <w:bookmarkStart w:id="506" w:name="Tc_AvLq5h4F60yIgqvDFOr77g_3_11"/>
      <w:bookmarkStart w:id="507" w:name="Tc_Im1HL2ha_UOhpoLr-fgDiQ_3_8"/>
      <w:bookmarkStart w:id="508" w:name="Tc_JvOml4aMgEithtYN7BgXCA_3_2"/>
      <w:bookmarkStart w:id="509" w:name="Tc_-NUzKLx1JEuSJ-OnjO3ZzQ_2_11"/>
      <w:bookmarkStart w:id="510" w:name="Tc_jlnJZF1s5keztYjNJINw4w_2_2"/>
      <w:bookmarkStart w:id="511" w:name="_f135dd6c_a05c_4938_b9bc_070efb3fa0ca"/>
      <w:bookmarkStart w:id="512" w:name="Tc_VJHwy7-r3UW_64Dr2cYt1Q_13_16"/>
      <w:bookmarkStart w:id="513" w:name="Tc_gZpGWJq2GUmmSz5zT7jReA_13_13"/>
      <w:bookmarkStart w:id="514" w:name="Tc_aT0aSo_ilkeJenRA-4fCDw_13_10"/>
      <w:bookmarkStart w:id="515" w:name="Tc_GLnovmsEt0ODucRvAAxmWQ_13_7"/>
      <w:bookmarkStart w:id="516" w:name="Tc_4uWRk2KMRE65enmd5niFMA_13_4"/>
      <w:bookmarkStart w:id="517" w:name="Tc_xIDHAgeA0EW-XzkqBuspjQ_13_0"/>
      <w:bookmarkStart w:id="518" w:name="Tc_hwB2g71PI0a7WMXca6CAng_12_11"/>
      <w:bookmarkStart w:id="519" w:name="Tc_hgTcmHdRd0-FEph-9nS8fg_12_5"/>
      <w:bookmarkStart w:id="520" w:name="Tc_Nqrl2LbGZ0qw0eOyli4Bww_12_2"/>
      <w:bookmarkStart w:id="521" w:name="Tc_97iqRiglNka46qICJO0RDw_12_0"/>
      <w:bookmarkStart w:id="522" w:name="Tc_Bpwl99gKh0uQLwyrRLS7gg_11_8"/>
      <w:bookmarkStart w:id="523" w:name="Tc_rVp1TxBiMkOxCK5pKwzg7Q_11_5"/>
      <w:bookmarkStart w:id="524" w:name="Tc_iP_762DZn0moPrMViavLyw_11_2"/>
      <w:bookmarkStart w:id="525" w:name="Tc_LbCVwvIEU0eWA3nqUFPRgg_11_0"/>
      <w:bookmarkStart w:id="526" w:name="Tc_D4Qmle-q90emNDiaBSwwWQ_10_14"/>
      <w:bookmarkStart w:id="527" w:name="Tc_JxdShcffJ0GaBy8cNJwSFw_10_11"/>
      <w:bookmarkStart w:id="528" w:name="Tc_822fKPITpkeKJq6gj1UDxA_10_5"/>
      <w:bookmarkStart w:id="529" w:name="Tc_mpc0sJq6E0mtF5TjF--sYA_10_2"/>
      <w:bookmarkStart w:id="530" w:name="Tc_r0TZ0rvztUmoRW6qqT3g0A_10_0"/>
      <w:bookmarkStart w:id="531" w:name="Tc_c2RxqUOJ_UWJ3Ht-TdVVjw_9_14"/>
      <w:bookmarkStart w:id="532" w:name="Tc_--lb4iS3LkerJIU2LgzwrA_9_11"/>
      <w:bookmarkStart w:id="533" w:name="Tc_1dMUQyFVI0Cau7AedziAFA_9_8"/>
      <w:bookmarkStart w:id="534" w:name="Tc_hKZM1pvZqECUv726Uap1TQ_9_2"/>
      <w:bookmarkStart w:id="535" w:name="Tc_ZMbNqwjC-kmLEhWWrGoBtQ_9_0"/>
      <w:bookmarkStart w:id="536" w:name="Tc_u2VLbMYSDUmttZieH6qFzw_8_17"/>
      <w:bookmarkStart w:id="537" w:name="Tc_pNUBKmWTwEWRbiYpT2Qxzg_8_14"/>
      <w:bookmarkStart w:id="538" w:name="Tc_08Ku1g0lxkWvIAjQXIOyXQ_8_11"/>
      <w:bookmarkStart w:id="539" w:name="Tc_e5M89AZmjEmDHaFVjc62SA_8_8"/>
      <w:bookmarkStart w:id="540" w:name="Tc_w_xeTmWNg0O0xTHJeJS_Lg_8_5"/>
      <w:bookmarkStart w:id="541" w:name="Tc_ODKUFnJfRUq-USSGpi6IRQ_8_0"/>
      <w:bookmarkStart w:id="542" w:name="Tc_5_2Vlryv60SGJqOWbzYwGA_7_11"/>
      <w:bookmarkStart w:id="543" w:name="Tc_aopGKcH6tUaNNPrybB9CgQ_7_8"/>
      <w:bookmarkStart w:id="544" w:name="Tc_UXdrNKHhnUib5yQOesMMoA_7_5"/>
      <w:bookmarkStart w:id="545" w:name="Tc_y2IUhoVgjEKywtYCUatXTw_7_2"/>
      <w:bookmarkStart w:id="546" w:name="Tc_sTxC7scLTUuvAn6eZoNrqA_7_0"/>
      <w:bookmarkStart w:id="547" w:name="Tc_yFQX1gh4XEmp4EUC_8GQmQ_6_11"/>
      <w:bookmarkStart w:id="548" w:name="Tc_EaIwuWbWfUiMv6oygcm0kg_6_8"/>
      <w:bookmarkStart w:id="549" w:name="Tc_A0BI2Ta0K0qg8Aj7XhAUAA_6_5"/>
      <w:bookmarkStart w:id="550" w:name="Tc_QqbUJc7VJ0SvmBpn-3Jwbg_6_2"/>
      <w:bookmarkStart w:id="551" w:name="Tc_k_tVBnpB4k-EB9HFzA6t0g_6_0"/>
      <w:bookmarkStart w:id="552" w:name="Tc_t1KwfDcLfEqzTsQMiDPUKw_5_16"/>
      <w:bookmarkStart w:id="553" w:name="Tc_r6cTIphjeUC0bAkU6AbROQ_5_13"/>
      <w:bookmarkStart w:id="554" w:name="Tc_KOydaNW3GU6XVAQoVMosFA_5_10"/>
      <w:bookmarkStart w:id="555" w:name="Tc_3rAes9XF-0mFn0_uG9pcfA_5_7"/>
      <w:bookmarkStart w:id="556" w:name="Tc_cYkOQDCnNkiiTLAYt3GmRg_5_4"/>
      <w:bookmarkStart w:id="557" w:name="Tc_kQ06v32ImUex7ZlcCEA80A_5_0"/>
      <w:bookmarkStart w:id="558" w:name="Tc_QqLlaUEiXkW804WSZX2lUQ_4_17"/>
      <w:bookmarkStart w:id="559" w:name="Tc_KwKF80zeg0uMW7JbWBEsqA_4_14"/>
      <w:bookmarkStart w:id="560" w:name="Tc_QGwEsQG81kq-gXUtvKp5bw_4_11"/>
      <w:bookmarkStart w:id="561" w:name="Tc_Yg705ejPGkGOPZ3LLlkIzg_4_8"/>
      <w:bookmarkStart w:id="562" w:name="Tc_5oTnb3f490mO6MWTE1CAjw_4_5"/>
      <w:bookmarkStart w:id="563" w:name="Tc_p4lxEP0SIE6MtXMrO3zeJw_4_2"/>
      <w:bookmarkStart w:id="564" w:name="Tc_iCTl11Sl_UinMgisCPDHVg_3_14"/>
      <w:bookmarkStart w:id="565" w:name="Tc_AvLq5h4F60yIgqvDFOr77g_3_11"/>
      <w:bookmarkStart w:id="566" w:name="Tc_Im1HL2ha_UOhpoLr-fgDiQ_3_8"/>
      <w:bookmarkStart w:id="567" w:name="Tc_JvOml4aMgEithtYN7BgXCA_3_2"/>
      <w:bookmarkStart w:id="568" w:name="Tc_-NUzKLx1JEuSJ-OnjO3ZzQ_2_11"/>
      <w:bookmarkStart w:id="569" w:name="Tc_jlnJZF1s5keztYjNJINw4w_2_2"/>
      <w:bookmarkStart w:id="570" w:name="_f135dd6c_a05c_4938_b9bc_070efb3fa0ca"/>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tbl>
      <w:tblPr>
        <w:tblW w:w="11173" w:type="dxa"/>
        <w:jc w:val="left"/>
        <w:tblInd w:w="0" w:type="dxa"/>
        <w:tblCellMar>
          <w:top w:w="0" w:type="dxa"/>
          <w:left w:w="0" w:type="dxa"/>
          <w:bottom w:w="0" w:type="dxa"/>
          <w:right w:w="0" w:type="dxa"/>
        </w:tblCellMar>
      </w:tblPr>
      <w:tblGrid>
        <w:gridCol w:w="1741"/>
        <w:gridCol w:w="326"/>
        <w:gridCol w:w="1036"/>
        <w:gridCol w:w="326"/>
        <w:gridCol w:w="326"/>
        <w:gridCol w:w="781"/>
        <w:gridCol w:w="326"/>
        <w:gridCol w:w="326"/>
        <w:gridCol w:w="781"/>
        <w:gridCol w:w="326"/>
        <w:gridCol w:w="211"/>
        <w:gridCol w:w="1216"/>
        <w:gridCol w:w="326"/>
        <w:gridCol w:w="326"/>
        <w:gridCol w:w="1261"/>
        <w:gridCol w:w="326"/>
        <w:gridCol w:w="326"/>
        <w:gridCol w:w="886"/>
      </w:tblGrid>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center"/>
              <w:rPr/>
            </w:pPr>
            <w:r>
              <w:rPr/>
              <w:t>​</w: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6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at December 31, 2021</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58,882,549</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296,873</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310,925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(389)</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18,691</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626,100</w:t>
            </w:r>
          </w:p>
        </w:tc>
      </w:tr>
      <w:tr>
        <w:trPr/>
        <w:tc>
          <w:tcPr>
            <w:tcW w:w="17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 contributions from non-controlling interest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2,035</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2,035</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 distributions to non-controlling interest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174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Issuance of restricted stock</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25,594</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based compensation expense</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2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741"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9"/>
              </w:rPr>
              <w:t>Dividends ($0.10</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(5,889)</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1,309</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692</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2,001</w:t>
            </w:r>
          </w:p>
        </w:tc>
      </w:tr>
      <w:tr>
        <w:trPr/>
        <w:tc>
          <w:tcPr>
            <w:tcW w:w="17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13,412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13,453</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at March 31, 2022</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58,908,143</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296,915</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318,448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920</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20,749</w:t>
            </w:r>
          </w:p>
        </w:tc>
        <w:tc>
          <w:tcPr>
            <w:tcW w:w="326" w:type="dxa"/>
            <w:tcBorders/>
            <w:shd w:fill="CCEEFF" w:val="clear"/>
            <w:vAlign w:val="center"/>
          </w:tcPr>
          <w:p>
            <w:pPr>
              <w:pStyle w:val="TableContents"/>
              <w:spacing w:before="0" w:after="1"/>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637,032</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71" w:name="_6e90740c_76a2_44ed_841b_930d7da1e37c"/>
      <w:bookmarkEnd w:id="571"/>
      <w:r>
        <w:rPr>
          <w:rFonts w:ascii="Times New Roman;Times;serif" w:hAnsi="Times New Roman;Times;serif"/>
          <w:b/>
          <w:sz w:val="20"/>
        </w:rPr>
        <w:t>THE ST. JOE COMPANY</w:t>
      </w:r>
    </w:p>
    <w:p>
      <w:pPr>
        <w:pStyle w:val="TextBody"/>
        <w:spacing w:before="0" w:after="0"/>
        <w:ind w:left="0" w:right="0" w:hanging="0"/>
        <w:jc w:val="center"/>
        <w:rPr>
          <w:rFonts w:ascii="Times New Roman;Times;serif" w:hAnsi="Times New Roman;Times;serif"/>
          <w:b/>
          <w:sz w:val="20"/>
        </w:rPr>
      </w:pPr>
      <w:bookmarkStart w:id="572" w:name="CONDENSEDCONSOLIDATEDSTATEMENTSOFCASHFLO"/>
      <w:bookmarkEnd w:id="572"/>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spacing w:before="0" w:after="18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spacing w:before="0" w:after="0"/>
        <w:rPr>
          <w:sz w:val="4"/>
          <w:szCs w:val="4"/>
        </w:rPr>
      </w:pPr>
      <w:r>
        <w:rPr>
          <w:sz w:val="4"/>
          <w:szCs w:val="4"/>
        </w:rPr>
      </w:r>
      <w:bookmarkStart w:id="573" w:name="Tc_aOEstVZ9LUmp1AEPhdUHOQ_46_5"/>
      <w:bookmarkStart w:id="574" w:name="Tc_n0V7mD0epk-wr-zdPvxzZQ_46_2"/>
      <w:bookmarkStart w:id="575" w:name="Tc_vKVquPg1xEuSOWLWqYsFyQ_46_0"/>
      <w:bookmarkStart w:id="576" w:name="Tc_TCZ4CSa2rEGKIPcVXkOgfA_45_0"/>
      <w:bookmarkStart w:id="577" w:name="Tc_3PbYBi7AaESb7zxUV9VGZg_44_0"/>
      <w:bookmarkStart w:id="578" w:name="Tc_gPFXywxBtE2qbBXkTUBIlg_43_0"/>
      <w:bookmarkStart w:id="579" w:name="Tc_FjqjF5QlrUeX_dZ5tHi0lA_42_0"/>
      <w:bookmarkStart w:id="580" w:name="Tc_ehZhkvDBbkClAY1rpsEB1Q_41_0"/>
      <w:bookmarkStart w:id="581" w:name="Tc_UHSzKqqTpEO9Q_1MSdmx9w_40_0"/>
      <w:bookmarkStart w:id="582" w:name="Tc_ozvqudyRdUa7GnkotU90pA_39_0"/>
      <w:bookmarkStart w:id="583" w:name="Tc_hlaHw9ncv0mnlh3306oT6w_38_0"/>
      <w:bookmarkStart w:id="584" w:name="Tc_PLaN6n8x9Eyqi68zBVmp9A_37_0"/>
      <w:bookmarkStart w:id="585" w:name="Tc_Mwtm4lUgdkK_I2xyL7DWfg_36_0"/>
      <w:bookmarkStart w:id="586" w:name="Tc_nZ0k2q0oikqcnqid17jTYA_35_0"/>
      <w:bookmarkStart w:id="587" w:name="Tc_o_LckkB9aUGsNmYTEpSFNw_34_0"/>
      <w:bookmarkStart w:id="588" w:name="Tc_RfdRfGGfs0uO2sXXtddz4Q_33_0"/>
      <w:bookmarkStart w:id="589" w:name="Tc_wQDHEr6qQE6ab8za8w1fNA_32_0"/>
      <w:bookmarkStart w:id="590" w:name="Tc_V1iWl_FI0kutil6PtyeOrA_31_0"/>
      <w:bookmarkStart w:id="591" w:name="Tc_qZyJW2xfyEulw-olm1lf-w_30_0"/>
      <w:bookmarkStart w:id="592" w:name="Tc_XN5hNEO2l0-AsaxB0HUoXg_29_0"/>
      <w:bookmarkStart w:id="593" w:name="Tc_2F6I8IpYbUaK0FsdnLWVfw_28_3"/>
      <w:bookmarkStart w:id="594" w:name="Tc_hICjAx6EQE2JZC5YAHQsog_28_0"/>
      <w:bookmarkStart w:id="595" w:name="Tc_XmrNhIRSvEOzmJg6_BtGpA_27_0"/>
      <w:bookmarkStart w:id="596" w:name="Tc_7W3fvknKq06lof4PdJYgMg_26_0"/>
      <w:bookmarkStart w:id="597" w:name="Tc_t7yN_NOWOEOv6NSe5Eb1pg_25_0"/>
      <w:bookmarkStart w:id="598" w:name="Tc_5acSXjw-t0ynGGwRj5hCRQ_24_0"/>
      <w:bookmarkStart w:id="599" w:name="Tc_xnOx3NFJuECOQOjs7y5otg_23_0"/>
      <w:bookmarkStart w:id="600" w:name="Tc_GFOXYcYFhECo_OwLQptSOQ_22_0"/>
      <w:bookmarkStart w:id="601" w:name="Tc_ECXKPQgZNUyPlyql53QdqQ_21_0"/>
      <w:bookmarkStart w:id="602" w:name="Tc_7HqhdKsnCk6-WKgHt4aaKg_20_0"/>
      <w:bookmarkStart w:id="603" w:name="Tc_YT0zlD9-FkqIFenO2s0IXg_19_0"/>
      <w:bookmarkStart w:id="604" w:name="Tc_eu6sKzSa7UioT4g5qL5hIg_18_6"/>
      <w:bookmarkStart w:id="605" w:name="Tc_hG6uyYjp9kmgT0hCWAqwIg_18_0"/>
      <w:bookmarkStart w:id="606" w:name="Tc_HiZwxLMJNEWoW7cpXBxtxQ_17_3"/>
      <w:bookmarkStart w:id="607" w:name="Tc_FHMrTnTOdE-TpA02_5HTQQ_17_0"/>
      <w:bookmarkStart w:id="608" w:name="Tc__lOGI8isjkeNw8_fnSLC0g_16_0"/>
      <w:bookmarkStart w:id="609" w:name="Tc_EkiYw_U8qk-qfzXlIyXlHQ_15_0"/>
      <w:bookmarkStart w:id="610" w:name="Tc_VywOGKY87kqRXnlrJiZKuQ_14_0"/>
      <w:bookmarkStart w:id="611" w:name="Tc_K4M5HrkGD0ea1uGLJ68svw_13_0"/>
      <w:bookmarkStart w:id="612" w:name="Tc_qJR7iN4mWEyeyBk726n8ng_12_0"/>
      <w:bookmarkStart w:id="613" w:name="Tc_Y4z-Pvg0ekuKF2Qb7Sr7Zg_11_0"/>
      <w:bookmarkStart w:id="614" w:name="Tc_dgdQdNjjIEy_n4rD3wJkAQ_10_0"/>
      <w:bookmarkStart w:id="615" w:name="Tc_QSqm3jYJmEWhxzkzhCVzFQ_9_3"/>
      <w:bookmarkStart w:id="616" w:name="Tc_AQxvj2fo0UeA0hEhSeuM-w_9_0"/>
      <w:bookmarkStart w:id="617" w:name="Tc_ypSd8MbgSkO5tibMs2Xs3w_8_0"/>
      <w:bookmarkStart w:id="618" w:name="Tc_8cTWeLfZsEaoiQwxHrPHaw_7_0"/>
      <w:bookmarkStart w:id="619" w:name="Tc__GGql8-D0kKYValw6bejvg_6_0"/>
      <w:bookmarkStart w:id="620" w:name="Tc_uPP5ipyUcUy_Zirn1h6TGg_5_5"/>
      <w:bookmarkStart w:id="621" w:name="Tc_3GMfJOO7cUq2ie1wHDAYcQ_5_2"/>
      <w:bookmarkStart w:id="622" w:name="Tc_YurqNeDfs0KCV6l7BkhR4A_5_0"/>
      <w:bookmarkStart w:id="623" w:name="Tc_bt7T9S5f7Uq-NO5rSuCzDg_4_0"/>
      <w:bookmarkStart w:id="624" w:name="Tc_t-5UfIZUf0qFtTpkbM-8jg_3_5"/>
      <w:bookmarkStart w:id="625" w:name="Tc_u6rUwYSb-UuKWm8SM86JNg_3_2"/>
      <w:bookmarkStart w:id="626" w:name="Tc_ZxPMCj82mUmHXLnk6rT-2A_2_2"/>
      <w:bookmarkStart w:id="627" w:name="Tc_ffuWiMVjWU2C1glWGNd5Ow_1_2"/>
      <w:bookmarkStart w:id="628" w:name="_d17cff4d_1d28_4c3b_b202_035e0e5a19d8"/>
      <w:bookmarkStart w:id="629" w:name="Tc_aOEstVZ9LUmp1AEPhdUHOQ_46_5"/>
      <w:bookmarkStart w:id="630" w:name="Tc_n0V7mD0epk-wr-zdPvxzZQ_46_2"/>
      <w:bookmarkStart w:id="631" w:name="Tc_vKVquPg1xEuSOWLWqYsFyQ_46_0"/>
      <w:bookmarkStart w:id="632" w:name="Tc_TCZ4CSa2rEGKIPcVXkOgfA_45_0"/>
      <w:bookmarkStart w:id="633" w:name="Tc_3PbYBi7AaESb7zxUV9VGZg_44_0"/>
      <w:bookmarkStart w:id="634" w:name="Tc_gPFXywxBtE2qbBXkTUBIlg_43_0"/>
      <w:bookmarkStart w:id="635" w:name="Tc_FjqjF5QlrUeX_dZ5tHi0lA_42_0"/>
      <w:bookmarkStart w:id="636" w:name="Tc_ehZhkvDBbkClAY1rpsEB1Q_41_0"/>
      <w:bookmarkStart w:id="637" w:name="Tc_UHSzKqqTpEO9Q_1MSdmx9w_40_0"/>
      <w:bookmarkStart w:id="638" w:name="Tc_ozvqudyRdUa7GnkotU90pA_39_0"/>
      <w:bookmarkStart w:id="639" w:name="Tc_hlaHw9ncv0mnlh3306oT6w_38_0"/>
      <w:bookmarkStart w:id="640" w:name="Tc_PLaN6n8x9Eyqi68zBVmp9A_37_0"/>
      <w:bookmarkStart w:id="641" w:name="Tc_Mwtm4lUgdkK_I2xyL7DWfg_36_0"/>
      <w:bookmarkStart w:id="642" w:name="Tc_nZ0k2q0oikqcnqid17jTYA_35_0"/>
      <w:bookmarkStart w:id="643" w:name="Tc_o_LckkB9aUGsNmYTEpSFNw_34_0"/>
      <w:bookmarkStart w:id="644" w:name="Tc_RfdRfGGfs0uO2sXXtddz4Q_33_0"/>
      <w:bookmarkStart w:id="645" w:name="Tc_wQDHEr6qQE6ab8za8w1fNA_32_0"/>
      <w:bookmarkStart w:id="646" w:name="Tc_V1iWl_FI0kutil6PtyeOrA_31_0"/>
      <w:bookmarkStart w:id="647" w:name="Tc_qZyJW2xfyEulw-olm1lf-w_30_0"/>
      <w:bookmarkStart w:id="648" w:name="Tc_XN5hNEO2l0-AsaxB0HUoXg_29_0"/>
      <w:bookmarkStart w:id="649" w:name="Tc_2F6I8IpYbUaK0FsdnLWVfw_28_3"/>
      <w:bookmarkStart w:id="650" w:name="Tc_hICjAx6EQE2JZC5YAHQsog_28_0"/>
      <w:bookmarkStart w:id="651" w:name="Tc_XmrNhIRSvEOzmJg6_BtGpA_27_0"/>
      <w:bookmarkStart w:id="652" w:name="Tc_7W3fvknKq06lof4PdJYgMg_26_0"/>
      <w:bookmarkStart w:id="653" w:name="Tc_t7yN_NOWOEOv6NSe5Eb1pg_25_0"/>
      <w:bookmarkStart w:id="654" w:name="Tc_5acSXjw-t0ynGGwRj5hCRQ_24_0"/>
      <w:bookmarkStart w:id="655" w:name="Tc_xnOx3NFJuECOQOjs7y5otg_23_0"/>
      <w:bookmarkStart w:id="656" w:name="Tc_GFOXYcYFhECo_OwLQptSOQ_22_0"/>
      <w:bookmarkStart w:id="657" w:name="Tc_ECXKPQgZNUyPlyql53QdqQ_21_0"/>
      <w:bookmarkStart w:id="658" w:name="Tc_7HqhdKsnCk6-WKgHt4aaKg_20_0"/>
      <w:bookmarkStart w:id="659" w:name="Tc_YT0zlD9-FkqIFenO2s0IXg_19_0"/>
      <w:bookmarkStart w:id="660" w:name="Tc_eu6sKzSa7UioT4g5qL5hIg_18_6"/>
      <w:bookmarkStart w:id="661" w:name="Tc_hG6uyYjp9kmgT0hCWAqwIg_18_0"/>
      <w:bookmarkStart w:id="662" w:name="Tc_HiZwxLMJNEWoW7cpXBxtxQ_17_3"/>
      <w:bookmarkStart w:id="663" w:name="Tc_FHMrTnTOdE-TpA02_5HTQQ_17_0"/>
      <w:bookmarkStart w:id="664" w:name="Tc__lOGI8isjkeNw8_fnSLC0g_16_0"/>
      <w:bookmarkStart w:id="665" w:name="Tc_EkiYw_U8qk-qfzXlIyXlHQ_15_0"/>
      <w:bookmarkStart w:id="666" w:name="Tc_VywOGKY87kqRXnlrJiZKuQ_14_0"/>
      <w:bookmarkStart w:id="667" w:name="Tc_K4M5HrkGD0ea1uGLJ68svw_13_0"/>
      <w:bookmarkStart w:id="668" w:name="Tc_qJR7iN4mWEyeyBk726n8ng_12_0"/>
      <w:bookmarkStart w:id="669" w:name="Tc_Y4z-Pvg0ekuKF2Qb7Sr7Zg_11_0"/>
      <w:bookmarkStart w:id="670" w:name="Tc_dgdQdNjjIEy_n4rD3wJkAQ_10_0"/>
      <w:bookmarkStart w:id="671" w:name="Tc_QSqm3jYJmEWhxzkzhCVzFQ_9_3"/>
      <w:bookmarkStart w:id="672" w:name="Tc_AQxvj2fo0UeA0hEhSeuM-w_9_0"/>
      <w:bookmarkStart w:id="673" w:name="Tc_ypSd8MbgSkO5tibMs2Xs3w_8_0"/>
      <w:bookmarkStart w:id="674" w:name="Tc_8cTWeLfZsEaoiQwxHrPHaw_7_0"/>
      <w:bookmarkStart w:id="675" w:name="Tc__GGql8-D0kKYValw6bejvg_6_0"/>
      <w:bookmarkStart w:id="676" w:name="Tc_uPP5ipyUcUy_Zirn1h6TGg_5_5"/>
      <w:bookmarkStart w:id="677" w:name="Tc_3GMfJOO7cUq2ie1wHDAYcQ_5_2"/>
      <w:bookmarkStart w:id="678" w:name="Tc_YurqNeDfs0KCV6l7BkhR4A_5_0"/>
      <w:bookmarkStart w:id="679" w:name="Tc_bt7T9S5f7Uq-NO5rSuCzDg_4_0"/>
      <w:bookmarkStart w:id="680" w:name="Tc_t-5UfIZUf0qFtTpkbM-8jg_3_5"/>
      <w:bookmarkStart w:id="681" w:name="Tc_u6rUwYSb-UuKWm8SM86JNg_3_2"/>
      <w:bookmarkStart w:id="682" w:name="Tc_ZxPMCj82mUmHXLnk6rT-2A_2_2"/>
      <w:bookmarkStart w:id="683" w:name="Tc_ffuWiMVjWU2C1glWGNd5Ow_1_2"/>
      <w:bookmarkStart w:id="684" w:name="_d17cff4d_1d28_4c3b_b202_035e0e5a19d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tbl>
      <w:tblPr>
        <w:tblW w:w="9432" w:type="dxa"/>
        <w:jc w:val="left"/>
        <w:tblInd w:w="0" w:type="dxa"/>
        <w:tblCellMar>
          <w:top w:w="0" w:type="dxa"/>
          <w:left w:w="0" w:type="dxa"/>
          <w:bottom w:w="0" w:type="dxa"/>
          <w:right w:w="0" w:type="dxa"/>
        </w:tblCellMar>
      </w:tblPr>
      <w:tblGrid>
        <w:gridCol w:w="6721"/>
        <w:gridCol w:w="326"/>
        <w:gridCol w:w="211"/>
        <w:gridCol w:w="796"/>
        <w:gridCol w:w="326"/>
        <w:gridCol w:w="211"/>
        <w:gridCol w:w="841"/>
      </w:tblGrid>
      <w:tr>
        <w:trPr/>
        <w:tc>
          <w:tcPr>
            <w:tcW w:w="6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267835" cy="175260"/>
                      <wp:effectExtent l="0" t="0" r="0" b="0"/>
                      <wp:wrapNone/>
                      <wp:docPr id="48" name="Frame48"/>
                      <a:graphic xmlns:a="http://schemas.openxmlformats.org/drawingml/2006/main">
                        <a:graphicData uri="http://schemas.microsoft.com/office/word/2010/wordprocessingShape">
                          <wps:wsp>
                            <wps:cNvSpPr txBox="1"/>
                            <wps:spPr>
                              <a:xfrm>
                                <a:off x="0" y="0"/>
                                <a:ext cx="426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5460" cy="175260"/>
                      <wp:effectExtent l="0" t="0" r="0" b="0"/>
                      <wp:wrapNone/>
                      <wp:docPr id="51" name="Frame5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34035" cy="175260"/>
                      <wp:effectExtent l="0" t="0" r="0" b="0"/>
                      <wp:wrapNone/>
                      <wp:docPr id="54" name="Frame54"/>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Net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9,481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13,453</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Adjustments to reconcile net income to 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Depreciation, depletion and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7,322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5,026</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Stock based compensation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141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42</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Unrealized gain on investments,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(25)</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Equity in (income) loss from unconsolidated joint ventures, net of distributions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(2,432)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528</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Deferred income tax (benefit)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(4,328)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2,042</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Cost of real estate sold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19,072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14,064</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Expenditures for and acquisition of real estate to be sold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(25,557)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(25,937)</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Accretion income and other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Gain on disposal of property and equipment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Gain on contributions to unconsolidated joint ventures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(482)</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Gain on insurance for damage to property and equipment,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(723)</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Loss on extinguishment of debt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133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Changes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Other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3,925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8,427</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Deferred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1,399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1,133</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Other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10,963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2,534</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Net cash provided by operating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19,172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19,813</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Expenditures for operating property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(42,372)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(51,633)</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Expenditures for property and equipment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(1,659)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(1,440)</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Proceeds from the disposition of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Proceeds from insurance claims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723</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Purchases of investments - debt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(9,766)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(74,476)</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Maturities of investments - debt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28,000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45,000</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Capital contributions to unconsolidated joint ventures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(1,893)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(142)</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Capital distributions from unconsolidated joint ventures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206</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Maturities of assets held by special purpose entities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415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413</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(27,191)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(81,339)</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Capital contributions from non-controlling interest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2,035</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Capital distributions to non-controlling interest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(2,094)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(710)</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Dividends paid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(5,832)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(5,889)</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Borrowings on debt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81,446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35,168</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Principal payments for debt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(45,938)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(536)</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Principal payments for finance leases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(35)</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Debt issuance costs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(862)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(1,105)</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Net cash provided by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26,900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28,928</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Net increase (decrease)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18,881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(32,598)</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Cash, cash equivalents and restricted cash at beginning of the period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45,303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74,400</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Cash, cash equivalents and restricted cash at end of the period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9"/>
              </w:rPr>
            </w:pPr>
            <w:r>
              <w:rPr>
                <w:rFonts w:ascii="Times New Roman;Times;serif" w:hAnsi="Times New Roman;Times;serif"/>
                <w:b/>
                <w:sz w:val="19"/>
              </w:rPr>
              <w:t>64,184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9"/>
              </w:rPr>
            </w:pPr>
            <w:r>
              <w:rPr>
                <w:rFonts w:ascii="Times New Roman;Times;serif" w:hAnsi="Times New Roman;Times;serif"/>
                <w:b/>
                <w:sz w:val="19"/>
              </w:rPr>
              <w:t>41,802</w:t>
            </w:r>
          </w:p>
        </w:tc>
      </w:tr>
    </w:tbl>
    <w:p>
      <w:pPr>
        <w:pStyle w:val="TextBody"/>
        <w:spacing w:before="0" w:after="0"/>
        <w:ind w:left="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685" w:name="_d2d36a84_cce0_46b0_966b_d145058989f4"/>
      <w:bookmarkEnd w:id="685"/>
      <w:r>
        <w:rPr>
          <w:rFonts w:ascii="Times New Roman;Times;serif" w:hAnsi="Times New Roman;Times;serif"/>
          <w:b/>
          <w:sz w:val="20"/>
        </w:rPr>
        <w:t>THE ST. JOE COMPANY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SUPPLEMENTAL DISCLOSURES OF CASH FLOW INFORMATION</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amounts shown in the condensed consolidated statements of cash flows.</w:t>
      </w:r>
    </w:p>
    <w:p>
      <w:pPr>
        <w:pStyle w:val="Normal"/>
        <w:spacing w:before="0" w:after="0"/>
        <w:rPr>
          <w:sz w:val="4"/>
          <w:szCs w:val="4"/>
        </w:rPr>
      </w:pPr>
      <w:r>
        <w:rPr>
          <w:sz w:val="4"/>
          <w:szCs w:val="4"/>
        </w:rPr>
      </w:r>
      <w:bookmarkStart w:id="686" w:name="Tc_t-f4TpcipU-mr-5cFqSBfw_6_5"/>
      <w:bookmarkStart w:id="687" w:name="Tc_Ry3x54H8BkSu1C_iki-OMg_6_2"/>
      <w:bookmarkStart w:id="688" w:name="Tc_NqaslQWRq0mOw87QcwrG3A_6_0"/>
      <w:bookmarkStart w:id="689" w:name="Tc_F7BEi2KBdEKbGenZrMR3ZQ_4_5"/>
      <w:bookmarkStart w:id="690" w:name="Tc_sLQoCvffV0KcpLJm-_sXPw_4_2"/>
      <w:bookmarkStart w:id="691" w:name="Tc_Jxl2FQJWbEarhu0GqzB0GQ_4_0"/>
      <w:bookmarkStart w:id="692" w:name="Tc_MUF0Sx9kP0qTBOJeokavOA_3_5"/>
      <w:bookmarkStart w:id="693" w:name="Tc_ElMgz0_FZEGXERiuki3vOw_3_2"/>
      <w:bookmarkStart w:id="694" w:name="Tc_Kub-BpmS306DbaUTxB0s_Q_2_5"/>
      <w:bookmarkStart w:id="695" w:name="Tc_vh79aLYvw0aEsY0rdHNrjw_2_2"/>
      <w:bookmarkStart w:id="696" w:name="_9a1ea63c_6111_433b_a9c1_e29a68b55866"/>
      <w:bookmarkStart w:id="697" w:name="Tc_t-f4TpcipU-mr-5cFqSBfw_6_5"/>
      <w:bookmarkStart w:id="698" w:name="Tc_Ry3x54H8BkSu1C_iki-OMg_6_2"/>
      <w:bookmarkStart w:id="699" w:name="Tc_NqaslQWRq0mOw87QcwrG3A_6_0"/>
      <w:bookmarkStart w:id="700" w:name="Tc_F7BEi2KBdEKbGenZrMR3ZQ_4_5"/>
      <w:bookmarkStart w:id="701" w:name="Tc_sLQoCvffV0KcpLJm-_sXPw_4_2"/>
      <w:bookmarkStart w:id="702" w:name="Tc_Jxl2FQJWbEarhu0GqzB0GQ_4_0"/>
      <w:bookmarkStart w:id="703" w:name="Tc_MUF0Sx9kP0qTBOJeokavOA_3_5"/>
      <w:bookmarkStart w:id="704" w:name="Tc_ElMgz0_FZEGXERiuki3vOw_3_2"/>
      <w:bookmarkStart w:id="705" w:name="Tc_Kub-BpmS306DbaUTxB0s_Q_2_5"/>
      <w:bookmarkStart w:id="706" w:name="Tc_vh79aLYvw0aEsY0rdHNrjw_2_2"/>
      <w:bookmarkStart w:id="707" w:name="_9a1ea63c_6111_433b_a9c1_e29a68b55866"/>
      <w:bookmarkEnd w:id="697"/>
      <w:bookmarkEnd w:id="698"/>
      <w:bookmarkEnd w:id="699"/>
      <w:bookmarkEnd w:id="700"/>
      <w:bookmarkEnd w:id="701"/>
      <w:bookmarkEnd w:id="702"/>
      <w:bookmarkEnd w:id="703"/>
      <w:bookmarkEnd w:id="704"/>
      <w:bookmarkEnd w:id="705"/>
      <w:bookmarkEnd w:id="706"/>
      <w:bookmarkEnd w:id="707"/>
    </w:p>
    <w:tbl>
      <w:tblPr>
        <w:tblW w:w="10205" w:type="dxa"/>
        <w:jc w:val="left"/>
        <w:tblInd w:w="0" w:type="dxa"/>
        <w:tblCellMar>
          <w:top w:w="0" w:type="dxa"/>
          <w:left w:w="0" w:type="dxa"/>
          <w:bottom w:w="0" w:type="dxa"/>
          <w:right w:w="0" w:type="dxa"/>
        </w:tblCellMar>
      </w:tblPr>
      <w:tblGrid>
        <w:gridCol w:w="7665"/>
        <w:gridCol w:w="326"/>
        <w:gridCol w:w="213"/>
        <w:gridCol w:w="682"/>
        <w:gridCol w:w="326"/>
        <w:gridCol w:w="211"/>
        <w:gridCol w:w="782"/>
      </w:tblGrid>
      <w:tr>
        <w:trPr/>
        <w:tc>
          <w:tcPr>
            <w:tcW w:w="76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867275" cy="175260"/>
                      <wp:effectExtent l="0" t="0" r="0" b="0"/>
                      <wp:wrapNone/>
                      <wp:docPr id="55" name="Frame55"/>
                      <a:graphic xmlns:a="http://schemas.openxmlformats.org/drawingml/2006/main">
                        <a:graphicData uri="http://schemas.microsoft.com/office/word/2010/wordprocessingShape">
                          <wps:wsp>
                            <wps:cNvSpPr txBox="1"/>
                            <wps:spPr>
                              <a:xfrm>
                                <a:off x="0" y="0"/>
                                <a:ext cx="4867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5255" cy="175260"/>
                      <wp:effectExtent l="0" t="0" r="0" b="0"/>
                      <wp:wrapNone/>
                      <wp:docPr id="57" name="Frame57"/>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3070" cy="175260"/>
                      <wp:effectExtent l="0" t="0" r="0" b="0"/>
                      <wp:wrapNone/>
                      <wp:docPr id="58" name="Frame58"/>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6570" cy="175260"/>
                      <wp:effectExtent l="0" t="0" r="0" b="0"/>
                      <wp:wrapNone/>
                      <wp:docPr id="61" name="Frame61"/>
                      <a:graphic xmlns:a="http://schemas.openxmlformats.org/drawingml/2006/main">
                        <a:graphicData uri="http://schemas.microsoft.com/office/word/2010/wordprocessingShape">
                          <wps:wsp>
                            <wps:cNvSpPr txBox="1"/>
                            <wps:spPr>
                              <a:xfrm>
                                <a:off x="0" y="0"/>
                                <a:ext cx="496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6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3"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2" w:type="dxa"/>
            <w:tcBorders/>
            <w:shd w:fill="auto" w:val="clear"/>
            <w:vAlign w:val="center"/>
          </w:tcPr>
          <w:p>
            <w:pPr>
              <w:pStyle w:val="TableContents"/>
              <w:spacing w:before="0" w:after="0"/>
              <w:ind w:left="0" w:right="0" w:hanging="0"/>
              <w:rPr/>
            </w:pPr>
            <w:r>
              <w:rPr/>
              <w:t>​</w:t>
            </w:r>
          </w:p>
        </w:tc>
      </w:tr>
      <w:tr>
        <w:trPr/>
        <w:tc>
          <w:tcPr>
            <w:tcW w:w="76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993"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6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6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57,152</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33,115</w:t>
            </w:r>
          </w:p>
        </w:tc>
      </w:tr>
      <w:tr>
        <w:trPr/>
        <w:tc>
          <w:tcPr>
            <w:tcW w:w="766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included in other assets</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8,687</w:t>
            </w:r>
          </w:p>
        </w:tc>
      </w:tr>
      <w:tr>
        <w:trPr/>
        <w:tc>
          <w:tcPr>
            <w:tcW w:w="7665"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cash, cash equivalents and restricted cash shown in the accompanying condensed consolidated statements of cash flows</w:t>
            </w:r>
          </w:p>
        </w:tc>
        <w:tc>
          <w:tcPr>
            <w:tcW w:w="326" w:type="dxa"/>
            <w:tcBorders/>
            <w:shd w:fill="CCEEFF" w:val="clear"/>
            <w:vAlign w:val="center"/>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64,184</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41,802</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Restricted cash includes amounts reserved as a requirement of financing and development for certain of the Company’s projects.</w:t>
      </w:r>
    </w:p>
    <w:p>
      <w:pPr>
        <w:pStyle w:val="Normal"/>
        <w:spacing w:before="0" w:after="0"/>
        <w:rPr>
          <w:sz w:val="4"/>
          <w:szCs w:val="4"/>
        </w:rPr>
      </w:pPr>
      <w:r>
        <w:rPr>
          <w:sz w:val="4"/>
          <w:szCs w:val="4"/>
        </w:rPr>
      </w:r>
      <w:bookmarkStart w:id="708" w:name="Tc_p8ZO_VVc8kWbLIWBdUNyiQ_13_5"/>
      <w:bookmarkStart w:id="709" w:name="Tc_Sem49BquFEq9P8gI1fVQtQ_13_2"/>
      <w:bookmarkStart w:id="710" w:name="Tc_GST1TTRoSEOdmtH0Anw3AA_13_0"/>
      <w:bookmarkStart w:id="711" w:name="Tc_CVtHYmHFH0uf2t5m_MSF7Q_12_5"/>
      <w:bookmarkStart w:id="712" w:name="Tc_C0HsLqSsRk2Hbf7CPjr9gg_12_2"/>
      <w:bookmarkStart w:id="713" w:name="Tc_1pl8Z3sCCEePg23yNYT9Qw_12_0"/>
      <w:bookmarkStart w:id="714" w:name="Tc_ASwokGi4Z0C1zJx9SESiQA_11_5"/>
      <w:bookmarkStart w:id="715" w:name="Tc_FMBvHHzj7UyfeO8Nue7swA_11_2"/>
      <w:bookmarkStart w:id="716" w:name="Tc_v-yAM9uqckG2vjlxvf3FEQ_11_0"/>
      <w:bookmarkStart w:id="717" w:name="Tc_cGibRa5pVEaU1KvS7XSeZQ_10_5"/>
      <w:bookmarkStart w:id="718" w:name="Tc_Rd7fv0PUu0eQo3O7iG2dLA_10_2"/>
      <w:bookmarkStart w:id="719" w:name="Tc_sOu_zrATzE6AOxXxuKZzEQ_10_0"/>
      <w:bookmarkStart w:id="720" w:name="Tc_MQM3jibysUCG-QIw7OlZSA_9_5"/>
      <w:bookmarkStart w:id="721" w:name="Tc_H603OvZv3UOGnORgTw5vTw_9_2"/>
      <w:bookmarkStart w:id="722" w:name="Tc_qd-TP2K110eMayd4N4YhgQ_9_0"/>
      <w:bookmarkStart w:id="723" w:name="Tc_2Yoq10EDmUuAJQKiClb-MQ_8_0"/>
      <w:bookmarkStart w:id="724" w:name="Tc_kG_Md_l-rU6BANrWIzE_Qw_6_6"/>
      <w:bookmarkStart w:id="725" w:name="Tc_r14V2hGaLEGGblotUfvJ4g_6_5"/>
      <w:bookmarkStart w:id="726" w:name="Tc_caVa-EXDiki620IEBb42zQ_6_3"/>
      <w:bookmarkStart w:id="727" w:name="Tc_dvYG9bKVq0eMOIrEoO6fXQ_6_2"/>
      <w:bookmarkStart w:id="728" w:name="Tc_tC6XRuMsJUutNbFQ9D2Bdg_6_0"/>
      <w:bookmarkStart w:id="729" w:name="Tc_8tWlMssMgEa5gpfbogwXsQ_5_5"/>
      <w:bookmarkStart w:id="730" w:name="Tc_O7xWu1aJjky4a2SZTNmEBw_5_2"/>
      <w:bookmarkStart w:id="731" w:name="Tc_K78XmcG9bES0fEeirewWkA_5_0"/>
      <w:bookmarkStart w:id="732" w:name="Tc_NbZ7G_psCEOzOkfaJoB-8Q_4_0"/>
      <w:bookmarkStart w:id="733" w:name="Tc_CaGI4NOLd06yDLXA6HwyTw_3_5"/>
      <w:bookmarkStart w:id="734" w:name="Tc_4MDajY1gM0KWYvnEm-YfNw_3_3"/>
      <w:bookmarkStart w:id="735" w:name="Tc_2aa7VxI_hk2I0cg6h-JEqg_2_2"/>
      <w:bookmarkStart w:id="736" w:name="Tc_pn3yts2PgUSiIo1Suiz88g_1_2"/>
      <w:bookmarkStart w:id="737" w:name="_6eac2168_7f47_411d_adb7_249091632bf3"/>
      <w:bookmarkStart w:id="738" w:name="Tc_p8ZO_VVc8kWbLIWBdUNyiQ_13_5"/>
      <w:bookmarkStart w:id="739" w:name="Tc_Sem49BquFEq9P8gI1fVQtQ_13_2"/>
      <w:bookmarkStart w:id="740" w:name="Tc_GST1TTRoSEOdmtH0Anw3AA_13_0"/>
      <w:bookmarkStart w:id="741" w:name="Tc_CVtHYmHFH0uf2t5m_MSF7Q_12_5"/>
      <w:bookmarkStart w:id="742" w:name="Tc_C0HsLqSsRk2Hbf7CPjr9gg_12_2"/>
      <w:bookmarkStart w:id="743" w:name="Tc_1pl8Z3sCCEePg23yNYT9Qw_12_0"/>
      <w:bookmarkStart w:id="744" w:name="Tc_ASwokGi4Z0C1zJx9SESiQA_11_5"/>
      <w:bookmarkStart w:id="745" w:name="Tc_FMBvHHzj7UyfeO8Nue7swA_11_2"/>
      <w:bookmarkStart w:id="746" w:name="Tc_v-yAM9uqckG2vjlxvf3FEQ_11_0"/>
      <w:bookmarkStart w:id="747" w:name="Tc_cGibRa5pVEaU1KvS7XSeZQ_10_5"/>
      <w:bookmarkStart w:id="748" w:name="Tc_Rd7fv0PUu0eQo3O7iG2dLA_10_2"/>
      <w:bookmarkStart w:id="749" w:name="Tc_sOu_zrATzE6AOxXxuKZzEQ_10_0"/>
      <w:bookmarkStart w:id="750" w:name="Tc_MQM3jibysUCG-QIw7OlZSA_9_5"/>
      <w:bookmarkStart w:id="751" w:name="Tc_H603OvZv3UOGnORgTw5vTw_9_2"/>
      <w:bookmarkStart w:id="752" w:name="Tc_qd-TP2K110eMayd4N4YhgQ_9_0"/>
      <w:bookmarkStart w:id="753" w:name="Tc_2Yoq10EDmUuAJQKiClb-MQ_8_0"/>
      <w:bookmarkStart w:id="754" w:name="Tc_kG_Md_l-rU6BANrWIzE_Qw_6_6"/>
      <w:bookmarkStart w:id="755" w:name="Tc_r14V2hGaLEGGblotUfvJ4g_6_5"/>
      <w:bookmarkStart w:id="756" w:name="Tc_caVa-EXDiki620IEBb42zQ_6_3"/>
      <w:bookmarkStart w:id="757" w:name="Tc_dvYG9bKVq0eMOIrEoO6fXQ_6_2"/>
      <w:bookmarkStart w:id="758" w:name="Tc_tC6XRuMsJUutNbFQ9D2Bdg_6_0"/>
      <w:bookmarkStart w:id="759" w:name="Tc_8tWlMssMgEa5gpfbogwXsQ_5_5"/>
      <w:bookmarkStart w:id="760" w:name="Tc_O7xWu1aJjky4a2SZTNmEBw_5_2"/>
      <w:bookmarkStart w:id="761" w:name="Tc_K78XmcG9bES0fEeirewWkA_5_0"/>
      <w:bookmarkStart w:id="762" w:name="Tc_NbZ7G_psCEOzOkfaJoB-8Q_4_0"/>
      <w:bookmarkStart w:id="763" w:name="Tc_CaGI4NOLd06yDLXA6HwyTw_3_5"/>
      <w:bookmarkStart w:id="764" w:name="Tc_4MDajY1gM0KWYvnEm-YfNw_3_3"/>
      <w:bookmarkStart w:id="765" w:name="Tc_2aa7VxI_hk2I0cg6h-JEqg_2_2"/>
      <w:bookmarkStart w:id="766" w:name="Tc_pn3yts2PgUSiIo1Suiz88g_1_2"/>
      <w:bookmarkStart w:id="767" w:name="_6eac2168_7f47_411d_adb7_249091632bf3"/>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tbl>
      <w:tblPr>
        <w:tblW w:w="10205" w:type="dxa"/>
        <w:jc w:val="left"/>
        <w:tblInd w:w="0" w:type="dxa"/>
        <w:tblCellMar>
          <w:top w:w="0" w:type="dxa"/>
          <w:left w:w="0" w:type="dxa"/>
          <w:bottom w:w="0" w:type="dxa"/>
          <w:right w:w="0" w:type="dxa"/>
        </w:tblCellMar>
      </w:tblPr>
      <w:tblGrid>
        <w:gridCol w:w="8211"/>
        <w:gridCol w:w="109"/>
        <w:gridCol w:w="211"/>
        <w:gridCol w:w="677"/>
        <w:gridCol w:w="109"/>
        <w:gridCol w:w="211"/>
        <w:gridCol w:w="677"/>
      </w:tblGrid>
      <w:tr>
        <w:trPr/>
        <w:tc>
          <w:tcPr>
            <w:tcW w:w="8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213985" cy="175260"/>
                      <wp:effectExtent l="0" t="0" r="0" b="0"/>
                      <wp:wrapNone/>
                      <wp:docPr id="62" name="Frame62"/>
                      <a:graphic xmlns:a="http://schemas.openxmlformats.org/drawingml/2006/main">
                        <a:graphicData uri="http://schemas.microsoft.com/office/word/2010/wordprocessingShape">
                          <wps:wsp>
                            <wps:cNvSpPr txBox="1"/>
                            <wps:spPr>
                              <a:xfrm>
                                <a:off x="0" y="0"/>
                                <a:ext cx="521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9895" cy="175260"/>
                      <wp:effectExtent l="0" t="0" r="0" b="0"/>
                      <wp:wrapNone/>
                      <wp:docPr id="65" name="Frame65"/>
                      <a:graphic xmlns:a="http://schemas.openxmlformats.org/drawingml/2006/main">
                        <a:graphicData uri="http://schemas.microsoft.com/office/word/2010/wordprocessingShape">
                          <wps:wsp>
                            <wps:cNvSpPr txBox="1"/>
                            <wps:spPr>
                              <a:xfrm>
                                <a:off x="0" y="0"/>
                                <a:ext cx="429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29895" cy="175260"/>
                      <wp:effectExtent l="0" t="0" r="0" b="0"/>
                      <wp:wrapNone/>
                      <wp:docPr id="68" name="Frame68"/>
                      <a:graphic xmlns:a="http://schemas.openxmlformats.org/drawingml/2006/main">
                        <a:graphicData uri="http://schemas.microsoft.com/office/word/2010/wordprocessingShape">
                          <wps:wsp>
                            <wps:cNvSpPr txBox="1"/>
                            <wps:spPr>
                              <a:xfrm>
                                <a:off x="0" y="0"/>
                                <a:ext cx="429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2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8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82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8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82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88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2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paid during the period for:</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7" w:type="dxa"/>
            <w:tcBorders/>
            <w:shd w:fill="CCEEFF" w:val="clear"/>
            <w:vAlign w:val="center"/>
          </w:tcPr>
          <w:p>
            <w:pPr>
              <w:pStyle w:val="TableContents"/>
              <w:spacing w:before="0" w:after="0"/>
              <w:ind w:left="0" w:right="0" w:hanging="0"/>
              <w:jc w:val="right"/>
              <w:rPr/>
            </w:pPr>
            <w:r>
              <w:rPr/>
              <w:t>​</w:t>
            </w:r>
          </w:p>
        </w:tc>
      </w:tr>
      <w:tr>
        <w:trPr/>
        <w:tc>
          <w:tcPr>
            <w:tcW w:w="8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net of amounts capitalized</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8,117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5,692</w:t>
            </w:r>
          </w:p>
        </w:tc>
      </w:tr>
      <w:tr>
        <w:trPr/>
        <w:tc>
          <w:tcPr>
            <w:tcW w:w="8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spacing w:before="0" w:after="0"/>
              <w:ind w:left="0" w:right="0" w:hanging="0"/>
              <w:jc w:val="right"/>
              <w:rPr/>
            </w:pPr>
            <w:r>
              <w:rPr/>
              <w:t>—</w:t>
            </w:r>
          </w:p>
        </w:tc>
      </w:tr>
      <w:tr>
        <w:trPr/>
        <w:tc>
          <w:tcPr>
            <w:tcW w:w="82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rPr/>
            </w:pPr>
            <w:r>
              <w:rPr/>
              <w:t>​</w:t>
            </w:r>
          </w:p>
        </w:tc>
      </w:tr>
      <w:tr>
        <w:trPr/>
        <w:tc>
          <w:tcPr>
            <w:tcW w:w="82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Non-cash investing and financing activities: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7"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7" w:type="dxa"/>
            <w:tcBorders/>
            <w:shd w:fill="CCEEFF" w:val="clear"/>
            <w:vAlign w:val="center"/>
          </w:tcPr>
          <w:p>
            <w:pPr>
              <w:pStyle w:val="TableContents"/>
              <w:spacing w:before="0" w:after="0"/>
              <w:ind w:left="0" w:right="0" w:hanging="0"/>
              <w:jc w:val="right"/>
              <w:rPr/>
            </w:pPr>
            <w:r>
              <w:rPr/>
              <w:t>  </w:t>
            </w:r>
          </w:p>
        </w:tc>
      </w:tr>
      <w:tr>
        <w:trPr/>
        <w:tc>
          <w:tcPr>
            <w:tcW w:w="8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contributions to unconsolidated joint ventures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8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Decrease in Community Development District debt, net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Transfers of operating property to property and equipment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4,121</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4,960</w:t>
            </w:r>
          </w:p>
        </w:tc>
      </w:tr>
      <w:tr>
        <w:trPr/>
        <w:tc>
          <w:tcPr>
            <w:tcW w:w="8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(Decrease) increase in expenditures for operating properties and property and equipment financed through accounts payable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r>
      <w:tr>
        <w:trPr/>
        <w:tc>
          <w:tcPr>
            <w:tcW w:w="8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(loss) gain on cash flow hedges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2,621</w:t>
            </w:r>
          </w:p>
        </w:tc>
      </w:tr>
    </w:tbl>
    <w:p>
      <w:pPr>
        <w:pStyle w:val="TextBody"/>
        <w:spacing w:before="0" w:after="0"/>
        <w:ind w:left="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See notes to the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768" w:name="_425c733a_5e0c_48b5_af52_1e03a94d94c7"/>
      <w:bookmarkEnd w:id="768"/>
      <w:r>
        <w:rPr>
          <w:rFonts w:ascii="Times New Roman;Times;serif" w:hAnsi="Times New Roman;Times;serif"/>
          <w:b/>
          <w:sz w:val="20"/>
        </w:rPr>
        <w:t>THE ST. JOE COMPANY</w:t>
      </w:r>
    </w:p>
    <w:p>
      <w:pPr>
        <w:pStyle w:val="TextBody"/>
        <w:spacing w:before="0" w:after="0"/>
        <w:ind w:left="0" w:right="0" w:hanging="0"/>
        <w:jc w:val="center"/>
        <w:rPr>
          <w:rFonts w:ascii="Times New Roman;Times;serif" w:hAnsi="Times New Roman;Times;serif"/>
          <w:b/>
          <w:sz w:val="20"/>
        </w:rPr>
      </w:pPr>
      <w:bookmarkStart w:id="769" w:name="NOTESTOTHECONDENSEDCONSOLIDATEDFINANCIAL"/>
      <w:bookmarkEnd w:id="769"/>
      <w:r>
        <w:rPr>
          <w:rFonts w:ascii="Times New Roman;Times;serif" w:hAnsi="Times New Roman;Times;serif"/>
          <w:b/>
          <w:sz w:val="20"/>
        </w:rPr>
        <w:t>NOTES TO THE CONDENSED CONSOLIDATED FINANCIAL STATEMENTS</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 unless otherwise stated)</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Nature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St. Joe Company together with its consolidated subsidiaries (“St. Joe” or the “Company”) is a Florida real estate development, asset management and operating company with all of its real estate assets and operations in Northwest Florida. </w:t>
      </w:r>
      <w:r>
        <w:rPr>
          <w:rFonts w:ascii="TimesNewRomanPSMT" w:hAnsi="TimesNewRomanPSMT"/>
          <w:sz w:val="20"/>
        </w:rPr>
        <w:t>Approximately 86%</w:t>
      </w:r>
      <w:r>
        <w:rPr>
          <w:rFonts w:ascii="Times New Roman;Times;serif" w:hAnsi="Times New Roman;Times;serif"/>
          <w:sz w:val="20"/>
        </w:rPr>
        <w:t xml:space="preserve"> </w:t>
      </w:r>
      <w:r>
        <w:rPr>
          <w:rFonts w:ascii="TimesNewRomanPSMT" w:hAnsi="TimesNewRomanPSMT"/>
          <w:sz w:val="20"/>
        </w:rPr>
        <w:t xml:space="preserve">of the Company’s real estate is located in Florida’s Bay, Gulf, and Walton counties. </w:t>
      </w:r>
      <w:r>
        <w:rPr>
          <w:rFonts w:ascii="Times New Roman;Times;serif" w:hAnsi="Times New Roman;Times;serif"/>
          <w:sz w:val="20"/>
        </w:rPr>
        <w:t>Approximately 90% of the Company’s real estate land holdings are located within fifteen miles of the Gulf of Mexico.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conducts primarily all of its business in the following three reportable segments: 1) residential, 2) hospitality and 3) commercial. See Note 17. </w:t>
      </w:r>
      <w:r>
        <w:rPr>
          <w:rFonts w:ascii="Times New Roman;Times;serif" w:hAnsi="Times New Roman;Times;serif"/>
          <w:i/>
          <w:sz w:val="20"/>
        </w:rPr>
        <w:t>Segment Information.</w:t>
      </w:r>
    </w:p>
    <w:p>
      <w:pPr>
        <w:pStyle w:val="TextBody"/>
        <w:spacing w:before="0" w:after="240"/>
        <w:ind w:left="0" w:right="0" w:hanging="0"/>
        <w:rPr>
          <w:rFonts w:ascii="Times New Roman;Times;serif" w:hAnsi="Times New Roman;Times;serif"/>
          <w:b/>
          <w:sz w:val="20"/>
        </w:rPr>
      </w:pPr>
      <w:bookmarkStart w:id="770" w:name="_Hlk77314531"/>
      <w:bookmarkEnd w:id="770"/>
      <w:r>
        <w:rPr>
          <w:rFonts w:ascii="Times New Roman;Times;serif" w:hAnsi="Times New Roman;Times;serif"/>
          <w:b/>
          <w:sz w:val="20"/>
        </w:rPr>
        <w:t>2. Summary of 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reporting on Form 10-Q. Accordingly, certain information and footnotes required by United States generally accepted accounting principles (“GAAP”) for complete financial statements are not included herein. The unaudited interim condensed consolidated financial statements include the accounts of the Company and all of its majority-owned and controlled subsidiaries, voting interest entities where the Company has a majority voting interest or control and variable interest entities where the Company deems itself the primary beneficiary. Investments in joint ventures (“JV”) in which the Company is not the primary beneficiary, or a voting interest entity where the Company does not have a majority voting interest or control, but has significant influence are unconsolidated and accounted for by the equity method. All significant intercompany transactions and balances have been eliminated in consolidation. The December 31, 2022 condensed consolidated balance sheet amounts have been derived from the Company’s December 31, 2022 audited consolidated financial statements. Certain prior period amounts in the accompanying condensed consolidated financial statements have been reclassified to conform to the current year presentation. These reclassifications had no effect on the Company’s previously reported total assets and liabilities, stockholders’ equity or net income. Operating results for the three months ended March 31, 2023 are not necessarily indicative of the results that may be expected for the full year ending December 31, 2023.</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 variable interest entity (“VIE”) is an entity in which a controlling financial interest may be achieved through arrangements that do not involve voting interests. A VIE is required to be consolidated by its primary beneficiary, which is the entity that possesses the power to direct the activities of the VIE that most significantly impact the VIE’s economic performance and has the obligation to absorb losses or the right to receive benefits from the VIE that are significant to the VIE. The Company consolidates VIEs when it is the primary beneficiary of the VIE. </w:t>
      </w:r>
      <w:r>
        <w:rPr>
          <w:rFonts w:ascii="TimesNewRomanPSMT" w:hAnsi="TimesNewRomanPSMT"/>
          <w:sz w:val="20"/>
        </w:rPr>
        <w:t xml:space="preserve">The Company continues to evaluate whether it is the primary beneficiary as needed when assessing reconsideration events. </w:t>
      </w:r>
      <w:r>
        <w:rPr>
          <w:rFonts w:ascii="Times New Roman;Times;serif" w:hAnsi="Times New Roman;Times;serif"/>
          <w:sz w:val="20"/>
        </w:rPr>
        <w:t xml:space="preserve">See Note 4. </w:t>
      </w:r>
      <w:r>
        <w:rPr>
          <w:rFonts w:ascii="Times New Roman;Times;serif" w:hAnsi="Times New Roman;Times;serif"/>
          <w:i/>
          <w:sz w:val="20"/>
        </w:rPr>
        <w:t>Joint Ventures</w:t>
      </w:r>
      <w:r>
        <w:rPr>
          <w:rFonts w:ascii="Times New Roman;Times;serif" w:hAnsi="Times New Roman;Times;serif"/>
          <w:sz w:val="20"/>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unaudited interim condensed consolidated financial statements reflect all normal recurring adjustments that, in the opinion of management, are necessary for fair presentation of the information contained herein. The unaudited interim condensed consolidated financial statements should be read in conjunction with the consolidated financial statements and notes included in the Company’s Annual Report on Form 10-K for the year ended December 31, 2022. The Company adheres to the same accounting policies in preparation of its unaudited interim condensed consolidated financial statements as the Company’s December 31, 2022 annual financial statements, except for any recently adopted accounting pronouncements. As required under GAAP, interim accounting for certain expenses, including income taxes, are based on full year assumptions. For interim financial reporting purposes, income taxes are recorded based upon estimated annual income tax rates.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771" w:name="_Hlk117091813"/>
      <w:bookmarkEnd w:id="771"/>
      <w:r>
        <w:rPr>
          <w:rFonts w:ascii="Times New Roman;Times;serif" w:hAnsi="Times New Roman;Times;serif"/>
          <w:b/>
          <w:i/>
          <w:sz w:val="20"/>
        </w:rPr>
        <w:t>Concentration of Risks and Uncertainties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All of the Company’s real estate assets are concentrated in Northwest Florida. Uncertain economic conditions could have an adverse impact on the Company’s operations and asset values.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Throughout the first quarter of 2023, the Company continued to generate positive financial results. While macroeconomic factors such as inflation, rising interest rates, supply chain disruptions, financial institution disruptions and geopolitical conflicts, among other things, have created economic headwinds and impacted buyer sentiment, demand across the Company’s segments remains strong. The Company believes this is primarily the result of the continued growth of Northwest Florida, which the Company attributes to the region’s high quality of life, natural beauty and outstanding amenities, as well as the evolving flexibility in the workplace.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Despite the strong demand across the Company’s segments, the Company also continues to feel the impact from the aforementioned macroeconomic factors, including supply chain disruptions which have extended homesite and home deliveries in certain residential communities and extended the time to complete hospitality and commercial projects. In addition, inflation and rising interest rates, have increased operating costs and loan rates, as compared to prior periods. The Company generally has not seen a material increase in cancellation rates, and therefore the impact relates primarily to the timing of revenue recognition. In addition, while rising interest rates have negatively impacted buyers’ ability to obtain financing and the housing market generally, homebuilders have performed on their contractual obligations with the Company.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Given our diverse portfolio of residential holdings, the mix of sales and pricing from different communities may also impact revenue and margins period over period.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Financial instruments that potentially subject the Company to a concentration of credit risk consist of cash, cash equivalents, investments, other receivables, investments held by special purpose entity or entities (“SPE”) and investments in retained interests. The Company deposits and invests cash with local, regional and national financial institutions, and as of March 31, 2023, these balances exceeded the amount of F.D.I.C. insurance provided on such deposits. In addition, as of March 31, 2023, the Company had $29.8 million invested in short-term U.S. Treasury Bills and $6.3 million invested in U.S. Treasury Money Market Funds classified as cash and cash equivalents and $22.8 million invested in U.S. Treasury Bills classified as investments – debt securities.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Earnings Per Share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Basic earnings per share is calculated by dividing net income attributable to the Company by the basic weighted average number of common shares outstanding for the period. Diluted earnings per share is calculated by dividing net income attributable to the Company by the weighted average number of shares of common stock outstanding for the period, including potential dilutive common shares. The treasury stock method is used to determine the effect on diluted earnings. For the three months ended March 31, 2023 and 2022, the Company had 57,923 and 25,594, respectively, unvested shares of restricted stock. For the three months ended March 31, 2023, 57,923 potentially dilutive common shares were excluded from the calculation of diluted income per share, since the effect would have been anti-dilutive based on the application of the treasury stock method. See Note 14. </w:t>
      </w:r>
      <w:r>
        <w:rPr>
          <w:rFonts w:ascii="Times New Roman;Times;serif" w:hAnsi="Times New Roman;Times;serif"/>
          <w:i/>
          <w:sz w:val="20"/>
        </w:rPr>
        <w:t>Stockholders’ Equity</w:t>
      </w:r>
      <w:r>
        <w:rPr>
          <w:rFonts w:ascii="Times New Roman;Times;serif" w:hAnsi="Times New Roman;Times;serif"/>
          <w:sz w:val="20"/>
        </w:rPr>
        <w:t xml:space="preserve"> for additional information related to the issuance of common stock for employee compensation.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772" w:name="Tc_6wtgPKiGEk-USLRaFrl0ug_14_6"/>
      <w:bookmarkStart w:id="773" w:name="Tc_SS1W1XkFyUagabyUxxR0hA_14_3"/>
      <w:bookmarkStart w:id="774" w:name="Tc__CbpoHC5Sk-YgoJ_fLRZ3g_14_0"/>
      <w:bookmarkStart w:id="775" w:name="Tc_Bf0VCJKiB06iPBIRgcsrgA_13_6"/>
      <w:bookmarkStart w:id="776" w:name="Tc_UNhGWHO3e0CdLZFQsF7tqg_13_3"/>
      <w:bookmarkStart w:id="777" w:name="Tc_n3djz04va0ipvQ6E6Y0ofw_13_0"/>
      <w:bookmarkStart w:id="778" w:name="Tc_FRBElqJT80m7fUpYXOda-g_12_0"/>
      <w:bookmarkStart w:id="779" w:name="Tc_PvIEWs0150eUz3AAz07XWA_10_0"/>
      <w:bookmarkStart w:id="780" w:name="Tc_6ZI5Wp_9w0uaRyRPi98Fgw_9_4"/>
      <w:bookmarkStart w:id="781" w:name="Tc_unZciiVFKECbGM7CCi2iQw_9_0"/>
      <w:bookmarkStart w:id="782" w:name="Tc_UrMJHr0F4Uyki0d2_slP1w_8_0"/>
      <w:bookmarkStart w:id="783" w:name="Tc_zYXJiKTcZUaGsNfyRlC1Rw_7_0"/>
      <w:bookmarkStart w:id="784" w:name="Tc_lcRS7Gqz7ESx4VyJW7soZA_5_6"/>
      <w:bookmarkStart w:id="785" w:name="Tc_Wk0yBP636EmqUVeANioXfA_5_3"/>
      <w:bookmarkStart w:id="786" w:name="Tc_5wjcjTVLQE-CiBGTZJl5vQ_5_0"/>
      <w:bookmarkStart w:id="787" w:name="Tc_0L5UBmC9XkqlAOJH9O28vQ_4_0"/>
      <w:bookmarkStart w:id="788" w:name="Tc_vuIHG8iWU0iSF3B8hNeBpA_3_3"/>
      <w:bookmarkStart w:id="789" w:name="Tc_4ntpLXfHiUObnC89W5XjFA_2_6"/>
      <w:bookmarkStart w:id="790" w:name="Tc_tzdw45tKV0mhP7kuIAYHZg_2_3"/>
      <w:bookmarkStart w:id="791" w:name="Tc_rbzTc79TAkeygsLGtUbutA_1_3"/>
      <w:bookmarkStart w:id="792" w:name="_97b29a4f_da21_4afb_8d19_54553ec057e6"/>
      <w:bookmarkStart w:id="793" w:name="_280f5590_077c_4467_a593_a05240976f33"/>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r>
        <w:rPr>
          <w:rFonts w:ascii="Times New Roman;Times;serif" w:hAnsi="Times New Roman;Times;serif"/>
          <w:sz w:val="20"/>
        </w:rPr>
        <w:t>The computation of basic and diluted earnings per share are as follows:</w:t>
      </w:r>
    </w:p>
    <w:p>
      <w:pPr>
        <w:pStyle w:val="TextBody"/>
        <w:spacing w:before="0" w:after="0"/>
        <w:ind w:left="0" w:right="0" w:hanging="0"/>
        <w:rPr/>
      </w:pPr>
      <w:r>
        <w:rPr/>
        <w:t>​</w:t>
      </w:r>
    </w:p>
    <w:tbl>
      <w:tblPr>
        <w:tblW w:w="8062" w:type="dxa"/>
        <w:jc w:val="left"/>
        <w:tblInd w:w="0" w:type="dxa"/>
        <w:tblCellMar>
          <w:top w:w="0" w:type="dxa"/>
          <w:left w:w="0" w:type="dxa"/>
          <w:bottom w:w="0" w:type="dxa"/>
          <w:right w:w="0" w:type="dxa"/>
        </w:tblCellMar>
      </w:tblPr>
      <w:tblGrid>
        <w:gridCol w:w="4336"/>
        <w:gridCol w:w="109"/>
        <w:gridCol w:w="109"/>
        <w:gridCol w:w="279"/>
        <w:gridCol w:w="1373"/>
        <w:gridCol w:w="144"/>
        <w:gridCol w:w="279"/>
        <w:gridCol w:w="1433"/>
      </w:tblGrid>
      <w:tr>
        <w:trPr/>
        <w:tc>
          <w:tcPr>
            <w:tcW w:w="4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753360" cy="175260"/>
                      <wp:effectExtent l="0" t="0" r="0" b="0"/>
                      <wp:wrapNone/>
                      <wp:docPr id="69" name="Frame69"/>
                      <a:graphic xmlns:a="http://schemas.openxmlformats.org/drawingml/2006/main">
                        <a:graphicData uri="http://schemas.microsoft.com/office/word/2010/wordprocessingShape">
                          <wps:wsp>
                            <wps:cNvSpPr txBox="1"/>
                            <wps:spPr>
                              <a:xfrm>
                                <a:off x="0" y="0"/>
                                <a:ext cx="2753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7165" cy="175260"/>
                      <wp:effectExtent l="0" t="0" r="0" b="0"/>
                      <wp:wrapNone/>
                      <wp:docPr id="72" name="Frame72"/>
                      <a:graphic xmlns:a="http://schemas.openxmlformats.org/drawingml/2006/main">
                        <a:graphicData uri="http://schemas.microsoft.com/office/word/2010/wordprocessingShape">
                          <wps:wsp>
                            <wps:cNvSpPr txBox="1"/>
                            <wps:spPr>
                              <a:xfrm>
                                <a:off x="0" y="0"/>
                                <a:ext cx="177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871855" cy="175260"/>
                      <wp:effectExtent l="0" t="0" r="0" b="0"/>
                      <wp:wrapNone/>
                      <wp:docPr id="73" name="Frame73"/>
                      <a:graphic xmlns:a="http://schemas.openxmlformats.org/drawingml/2006/main">
                        <a:graphicData uri="http://schemas.microsoft.com/office/word/2010/wordprocessingShape">
                          <wps:wsp>
                            <wps:cNvSpPr txBox="1"/>
                            <wps:spPr>
                              <a:xfrm>
                                <a:off x="0" y="0"/>
                                <a:ext cx="8718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1440" cy="175260"/>
                      <wp:effectExtent l="0" t="0" r="0" b="0"/>
                      <wp:wrapNone/>
                      <wp:docPr id="74" name="Frame74"/>
                      <a:graphic xmlns:a="http://schemas.openxmlformats.org/drawingml/2006/main">
                        <a:graphicData uri="http://schemas.microsoft.com/office/word/2010/wordprocessingShape">
                          <wps:wsp>
                            <wps:cNvSpPr txBox="1"/>
                            <wps:spPr>
                              <a:xfrm>
                                <a:off x="0" y="0"/>
                                <a:ext cx="91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77165" cy="175260"/>
                      <wp:effectExtent l="0" t="0" r="0" b="0"/>
                      <wp:wrapNone/>
                      <wp:docPr id="75" name="Frame75"/>
                      <a:graphic xmlns:a="http://schemas.openxmlformats.org/drawingml/2006/main">
                        <a:graphicData uri="http://schemas.microsoft.com/office/word/2010/wordprocessingShape">
                          <wps:wsp>
                            <wps:cNvSpPr txBox="1"/>
                            <wps:spPr>
                              <a:xfrm>
                                <a:off x="0" y="0"/>
                                <a:ext cx="177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09955" cy="175260"/>
                      <wp:effectExtent l="0" t="0" r="0" b="0"/>
                      <wp:wrapNone/>
                      <wp:docPr id="76" name="Frame76"/>
                      <a:graphic xmlns:a="http://schemas.openxmlformats.org/drawingml/2006/main">
                        <a:graphicData uri="http://schemas.microsoft.com/office/word/2010/wordprocessingShape">
                          <wps:wsp>
                            <wps:cNvSpPr txBox="1"/>
                            <wps:spPr>
                              <a:xfrm>
                                <a:off x="0" y="0"/>
                                <a:ext cx="9099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350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3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6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4" w:type="dxa"/>
            <w:tcBorders/>
            <w:shd w:fill="auto" w:val="clear"/>
            <w:vAlign w:val="center"/>
          </w:tcPr>
          <w:p>
            <w:pPr>
              <w:pStyle w:val="TableContents"/>
              <w:spacing w:before="0" w:after="1"/>
              <w:ind w:left="0" w:right="0" w:hanging="0"/>
              <w:jc w:val="center"/>
              <w:rPr/>
            </w:pPr>
            <w:r>
              <w:rPr/>
              <w:t>​</w:t>
            </w:r>
          </w:p>
        </w:tc>
        <w:tc>
          <w:tcPr>
            <w:tcW w:w="17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062"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43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508" w:type="dxa"/>
            <w:gridSpan w:val="5"/>
            <w:tcBorders/>
            <w:shd w:fill="auto" w:val="clear"/>
            <w:vAlign w:val="center"/>
          </w:tcPr>
          <w:p>
            <w:pPr>
              <w:pStyle w:val="TableContents"/>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thousands except per share amounts)</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Income </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jc w:val="center"/>
              <w:rPr/>
            </w:pPr>
            <w:r>
              <w:rPr/>
              <w:t>​</w:t>
            </w:r>
          </w:p>
        </w:tc>
        <w:tc>
          <w:tcPr>
            <w:tcW w:w="279" w:type="dxa"/>
            <w:tcBorders/>
            <w:shd w:fill="CCEEFF" w:val="clear"/>
            <w:vAlign w:val="center"/>
          </w:tcPr>
          <w:p>
            <w:pPr>
              <w:pStyle w:val="TableContents"/>
              <w:spacing w:before="0" w:after="1"/>
              <w:ind w:left="0" w:right="0" w:hanging="0"/>
              <w:jc w:val="center"/>
              <w:rPr/>
            </w:pPr>
            <w:r>
              <w:rPr/>
              <w:t>​</w:t>
            </w:r>
          </w:p>
        </w:tc>
        <w:tc>
          <w:tcPr>
            <w:tcW w:w="1373" w:type="dxa"/>
            <w:tcBorders/>
            <w:shd w:fill="CCEEFF" w:val="clear"/>
            <w:vAlign w:val="center"/>
          </w:tcPr>
          <w:p>
            <w:pPr>
              <w:pStyle w:val="TableContents"/>
              <w:spacing w:before="0" w:after="1"/>
              <w:ind w:left="0" w:right="0" w:hanging="0"/>
              <w:jc w:val="center"/>
              <w:rPr/>
            </w:pPr>
            <w:r>
              <w:rPr/>
              <w:t>​</w:t>
            </w:r>
          </w:p>
        </w:tc>
        <w:tc>
          <w:tcPr>
            <w:tcW w:w="144" w:type="dxa"/>
            <w:tcBorders/>
            <w:shd w:fill="CCEEFF" w:val="clear"/>
            <w:vAlign w:val="center"/>
          </w:tcPr>
          <w:p>
            <w:pPr>
              <w:pStyle w:val="TableContents"/>
              <w:spacing w:before="0" w:after="1"/>
              <w:ind w:left="0" w:right="0" w:hanging="0"/>
              <w:jc w:val="center"/>
              <w:rPr/>
            </w:pPr>
            <w:r>
              <w:rPr/>
              <w:t>​</w:t>
            </w:r>
          </w:p>
        </w:tc>
        <w:tc>
          <w:tcPr>
            <w:tcW w:w="279" w:type="dxa"/>
            <w:tcBorders/>
            <w:shd w:fill="CCEEFF" w:val="clear"/>
            <w:vAlign w:val="center"/>
          </w:tcPr>
          <w:p>
            <w:pPr>
              <w:pStyle w:val="TableContents"/>
              <w:spacing w:before="0" w:after="1"/>
              <w:ind w:left="0" w:right="0" w:hanging="0"/>
              <w:jc w:val="center"/>
              <w:rPr/>
            </w:pPr>
            <w:r>
              <w:rPr/>
              <w:t>​</w:t>
            </w:r>
          </w:p>
        </w:tc>
        <w:tc>
          <w:tcPr>
            <w:tcW w:w="1433" w:type="dxa"/>
            <w:tcBorders/>
            <w:shd w:fill="CCEEFF" w:val="clear"/>
            <w:vAlign w:val="center"/>
          </w:tcPr>
          <w:p>
            <w:pPr>
              <w:pStyle w:val="TableContents"/>
              <w:spacing w:before="0" w:after="1"/>
              <w:ind w:left="0" w:right="0" w:hanging="0"/>
              <w:jc w:val="center"/>
              <w:rPr/>
            </w:pPr>
            <w:r>
              <w:rPr/>
              <w:t>​</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 attributable to the Company</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7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10,390</w:t>
            </w:r>
          </w:p>
        </w:tc>
        <w:tc>
          <w:tcPr>
            <w:tcW w:w="144" w:type="dxa"/>
            <w:tcBorders/>
            <w:shd w:fill="auto" w:val="clear"/>
            <w:vAlign w:val="center"/>
          </w:tcPr>
          <w:p>
            <w:pPr>
              <w:pStyle w:val="TableContents"/>
              <w:spacing w:before="0" w:after="1"/>
              <w:ind w:left="0" w:right="0" w:hanging="0"/>
              <w:jc w:val="right"/>
              <w:rPr/>
            </w:pPr>
            <w:r>
              <w:rPr/>
              <w:t>​</w:t>
            </w:r>
          </w:p>
        </w:tc>
        <w:tc>
          <w:tcPr>
            <w:tcW w:w="27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3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13,412</w:t>
            </w:r>
          </w:p>
        </w:tc>
      </w:tr>
      <w:tr>
        <w:trPr/>
        <w:tc>
          <w:tcPr>
            <w:tcW w:w="433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pPr>
            <w:r>
              <w:rPr/>
              <w:t>​</w:t>
            </w:r>
          </w:p>
        </w:tc>
        <w:tc>
          <w:tcPr>
            <w:tcW w:w="1373" w:type="dxa"/>
            <w:tcBorders/>
            <w:shd w:fill="CCEEFF" w:val="clear"/>
            <w:vAlign w:val="center"/>
          </w:tcPr>
          <w:p>
            <w:pPr>
              <w:pStyle w:val="TableContents"/>
              <w:spacing w:before="0" w:after="1"/>
              <w:ind w:left="0" w:right="0" w:hanging="0"/>
              <w:rPr/>
            </w:pPr>
            <w:r>
              <w:rPr/>
              <w:t>​</w:t>
            </w:r>
          </w:p>
        </w:tc>
        <w:tc>
          <w:tcPr>
            <w:tcW w:w="144"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pPr>
            <w:r>
              <w:rPr/>
              <w:t>​</w:t>
            </w:r>
          </w:p>
        </w:tc>
        <w:tc>
          <w:tcPr>
            <w:tcW w:w="1433" w:type="dxa"/>
            <w:tcBorders/>
            <w:shd w:fill="CCEEFF" w:val="clear"/>
            <w:vAlign w:val="center"/>
          </w:tcPr>
          <w:p>
            <w:pPr>
              <w:pStyle w:val="TableContents"/>
              <w:spacing w:before="0" w:after="1"/>
              <w:ind w:left="0" w:right="0" w:hanging="0"/>
              <w:rPr/>
            </w:pPr>
            <w:r>
              <w:rPr/>
              <w:t>​</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Shares</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pPr>
            <w:r>
              <w:rPr/>
              <w:t>​</w:t>
            </w:r>
          </w:p>
        </w:tc>
        <w:tc>
          <w:tcPr>
            <w:tcW w:w="1373" w:type="dxa"/>
            <w:tcBorders/>
            <w:shd w:fill="auto" w:val="clear"/>
            <w:vAlign w:val="center"/>
          </w:tcPr>
          <w:p>
            <w:pPr>
              <w:pStyle w:val="TableContents"/>
              <w:spacing w:before="0" w:after="1"/>
              <w:ind w:left="0" w:right="0" w:hanging="0"/>
              <w:rPr/>
            </w:pPr>
            <w:r>
              <w:rPr/>
              <w:t>​</w:t>
            </w:r>
          </w:p>
        </w:tc>
        <w:tc>
          <w:tcPr>
            <w:tcW w:w="144"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pPr>
            <w:r>
              <w:rPr/>
              <w:t>​</w:t>
            </w:r>
          </w:p>
        </w:tc>
        <w:tc>
          <w:tcPr>
            <w:tcW w:w="1433" w:type="dxa"/>
            <w:tcBorders/>
            <w:shd w:fill="auto" w:val="clear"/>
            <w:vAlign w:val="center"/>
          </w:tcPr>
          <w:p>
            <w:pPr>
              <w:pStyle w:val="TableContents"/>
              <w:spacing w:before="0" w:after="1"/>
              <w:ind w:left="0" w:right="0" w:hanging="0"/>
              <w:rPr/>
            </w:pPr>
            <w:r>
              <w:rPr/>
              <w:t>​</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shares outstanding - basic</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79" w:type="dxa"/>
            <w:tcBorders/>
            <w:shd w:fill="CCEEFF" w:val="clear"/>
            <w:vAlign w:val="center"/>
          </w:tcPr>
          <w:p>
            <w:pPr>
              <w:pStyle w:val="TableContents"/>
              <w:spacing w:before="0" w:after="1"/>
              <w:ind w:left="0" w:right="0" w:hanging="0"/>
              <w:rPr/>
            </w:pPr>
            <w:r>
              <w:rPr/>
              <w:t>​</w:t>
            </w:r>
          </w:p>
        </w:tc>
        <w:tc>
          <w:tcPr>
            <w:tcW w:w="137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58,309,093</w:t>
            </w:r>
          </w:p>
        </w:tc>
        <w:tc>
          <w:tcPr>
            <w:tcW w:w="144" w:type="dxa"/>
            <w:tcBorders/>
            <w:shd w:fill="CCEEFF" w:val="clear"/>
            <w:vAlign w:val="center"/>
          </w:tcPr>
          <w:p>
            <w:pPr>
              <w:pStyle w:val="TableContents"/>
              <w:spacing w:before="0" w:after="1"/>
              <w:ind w:left="0" w:right="0" w:hanging="0"/>
              <w:jc w:val="right"/>
              <w:rPr/>
            </w:pPr>
            <w:r>
              <w:rPr/>
              <w:t>​</w:t>
            </w:r>
          </w:p>
        </w:tc>
        <w:tc>
          <w:tcPr>
            <w:tcW w:w="279" w:type="dxa"/>
            <w:tcBorders/>
            <w:shd w:fill="CCEEFF" w:val="clear"/>
            <w:vAlign w:val="center"/>
          </w:tcPr>
          <w:p>
            <w:pPr>
              <w:pStyle w:val="TableContents"/>
              <w:spacing w:before="0" w:after="1"/>
              <w:ind w:left="0" w:right="0" w:hanging="0"/>
              <w:rPr/>
            </w:pPr>
            <w:r>
              <w:rPr/>
              <w:t>​</w:t>
            </w:r>
          </w:p>
        </w:tc>
        <w:tc>
          <w:tcPr>
            <w:tcW w:w="14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58,882,549</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Incremental shares from restricted stock</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7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7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4" w:type="dxa"/>
            <w:tcBorders/>
            <w:shd w:fill="auto" w:val="clear"/>
            <w:vAlign w:val="center"/>
          </w:tcPr>
          <w:p>
            <w:pPr>
              <w:pStyle w:val="TableContents"/>
              <w:spacing w:before="0" w:after="1"/>
              <w:ind w:left="0" w:right="0" w:hanging="0"/>
              <w:jc w:val="right"/>
              <w:rPr/>
            </w:pPr>
            <w:r>
              <w:rPr/>
              <w:t>​</w:t>
            </w:r>
          </w:p>
        </w:tc>
        <w:tc>
          <w:tcPr>
            <w:tcW w:w="27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43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4,382</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shares outstanding - diluted</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37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58,309,093</w:t>
            </w:r>
          </w:p>
        </w:tc>
        <w:tc>
          <w:tcPr>
            <w:tcW w:w="144" w:type="dxa"/>
            <w:tcBorders/>
            <w:shd w:fill="CCEEFF" w:val="clear"/>
            <w:vAlign w:val="center"/>
          </w:tcPr>
          <w:p>
            <w:pPr>
              <w:pStyle w:val="TableContents"/>
              <w:spacing w:before="0" w:after="1"/>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43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58,886,931</w:t>
            </w:r>
          </w:p>
        </w:tc>
      </w:tr>
      <w:tr>
        <w:trPr/>
        <w:tc>
          <w:tcPr>
            <w:tcW w:w="43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pPr>
            <w:r>
              <w:rPr/>
              <w:t>​</w:t>
            </w:r>
          </w:p>
        </w:tc>
        <w:tc>
          <w:tcPr>
            <w:tcW w:w="1373" w:type="dxa"/>
            <w:tcBorders/>
            <w:shd w:fill="auto" w:val="clear"/>
            <w:vAlign w:val="center"/>
          </w:tcPr>
          <w:p>
            <w:pPr>
              <w:pStyle w:val="TableContents"/>
              <w:spacing w:before="0" w:after="1"/>
              <w:ind w:left="0" w:right="0" w:hanging="0"/>
              <w:rPr/>
            </w:pPr>
            <w:r>
              <w:rPr/>
              <w:t>​</w:t>
            </w:r>
          </w:p>
        </w:tc>
        <w:tc>
          <w:tcPr>
            <w:tcW w:w="144"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pPr>
            <w:r>
              <w:rPr/>
              <w:t>​</w:t>
            </w:r>
          </w:p>
        </w:tc>
        <w:tc>
          <w:tcPr>
            <w:tcW w:w="1433" w:type="dxa"/>
            <w:tcBorders/>
            <w:shd w:fill="auto" w:val="clear"/>
            <w:vAlign w:val="center"/>
          </w:tcPr>
          <w:p>
            <w:pPr>
              <w:pStyle w:val="TableContents"/>
              <w:spacing w:before="0" w:after="1"/>
              <w:ind w:left="0" w:right="0" w:hanging="0"/>
              <w:rPr/>
            </w:pPr>
            <w:r>
              <w:rPr/>
              <w:t>​</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income per share attributable to the Company</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pPr>
            <w:r>
              <w:rPr/>
              <w:t>​</w:t>
            </w:r>
          </w:p>
        </w:tc>
        <w:tc>
          <w:tcPr>
            <w:tcW w:w="1373" w:type="dxa"/>
            <w:tcBorders/>
            <w:shd w:fill="CCEEFF" w:val="clear"/>
            <w:vAlign w:val="center"/>
          </w:tcPr>
          <w:p>
            <w:pPr>
              <w:pStyle w:val="TableContents"/>
              <w:spacing w:before="0" w:after="1"/>
              <w:ind w:left="0" w:right="0" w:hanging="0"/>
              <w:rPr/>
            </w:pPr>
            <w:r>
              <w:rPr/>
              <w:t>​</w:t>
            </w:r>
          </w:p>
        </w:tc>
        <w:tc>
          <w:tcPr>
            <w:tcW w:w="144"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pPr>
            <w:r>
              <w:rPr/>
              <w:t>​</w:t>
            </w:r>
          </w:p>
        </w:tc>
        <w:tc>
          <w:tcPr>
            <w:tcW w:w="1433" w:type="dxa"/>
            <w:tcBorders/>
            <w:shd w:fill="CCEEFF" w:val="clear"/>
            <w:vAlign w:val="center"/>
          </w:tcPr>
          <w:p>
            <w:pPr>
              <w:pStyle w:val="TableContents"/>
              <w:spacing w:before="0" w:after="1"/>
              <w:ind w:left="0" w:right="0" w:hanging="0"/>
              <w:rPr/>
            </w:pPr>
            <w:r>
              <w:rPr/>
              <w:t>​</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income per share</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7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144" w:type="dxa"/>
            <w:tcBorders/>
            <w:shd w:fill="auto" w:val="clear"/>
            <w:vAlign w:val="center"/>
          </w:tcPr>
          <w:p>
            <w:pPr>
              <w:pStyle w:val="TableContents"/>
              <w:spacing w:before="0" w:after="1"/>
              <w:ind w:left="0" w:right="0" w:hanging="0"/>
              <w:rPr/>
            </w:pPr>
            <w:r>
              <w:rPr/>
              <w:t>​</w:t>
            </w:r>
          </w:p>
        </w:tc>
        <w:tc>
          <w:tcPr>
            <w:tcW w:w="27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3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income per share</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7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144" w:type="dxa"/>
            <w:tcBorders/>
            <w:shd w:fill="CCEEFF" w:val="clear"/>
            <w:vAlign w:val="center"/>
          </w:tcPr>
          <w:p>
            <w:pPr>
              <w:pStyle w:val="TableContents"/>
              <w:spacing w:before="0" w:after="1"/>
              <w:ind w:left="0" w:right="0" w:hanging="0"/>
              <w:rPr/>
            </w:pPr>
            <w:r>
              <w:rPr/>
              <w:t>​</w:t>
            </w:r>
          </w:p>
        </w:tc>
        <w:tc>
          <w:tcPr>
            <w:tcW w:w="27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3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0.23</w:t>
            </w:r>
          </w:p>
        </w:tc>
      </w:tr>
    </w:tbl>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were no recently adopted accounting pronouncements which would have a material effect on the Company’s financial condition, results of operations and cash flows.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Leases Common Control Arrangements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March 2023, the Financial Accounting Standards Board (“FASB”) issued ASU 2023-01, </w:t>
      </w:r>
      <w:r>
        <w:rPr>
          <w:rFonts w:ascii="Times New Roman;Times;serif" w:hAnsi="Times New Roman;Times;serif"/>
          <w:i/>
          <w:sz w:val="20"/>
        </w:rPr>
        <w:t>Leases (Topic 842): Common Control Arrangements</w:t>
      </w:r>
      <w:r>
        <w:rPr>
          <w:rFonts w:ascii="Times New Roman;Times;serif" w:hAnsi="Times New Roman;Times;serif"/>
          <w:sz w:val="20"/>
        </w:rPr>
        <w:t xml:space="preserve"> that improves accounting guidance for arrangements between entities under common control. The new guidance requires that leasehold improvements associated with common control leases be amortized by the lessee over the useful life of the leasehold improvements to the common control group, as long as the lessee controls the use of the underlying asset through a lease. When the lessee no longer controls the use of the underlying asset the leasehold improvements are accounted for as a transfer between entities under common control through an adjustment to equity. The new guidance will be effective for fiscal years beginning after December 15, 2023, with early adoption permitted. The guidance can be applied prospectively to all new leasehold improvements recognized on or after adoption, prospectively to all new leasehold improvements recognized on or after adoption and any remaining unamortized balance of existing leasehold improvements amortized over their remaining useful life to the common control group, or retrospectively to the beginning of the period in which the entity first applied </w:t>
      </w:r>
      <w:r>
        <w:rPr>
          <w:rFonts w:ascii="Times New Roman;Times;serif" w:hAnsi="Times New Roman;Times;serif"/>
          <w:i/>
          <w:sz w:val="20"/>
        </w:rPr>
        <w:t>Leases Topic 842</w:t>
      </w:r>
      <w:r>
        <w:rPr>
          <w:rFonts w:ascii="Times New Roman;Times;serif" w:hAnsi="Times New Roman;Times;serif"/>
          <w:sz w:val="20"/>
        </w:rPr>
        <w:t xml:space="preserve"> through a cumulative-effect adjustment to the opening balance of retained earnings. </w:t>
      </w:r>
      <w:r>
        <w:rPr>
          <w:rFonts w:ascii="TimesNewRomanPSMT" w:hAnsi="TimesNewRomanPSMT"/>
          <w:sz w:val="20"/>
        </w:rPr>
        <w:t>The Company is currently evaluating the impact that the adoption of this guidance will have on its financial condition, results of operations and cash flows.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Reference Rate Reform</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March 2020, the FASB issued ASU 2020-04, </w:t>
      </w:r>
      <w:r>
        <w:rPr>
          <w:rFonts w:ascii="Times New Roman;Times;serif" w:hAnsi="Times New Roman;Times;serif"/>
          <w:i/>
          <w:sz w:val="20"/>
        </w:rPr>
        <w:t>Reference Rate Reform (“Topic 848”): Facilitation of the Effects of Reference Rate Reform on Financial Reporting</w:t>
      </w:r>
      <w:r>
        <w:rPr>
          <w:rFonts w:ascii="Times New Roman;Times;serif" w:hAnsi="Times New Roman;Times;serif"/>
          <w:sz w:val="20"/>
        </w:rPr>
        <w:t xml:space="preserve"> that provides temporary optional guidance to ease the potential burden in accounting for or recognizing the effects of reference rate reform on financial reporting. The guidance provides expedients and exceptions for applying GAAP to contract modifications and hedging relationships affected by reference rate reform if certain criteria are met. The amendments apply only to contracts and hedging relationships that reference London Interbank Offered Rate (“LIBOR”) or another reference rate that is expected to be discontinued due to reference rate reform. In January 2021, the FASB issued ASU 2021-01, </w:t>
      </w:r>
      <w:r>
        <w:rPr>
          <w:rFonts w:ascii="Times New Roman;Times;serif" w:hAnsi="Times New Roman;Times;serif"/>
          <w:i/>
          <w:sz w:val="20"/>
        </w:rPr>
        <w:t>Reference Rate Reform (Topic 848)</w:t>
      </w:r>
      <w:r>
        <w:rPr>
          <w:rFonts w:ascii="Times New Roman;Times;serif" w:hAnsi="Times New Roman;Times;serif"/>
          <w:sz w:val="20"/>
        </w:rPr>
        <w:t xml:space="preserve"> which clarifies the original guidance that certain optional expedients and exceptions in contract modifications and hedge accounting apply to derivatives that are affected by the discounting transition. In December 2022, the FASB issued ASU 2022-06, </w:t>
      </w:r>
      <w:r>
        <w:rPr>
          <w:rFonts w:ascii="Times New Roman;Times;serif" w:hAnsi="Times New Roman;Times;serif"/>
          <w:i/>
          <w:sz w:val="20"/>
        </w:rPr>
        <w:t>Reference Rate Reform (Topic 848) - Deferral of the Sunset Date of Topic 848</w:t>
      </w:r>
      <w:r>
        <w:rPr>
          <w:rFonts w:ascii="Times New Roman;Times;serif" w:hAnsi="Times New Roman;Times;serif"/>
          <w:sz w:val="20"/>
        </w:rPr>
        <w:t xml:space="preserve"> that extends the temporary reference rate reform guidance under Topic 848 from December 31, 2022 to December 31, 2024. This guidance was effective upon issuance and may be applied prospectively through December 31, 2024, as reference rate activities occur. In 2022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2023, some of the Company’s debt agreements that referenced LIBOR were amended to an alternative rate, Topic 848 was applied at the time of these modifications and there was no impact on the Company’s financial condition, results of operations and cash flows. There is no current additional impact to the Company from this guidance and the Company will consider the impact on its financial condition, results of operations and cash flows when there are additional modifications to existing agreements.</w:t>
      </w:r>
    </w:p>
    <w:p>
      <w:pPr>
        <w:pStyle w:val="TextBody"/>
        <w:spacing w:before="0" w:after="240"/>
        <w:ind w:left="0" w:right="0" w:firstLine="36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94" w:name="Tc_JY6KuvIX90CR7o2Uo4sivw_18_5"/>
      <w:bookmarkStart w:id="795" w:name="Tc_dHEjy9v2Dkm6q5tz7ata8g_18_2"/>
      <w:bookmarkStart w:id="796" w:name="Tc_dsJdbr-xuE2DvQzNYkCzOw_18_0"/>
      <w:bookmarkStart w:id="797" w:name="Tc_hUCKRCLMEkWRAp2fPApA3Q_17_0"/>
      <w:bookmarkStart w:id="798" w:name="Tc_NYI52Lc_iU-_JIf7ASgxPg_16_0"/>
      <w:bookmarkStart w:id="799" w:name="Tc_KPaB4Zy87EW2G2vPsDhVGQ_15_0"/>
      <w:bookmarkStart w:id="800" w:name="Tc_nwxSmxYxTkmxo-PASjxLXw_14_0"/>
      <w:bookmarkStart w:id="801" w:name="Tc_tqmb_zHEyEqFl1Ull6ay6A_13_0"/>
      <w:bookmarkStart w:id="802" w:name="Tc_VUJ4GzpT80iyv-aZySVpwg_12_0"/>
      <w:bookmarkStart w:id="803" w:name="Tc_OJ5QYjK9e0q_aZocSh47AQ_11_0"/>
      <w:bookmarkStart w:id="804" w:name="Tc_JTJrnvW1qky1eRXjUTNZrg_10_0"/>
      <w:bookmarkStart w:id="805" w:name="Tc_jnlGx10BeEOzj_fmcuDc7w_8_0"/>
      <w:bookmarkStart w:id="806" w:name="Tc_ZMsjZIgyGUKkOrdrkhtuOw_7_0"/>
      <w:bookmarkStart w:id="807" w:name="Tc_oP7CQkc3j0K_UnPNIZgl5g_6_0"/>
      <w:bookmarkStart w:id="808" w:name="Tc_ln7FvjYcmEyUGOICog56aA_5_0"/>
      <w:bookmarkStart w:id="809" w:name="Tc_N3B87OXmeES61rapGivaHg_4_5"/>
      <w:bookmarkStart w:id="810" w:name="Tc_yft_qmhppkmQhe4fYvIIEQ_4_2"/>
      <w:bookmarkStart w:id="811" w:name="Tc_uuuBMcHaDUytIGgOLYwKiQ_4_0"/>
      <w:bookmarkStart w:id="812" w:name="Tc_4Q93QkFlNUK_FUME7SsY1w_3_0"/>
      <w:bookmarkStart w:id="813" w:name="Tc_cEPOf6v3ekCDGgMODf4WkQ_2_5"/>
      <w:bookmarkStart w:id="814" w:name="Tc_1ZpAfuLKiEKRigKTh7Wb3g_2_2"/>
      <w:bookmarkStart w:id="815" w:name="Tc_f8LwPMKZ-kSPB-gmCrToqw_1_5"/>
      <w:bookmarkStart w:id="816" w:name="Tc_uNTBFcuxaUGg5By_Lk_9zw_1_2"/>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Pr>
          <w:rFonts w:ascii="Times New Roman;Times;serif" w:hAnsi="Times New Roman;Times;serif"/>
          <w:b/>
          <w:sz w:val="20"/>
        </w:rPr>
        <w:t>3. Investment in Real Estate,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Investment in real estate, net, excluding unconsolidated JVs, by property type and segment includes the following:</w:t>
      </w:r>
    </w:p>
    <w:p>
      <w:pPr>
        <w:pStyle w:val="TextBody"/>
        <w:spacing w:before="0" w:after="0"/>
        <w:ind w:left="0" w:right="0" w:hanging="0"/>
        <w:rPr/>
      </w:pPr>
      <w:r>
        <w:rPr/>
        <w:t>​</w:t>
      </w:r>
    </w:p>
    <w:tbl>
      <w:tblPr>
        <w:tblW w:w="5710" w:type="dxa"/>
        <w:jc w:val="left"/>
        <w:tblInd w:w="0" w:type="dxa"/>
        <w:tblCellMar>
          <w:top w:w="0" w:type="dxa"/>
          <w:left w:w="0" w:type="dxa"/>
          <w:bottom w:w="0" w:type="dxa"/>
          <w:right w:w="0" w:type="dxa"/>
        </w:tblCellMar>
      </w:tblPr>
      <w:tblGrid>
        <w:gridCol w:w="2731"/>
        <w:gridCol w:w="326"/>
        <w:gridCol w:w="211"/>
        <w:gridCol w:w="931"/>
        <w:gridCol w:w="326"/>
        <w:gridCol w:w="228"/>
        <w:gridCol w:w="957"/>
      </w:tblGrid>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957"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Development property:</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957" w:type="dxa"/>
            <w:tcBorders/>
            <w:shd w:fill="CCEEFF" w:val="clear"/>
            <w:vAlign w:val="center"/>
          </w:tcPr>
          <w:p>
            <w:pPr>
              <w:pStyle w:val="TableContents"/>
              <w:spacing w:before="0" w:after="0"/>
              <w:ind w:left="0" w:right="0" w:hanging="0"/>
              <w:jc w:val="right"/>
              <w:rPr/>
            </w:pPr>
            <w:r>
              <w:rPr/>
              <w:t>  </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Residential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168,591</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171,504</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191,143</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200,209</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144,321</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131,133</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3,647</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development property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507,702</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506,464</w:t>
            </w:r>
          </w:p>
        </w:tc>
      </w:tr>
      <w:tr>
        <w:trPr/>
        <w:tc>
          <w:tcPr>
            <w:tcW w:w="27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957" w:type="dxa"/>
            <w:tcBorders/>
            <w:shd w:fill="CCEEFF"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property: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957" w:type="dxa"/>
            <w:tcBorders/>
            <w:shd w:fill="auto" w:val="clear"/>
            <w:vAlign w:val="center"/>
          </w:tcPr>
          <w:p>
            <w:pPr>
              <w:pStyle w:val="TableContents"/>
              <w:spacing w:before="0" w:after="0"/>
              <w:ind w:left="0" w:right="0" w:hanging="0"/>
              <w:jc w:val="right"/>
              <w:rPr/>
            </w:pPr>
            <w:r>
              <w:rPr/>
              <w:t>  </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Residential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7,899</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7,854</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244,795</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221,542</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366,056</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356,242</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operating property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618,833</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585,765</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100,249</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95,968</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operating property,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518,584</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489,797</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Investment in real estate,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1,026,286</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5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996,261</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Investment in real estate, net is carried at cost, net of depreciation and timber depletion, unless circumstances indicate that the carrying value of the assets may not be recoverable.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Development property consists of land the Company is developing or intends to develop for sale, lease or future operations and includes direct costs associated with the land, as well as development, construction and indirect costs. Residential development property includes existing and planned residential homesites and related infrastructure. Hospitality development property consists of land, improvements and construction and development costs primarily related to uncompleted hotels, resorts and club amenities. Commercial development property primarily consists of land and construction and development costs for planned commercial, multi-family and industrial uses. Development property in the hospitality and commercial segments will be reclassified as operating property as it is placed into service.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Operating property includes property that the Company uses for operations and activities. Residential operating property consists primarily of residential utility assets and certain rental properties. Hospitality operating property primarily consists of existing hotels, resorts, clubs, vacation rental homes, marinas and other operations. Commercial operating property includes property used for retail, office, self-storage, light industrial, multi-family, senior living, commercial rental and timber purposes. Operating property may be sold in the future as part of the Company’s principal real estate business. As of March 31, 2023 and December 31, 2022, operating property, net related to operating leases was $292.9 million and $285.1 million,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4. Joint Ventures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Company enters into JVs, from time to time, for the purpose of developing real estate and other business activities in which the Company may or may not have a controlling financial interest. GAAP requires consolidation of voting interest entities where the Company has a majority voting interest or control and VIEs in which an enterprise has a controlling financial interest and is the primary beneficiary. A controlling financial interest will have both of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following characteristics: (i) the power to direct the VIE activities that most significantly impact economic performance and (ii) the obligation to absorb losses or the right to receive benefits from the VIE that could potentially be significant to the VIE. The Company examines specific criteria and uses judgment when determining whether the Company is the primary beneficiary and must consolidate a VIE. The Company continues to evaluate whether it is the primary beneficiary </w:t>
      </w:r>
      <w:r>
        <w:rPr>
          <w:rFonts w:ascii="TimesNewRomanPSMT" w:hAnsi="TimesNewRomanPSMT"/>
          <w:sz w:val="20"/>
        </w:rPr>
        <w:t>as needed when assessing reconsideration events</w:t>
      </w:r>
      <w:r>
        <w:rPr>
          <w:rFonts w:ascii="Times New Roman;Times;serif" w:hAnsi="Times New Roman;Times;serif"/>
          <w:sz w:val="20"/>
        </w:rPr>
        <w:t>. Investments in JVs in which the Company is not the primary beneficiary, or a voting interest entity where the Company does not have a majority voting interest or control, but has significant influence are unconsolidated and accounted for by the equity method.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timing of cash flows for additional required capital contributions related to the Company’s JVs varies by agreement. Some of the Company’s consolidated and unconsolidated JVs have entered into financing agreements where the Company or its JV partners have provided guarantees. See Note 8. </w:t>
      </w:r>
      <w:r>
        <w:rPr>
          <w:rFonts w:ascii="Times New Roman;Times;serif" w:hAnsi="Times New Roman;Times;serif"/>
          <w:i/>
          <w:sz w:val="20"/>
        </w:rPr>
        <w:t>Other Assets</w:t>
      </w:r>
      <w:r>
        <w:rPr>
          <w:rFonts w:ascii="Times New Roman;Times;serif" w:hAnsi="Times New Roman;Times;serif"/>
          <w:sz w:val="20"/>
        </w:rPr>
        <w:t xml:space="preserve">, Note 9. </w:t>
      </w:r>
      <w:r>
        <w:rPr>
          <w:rFonts w:ascii="TimesNewRomanPS-ItalicMT" w:hAnsi="TimesNewRomanPS-ItalicMT"/>
          <w:i/>
          <w:sz w:val="20"/>
        </w:rPr>
        <w:t xml:space="preserve">Debt, Net </w:t>
      </w:r>
      <w:r>
        <w:rPr>
          <w:rFonts w:ascii="Times New Roman;Times;serif" w:hAnsi="Times New Roman;Times;serif"/>
          <w:sz w:val="20"/>
        </w:rPr>
        <w:t xml:space="preserve">and Note 18. </w:t>
      </w:r>
      <w:r>
        <w:rPr>
          <w:rFonts w:ascii="TimesNewRomanPS-ItalicMT" w:hAnsi="TimesNewRomanPS-ItalicMT"/>
          <w:i/>
          <w:sz w:val="20"/>
        </w:rPr>
        <w:t>Commitments and</w:t>
      </w:r>
      <w:r>
        <w:rPr>
          <w:rFonts w:ascii="Times New Roman;Times;serif" w:hAnsi="Times New Roman;Times;serif"/>
          <w:sz w:val="20"/>
        </w:rPr>
        <w:t xml:space="preserve"> </w:t>
      </w:r>
      <w:r>
        <w:rPr>
          <w:rFonts w:ascii="TimesNewRomanPS-ItalicMT" w:hAnsi="TimesNewRomanPS-ItalicMT"/>
          <w:i/>
          <w:sz w:val="20"/>
        </w:rPr>
        <w:t xml:space="preserve">Contingencies </w:t>
      </w:r>
      <w:r>
        <w:rPr>
          <w:rFonts w:ascii="Times New Roman;Times;serif" w:hAnsi="Times New Roman;Times;serif"/>
          <w:sz w:val="20"/>
        </w:rPr>
        <w:t>for additional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Consolidated Joint Ventures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Mexico Beach Crossings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Mexico Beach Crossings JV was formed in January 2022, when the Company entered into a JV agreement to develop, manage and lease apartments in Mexico Beach, Florida. The JV parties are working together to develop and construct the 216-unit apartment community. The community is located on land that was contributed to the JV by the Company. As of March 31, 2023 and December 31, 2022, the Company owned a 75.0% interest in the consolidated JV. The Company’s partner is currently responsible for the construction activities of the JV, but once operational, Watersound Management, LLC (“Watersound Management JV”), the Company’s unconsolidated JV, will be responsible for the day-to-day activities of the community. The Company approves all major decisions, including project development, annual budgets and financing. The Company determined Mexico Beach Crossings JV is a voting interest entity and that the Company has a majority voting interest as of March 31, 2023 and December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The Lodge 30A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Lodge 30A JV was formed in 2020, when the Company entered into a JV agreement to develop and operate a boutique hotel on Scenic County Highway 30A in Seagrove Beach, Florida. Construction of the 85-room hotel was completed in the first quarter of 2023. As of March 31, 2023 and December 31, 2022, the Company owned a 52.8% interest in the consolidated JV. A wholly-owned subsidiary of the Company manages the day-to-day operations of the hotel. The Company approves all major decisions, including project development, annual budgets and financing. The Company determined The Lodge 30A JV is a VIE and that the Company is the VIE’s primary beneficiary as of March 31, 2023 and December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Pier Park Resort Hotel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Pier Park Resort Hotel JV was formed in 2020, when the Company entered into a JV agreement to develop and operate an Embassy Suites by Hilton hotel in the Pier Park area of Panama City Beach, Florida. The JV parties are working together to develop and construct the 255-room hotel. As of March 31, 2023 and December 31, 2022, the Company owned a 70.0% interest in the consolidated JV. The Company’s partner is currently responsible for the construction activities of the JV, but once operational, a wholly-owned subsidiary of the Company will manage the day-to-day operations of the hotel. The Company has significant involvement in the project design and development, annual budgets and financing. The Company determined Pier Park Resort Hotel JV is a VIE and that the Company is the VIE’s primary beneficiary as of March 31, 2023 and December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Pier Park Crossings Phase II JV</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Pier Park Crossings Phase II JV was formed in 2019, when the Company entered into a JV agreement to develop, manage and lease a 120-unit apartment community in the Pier Park area of Panama City Beach, Florida. As of March 31, 2023 and December 31, 2022, the Company owned a 75.0% interest in the consolidated JV. The Company’s unconsolidated Watersound Management JV is responsible for the day-to-day activities of the community.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817" w:name="_Hlk133338039"/>
      <w:bookmarkEnd w:id="817"/>
      <w:r>
        <w:rPr>
          <w:rFonts w:ascii="Times New Roman;Times;serif" w:hAnsi="Times New Roman;Times;serif"/>
          <w:sz w:val="20"/>
        </w:rPr>
        <w:t>Company approves all major decisions, including project development, annual budgets and financing. The Company determined Pier Park Crossings Phase II JV is a VIE and that the Company is the VIE’s primary beneficiary as of March 31, 2023 and December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Watersound Closings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Watersound Closings JV was formed in 2019, when the Company entered into a JV agreement to own, operate and manage a real estate title insurance agency business. As of March 31, 2023 and December 31, 2022, the Company owned a 58.0% interest in the consolidated JV. A wholly-owned subsidiary of the Company is the managing member of Watersound Closings JV and is responsible for the day-to-day activities of the business. As the manager of the JV, as well as the majority member, the Company has the power to direct all of the activities of the JV that most significantly impact economic performance. The Company determined Watersound Closings JV is a VIE and that the Company is the VIE’s primary beneficiary as of March 31, 2023 and December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Watercrest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Watercrest JV was formed in 2019, when the Company entered into a JV agreement to develop and operate a 107-unit senior living community in Santa Rosa Beach, Florida. As of March 31, 2023 and December 31, 2022, the Company owned an 87.0% interest in the consolidated JV. A wholly-owned subsidiary of the Company’s JV partner is responsible for the day-to-day activities of the community. However, the Company approves all major decisions, including project development, annual budgets and financing. The Company determined Watercrest JV is a VIE and that the Company is the VIE’s primary beneficiary as of March 31, 2023 and December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Watersound Origins Crossings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Watersound Origins Crossings JV was formed in 2019, when the Company entered into a JV agreement to develop, manage and lease a 217-unit apartment community near the entrance to the Watersound Origins residential community. As of March 31, 2023 and December 31, 2022,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Watersound Origins Crossings JV is a VIE and that the Company is the VIE’s primary beneficiary as of March 31, 2023 and December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Pier Park Crossings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Pier Park Crossings JV was formed in 2017, when the Company entered into a JV agreement to develop, manage and lease a 240-unit apartment community in the Pier Park area of Panama City Beach, Florida. As of March 31, 2023 and December 31, 2022,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JV is a VIE and that the Company is the VIE’s primary beneficiary as of March 31, 2023 and December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Pier Park North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2012, the Company entered into a JV agreement with a partner to develop a retail center at Pier Park North. As of March 31, 2023 and December 31, 2022, the Company owned a 90.0% interest in the consolidated JV. A wholly-owned subsidiary of the Company’s JV partner is responsible for the day-to-day activities of the retail center. The Company approves all major decisions, including project development, annual budgets and financing. The Company determined the Pier Park North JV is a VIE and that the Company is the VIE’s primary beneficiary as of March 31, 2023 and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818" w:name="Tc_AHrXJjWvvU-FYUFiFT36bw_10_6"/>
      <w:bookmarkStart w:id="819" w:name="Tc_SSJvzfhwYUusy2KX_ZCYxQ_10_3"/>
      <w:bookmarkStart w:id="820" w:name="Tc_hINEXwHZyUO4xwQcFf9nEg_10_0"/>
      <w:bookmarkStart w:id="821" w:name="Tc_xz8q2Do4lkmM14mr4cek2A_9_0"/>
      <w:bookmarkStart w:id="822" w:name="Tc_F-z79NQzXkKqtMn1fBj1ow_8_7"/>
      <w:bookmarkStart w:id="823" w:name="Tc_zLL6mHTN_kuzmKXL-adg2Q_8_0"/>
      <w:bookmarkStart w:id="824" w:name="Tc_YiTgiRIEXEW7OCk9T3TrpQ_7_0"/>
      <w:bookmarkStart w:id="825" w:name="Tc_aQqJ78hoNEG9DuDkD0o27w_6_0"/>
      <w:bookmarkStart w:id="826" w:name="Tc_uWfhdxKP40iNAq_s-NKshg_5_0"/>
      <w:bookmarkStart w:id="827" w:name="Tc_2ytP_Pn7JE-FK4sKBmCEmA_4_6"/>
      <w:bookmarkStart w:id="828" w:name="Tc_pgPFEmAwkk6RuVlCsPTrNQ_4_3"/>
      <w:bookmarkStart w:id="829" w:name="Tc_zx2lVD2zskukTV4-tvAo3A_4_0"/>
      <w:bookmarkStart w:id="830" w:name="Tc_9iR5nmiKUkiCJHAdcW8_-Q_3_0"/>
      <w:bookmarkStart w:id="831" w:name="Tc_3ZYiQIQps067UZiyMyUecQ_2_6"/>
      <w:bookmarkStart w:id="832" w:name="Tc_gT2ABv2N2kyMKBeFuXMheA_2_3"/>
      <w:bookmarkStart w:id="833" w:name="Tc_7eLUuiiySU-uvS-spd6Olw_1_3"/>
      <w:bookmarkStart w:id="834" w:name="_1299321c_95f1_4471_a610_b8126618dac8"/>
      <w:bookmarkStart w:id="835" w:name="Tc_pl0hfxV2g06IdbG0HGt-Bw_20_5"/>
      <w:bookmarkStart w:id="836" w:name="Tc_nt4e9vQhb0STaJAXlILDlg_20_2"/>
      <w:bookmarkStart w:id="837" w:name="Tc_oMtbRnrzsUG735pLjZHM6A_20_0"/>
      <w:bookmarkStart w:id="838" w:name="Tc_Mg2NbssDDkCQm0BU04bvwQ_19_0"/>
      <w:bookmarkStart w:id="839" w:name="Tc_W3vwdlqwT0mJ4bilOWhH-w_18_0"/>
      <w:bookmarkStart w:id="840" w:name="Tc_CNefraZ9Q0eSdt3PZNFWpg_17_0"/>
      <w:bookmarkStart w:id="841" w:name="Tc_y7KzBE3uGUKk8RMMmbXV4Q_16_0"/>
      <w:bookmarkStart w:id="842" w:name="Tc_fmdWBTmAG0icKdPzXo7t-w_15_5"/>
      <w:bookmarkStart w:id="843" w:name="Tc_gGNtrjRbxUyWLDHjcfyRmA_15_2"/>
      <w:bookmarkStart w:id="844" w:name="Tc_kRXgi9tqsEGP2hBUPWwGkw_15_0"/>
      <w:bookmarkStart w:id="845" w:name="Tc_RlSHsD584UuExaNa7hYD5g_14_0"/>
      <w:bookmarkStart w:id="846" w:name="Tc_Vtzma1WFc0OWnsmk7iqzXw_12_5"/>
      <w:bookmarkStart w:id="847" w:name="Tc_2-K1Tw4woUyrvDWUIjaAPg_12_2"/>
      <w:bookmarkStart w:id="848" w:name="Tc_bzTmUZolcEud6iWDmd7xHA_12_0"/>
      <w:bookmarkStart w:id="849" w:name="Tc_xLakpg0myEicmOmRoSyKYg_11_0"/>
      <w:bookmarkStart w:id="850" w:name="Tc_npLklaB5nk2nw5ap1UcEuA_10_0"/>
      <w:bookmarkStart w:id="851" w:name="Tc_GgGVfkrdykGL-1o3VNaV1Q_9_0"/>
      <w:bookmarkStart w:id="852" w:name="Tc_QiAELSApP0OJmcG_mfq4Lw_8_0"/>
      <w:bookmarkStart w:id="853" w:name="Tc_k0-Ai4MAQEawIPvzeCTkiA_7_0"/>
      <w:bookmarkStart w:id="854" w:name="Tc_lxarl5e0s0OtK0Wd3trAnA_6_0"/>
      <w:bookmarkStart w:id="855" w:name="Tc_LmLwHbidykmgXiG8iEQs5g_5_0"/>
      <w:bookmarkStart w:id="856" w:name="Tc_ajYPXsyKhka_nkGsdvKLDg_4_5"/>
      <w:bookmarkStart w:id="857" w:name="Tc_4FL7KljFRkeZBVd5YEZHUQ_4_2"/>
      <w:bookmarkStart w:id="858" w:name="Tc_Uir5_S1qKEKOqja-hhEIvg_4_0"/>
      <w:bookmarkStart w:id="859" w:name="Tc_ATjqNfmbu0u-AAOG4qGbjQ_3_0"/>
      <w:bookmarkStart w:id="860" w:name="Tc_aqY6IMHgWEGSGGg-gY8ToQ_2_5"/>
      <w:bookmarkStart w:id="861" w:name="Tc_CpKq1fqb-EysW2jrMJ9-Kw_2_2"/>
      <w:bookmarkStart w:id="862" w:name="Tc_91VHAgOHvkileHdwxkkACQ_1_5"/>
      <w:bookmarkStart w:id="863" w:name="Tc_5Fmp5htMmU-dkMD3v9cMoQ_1_2"/>
      <w:bookmarkStart w:id="864" w:name="_a3507f13_0111_4500_b2d0_82f1153246d1"/>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Times New Roman;Times;serif" w:hAnsi="Times New Roman;Times;serif"/>
          <w:b/>
          <w:i/>
          <w:sz w:val="20"/>
        </w:rPr>
        <w:t>Unconsolidated Joint Ventures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Investment in unconsolidated joint ventures includes the Company’s investment accounted for using the equity method. The following table presents detail of the Company’s investment in unconsolidated joint ventures and total outstanding debt of unconsolidated JVs:</w:t>
      </w:r>
    </w:p>
    <w:p>
      <w:pPr>
        <w:pStyle w:val="TextBody"/>
        <w:spacing w:before="0" w:after="0"/>
        <w:ind w:left="0" w:right="0" w:hanging="0"/>
        <w:rPr/>
      </w:pPr>
      <w:r>
        <w:rPr/>
        <w:t>​</w:t>
      </w:r>
    </w:p>
    <w:tbl>
      <w:tblPr>
        <w:tblW w:w="7013" w:type="dxa"/>
        <w:jc w:val="left"/>
        <w:tblInd w:w="0" w:type="dxa"/>
        <w:tblCellMar>
          <w:top w:w="0" w:type="dxa"/>
          <w:left w:w="0" w:type="dxa"/>
          <w:bottom w:w="0" w:type="dxa"/>
          <w:right w:w="0" w:type="dxa"/>
        </w:tblCellMar>
      </w:tblPr>
      <w:tblGrid>
        <w:gridCol w:w="4276"/>
        <w:gridCol w:w="326"/>
        <w:gridCol w:w="214"/>
        <w:gridCol w:w="686"/>
        <w:gridCol w:w="326"/>
        <w:gridCol w:w="252"/>
        <w:gridCol w:w="933"/>
      </w:tblGrid>
      <w:tr>
        <w:trPr/>
        <w:tc>
          <w:tcPr>
            <w:tcW w:w="4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715260" cy="175260"/>
                      <wp:effectExtent l="0" t="0" r="0" b="0"/>
                      <wp:wrapNone/>
                      <wp:docPr id="77" name="Frame77"/>
                      <a:graphic xmlns:a="http://schemas.openxmlformats.org/drawingml/2006/main">
                        <a:graphicData uri="http://schemas.microsoft.com/office/word/2010/wordprocessingShape">
                          <wps:wsp>
                            <wps:cNvSpPr txBox="1"/>
                            <wps:spPr>
                              <a:xfrm>
                                <a:off x="0" y="0"/>
                                <a:ext cx="271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5890" cy="175260"/>
                      <wp:effectExtent l="0" t="0" r="0" b="0"/>
                      <wp:wrapNone/>
                      <wp:docPr id="79" name="Frame79"/>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35610" cy="175260"/>
                      <wp:effectExtent l="0" t="0" r="0" b="0"/>
                      <wp:wrapNone/>
                      <wp:docPr id="80" name="Frame80"/>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0020" cy="175260"/>
                      <wp:effectExtent l="0" t="0" r="0" b="0"/>
                      <wp:wrapNone/>
                      <wp:docPr id="82" name="Frame82"/>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92455" cy="175260"/>
                      <wp:effectExtent l="0" t="0" r="0" b="0"/>
                      <wp:wrapNone/>
                      <wp:docPr id="83" name="Frame83"/>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Investment in unconsolidated joint ventures</w:t>
            </w:r>
          </w:p>
        </w:tc>
        <w:tc>
          <w:tcPr>
            <w:tcW w:w="326" w:type="dxa"/>
            <w:tcBorders/>
            <w:shd w:fill="CCEEFF" w:val="clear"/>
            <w:vAlign w:val="center"/>
          </w:tcPr>
          <w:p>
            <w:pPr>
              <w:pStyle w:val="TableContents"/>
              <w:spacing w:before="0" w:after="0"/>
              <w:ind w:left="0" w:right="0" w:hanging="0"/>
              <w:rPr/>
            </w:pPr>
            <w:r>
              <w:rPr/>
              <w:t> </w:t>
            </w:r>
          </w:p>
        </w:tc>
        <w:tc>
          <w:tcPr>
            <w:tcW w:w="214" w:type="dxa"/>
            <w:tcBorders/>
            <w:shd w:fill="CCEEFF" w:val="clear"/>
            <w:vAlign w:val="center"/>
          </w:tcPr>
          <w:p>
            <w:pPr>
              <w:pStyle w:val="TableContents"/>
              <w:spacing w:before="0" w:after="0"/>
              <w:ind w:left="0" w:right="0" w:hanging="0"/>
              <w:rPr/>
            </w:pPr>
            <w:r>
              <w:rPr/>
              <w:t>​</w:t>
            </w:r>
          </w:p>
        </w:tc>
        <w:tc>
          <w:tcPr>
            <w:tcW w:w="6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52"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pPr>
            <w:r>
              <w:rPr/>
              <w:t>  </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Latitude Margaritaville Watersound JV</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37,179</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33,235</w:t>
            </w:r>
          </w:p>
        </w:tc>
      </w:tr>
      <w:tr>
        <w:trPr/>
        <w:tc>
          <w:tcPr>
            <w:tcW w:w="427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Sea Sound JV </w:t>
            </w:r>
            <w:r>
              <w:rPr>
                <w:rFonts w:ascii="Times New Roman;Times;serif" w:hAnsi="Times New Roman;Times;serif"/>
                <w:sz w:val="15"/>
              </w:rPr>
              <w:t>(a)</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Watersound Fountains Independent Living JV</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7,259</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7,258</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Pier Park TPS JV</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Pier Park RI JV</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6,156</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4,263</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Busy Bee JV</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Electric Cart Watersound JV</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Watersound Management JV</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investment in unconsolidated joint ventures</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55,457</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50,025</w:t>
            </w:r>
          </w:p>
        </w:tc>
      </w:tr>
      <w:tr>
        <w:trPr/>
        <w:tc>
          <w:tcPr>
            <w:tcW w:w="427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0"/>
              <w:ind w:left="0" w:right="0" w:hanging="0"/>
              <w:jc w:val="right"/>
              <w:rPr/>
            </w:pPr>
            <w:r>
              <w:rPr/>
              <w:t>  </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Outstanding debt of unconsolidated JVs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pPr>
            <w:r>
              <w:rPr/>
              <w:t>​</w:t>
            </w:r>
          </w:p>
        </w:tc>
      </w:tr>
      <w:tr>
        <w:trPr/>
        <w:tc>
          <w:tcPr>
            <w:tcW w:w="427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(b) (c)</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25,142</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30,001</w:t>
            </w:r>
          </w:p>
        </w:tc>
      </w:tr>
      <w:tr>
        <w:trPr/>
        <w:tc>
          <w:tcPr>
            <w:tcW w:w="427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Watersound Fountains Independent Living JV </w:t>
            </w:r>
            <w:r>
              <w:rPr>
                <w:rFonts w:ascii="Times New Roman;Times;serif" w:hAnsi="Times New Roman;Times;serif"/>
                <w:sz w:val="15"/>
              </w:rPr>
              <w:t>(c)</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28,057</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21,327</w:t>
            </w:r>
          </w:p>
        </w:tc>
      </w:tr>
      <w:tr>
        <w:trPr/>
        <w:tc>
          <w:tcPr>
            <w:tcW w:w="427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Pier Park TPS JV </w:t>
            </w:r>
            <w:r>
              <w:rPr>
                <w:rFonts w:ascii="Times New Roman;Times;serif" w:hAnsi="Times New Roman;Times;serif"/>
                <w:sz w:val="15"/>
              </w:rPr>
              <w:t>(c)</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13,743</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13,822</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Busy Bee JV</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5,931</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6,010</w:t>
            </w:r>
          </w:p>
        </w:tc>
      </w:tr>
      <w:tr>
        <w:trPr/>
        <w:tc>
          <w:tcPr>
            <w:tcW w:w="427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Electric Cart Watersound JV </w:t>
            </w:r>
            <w:r>
              <w:rPr>
                <w:rFonts w:ascii="Times New Roman;Times;serif" w:hAnsi="Times New Roman;Times;serif"/>
                <w:sz w:val="15"/>
              </w:rPr>
              <w:t>(c)</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2,252</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outstanding debt of unconsolidated JVs</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75,125</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72,083</w:t>
            </w:r>
          </w:p>
        </w:tc>
      </w:tr>
    </w:tbl>
    <w:tbl>
      <w:tblPr>
        <w:tblW w:w="9137" w:type="dxa"/>
        <w:jc w:val="left"/>
        <w:tblInd w:w="0" w:type="dxa"/>
        <w:tblCellMar>
          <w:top w:w="0" w:type="dxa"/>
          <w:left w:w="0" w:type="dxa"/>
          <w:bottom w:w="0" w:type="dxa"/>
          <w:right w:w="0" w:type="dxa"/>
        </w:tblCellMar>
      </w:tblPr>
      <w:tblGrid>
        <w:gridCol w:w="316"/>
        <w:gridCol w:w="882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88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an unrelated third party and no longer has activity from operations.</w:t>
            </w:r>
          </w:p>
        </w:tc>
      </w:tr>
    </w:tbl>
    <w:tbl>
      <w:tblPr>
        <w:tblW w:w="10205" w:type="dxa"/>
        <w:jc w:val="left"/>
        <w:tblInd w:w="0" w:type="dxa"/>
        <w:tblCellMar>
          <w:top w:w="0" w:type="dxa"/>
          <w:left w:w="0" w:type="dxa"/>
          <w:bottom w:w="0" w:type="dxa"/>
          <w:right w:w="0" w:type="dxa"/>
        </w:tblCellMar>
      </w:tblPr>
      <w:tblGrid>
        <w:gridCol w:w="310"/>
        <w:gridCol w:w="9895"/>
      </w:tblGrid>
      <w:tr>
        <w:trPr/>
        <w:tc>
          <w:tcPr>
            <w:tcW w:w="31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89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 xml:space="preserve">See Note 8. </w:t>
            </w:r>
            <w:r>
              <w:rPr>
                <w:rFonts w:ascii="Times New Roman;Times;serif" w:hAnsi="Times New Roman;Times;serif"/>
                <w:b w:val="false"/>
                <w:i/>
                <w:sz w:val="18"/>
              </w:rPr>
              <w:t>Other Assets</w:t>
            </w:r>
            <w:r>
              <w:rPr>
                <w:caps w:val="false"/>
                <w:smallCaps w:val="false"/>
              </w:rPr>
              <w:t xml:space="preserve"> </w:t>
            </w:r>
            <w:r>
              <w:rPr>
                <w:rFonts w:ascii="Times New Roman;Times;serif" w:hAnsi="Times New Roman;Times;serif"/>
                <w:b w:val="false"/>
                <w:i w:val="false"/>
                <w:caps w:val="false"/>
                <w:smallCaps w:val="false"/>
                <w:sz w:val="18"/>
              </w:rPr>
              <w:t>for additional information on the $10.0</w:t>
            </w:r>
            <w:r>
              <w:rPr>
                <w:caps w:val="false"/>
                <w:smallCaps w:val="false"/>
              </w:rPr>
              <w:t xml:space="preserve"> </w:t>
            </w:r>
            <w:r>
              <w:rPr>
                <w:rFonts w:ascii="Times New Roman;Times;serif" w:hAnsi="Times New Roman;Times;serif"/>
                <w:b w:val="false"/>
                <w:i w:val="false"/>
                <w:caps w:val="false"/>
                <w:smallCaps w:val="false"/>
                <w:sz w:val="18"/>
              </w:rPr>
              <w:t>million secured revolving promissory note the Company entered into with the unconsolidated Latitude Margaritaville Watersound JV.</w:t>
            </w:r>
          </w:p>
        </w:tc>
      </w:tr>
    </w:tbl>
    <w:tbl>
      <w:tblPr>
        <w:tblW w:w="5702" w:type="dxa"/>
        <w:jc w:val="left"/>
        <w:tblInd w:w="0" w:type="dxa"/>
        <w:tblCellMar>
          <w:top w:w="0" w:type="dxa"/>
          <w:left w:w="0" w:type="dxa"/>
          <w:bottom w:w="0" w:type="dxa"/>
          <w:right w:w="0" w:type="dxa"/>
        </w:tblCellMar>
      </w:tblPr>
      <w:tblGrid>
        <w:gridCol w:w="316"/>
        <w:gridCol w:w="5386"/>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538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 xml:space="preserve">See Note 18. </w:t>
            </w:r>
            <w:r>
              <w:rPr>
                <w:rFonts w:ascii="Times New Roman;Times;serif" w:hAnsi="Times New Roman;Times;serif"/>
                <w:b w:val="false"/>
                <w:i/>
                <w:sz w:val="18"/>
              </w:rPr>
              <w:t>Commitments and Contingencies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maximum exposure to loss due to involvement with the unconsolidated JVs as of March 31, 2023, was $99.1 million, which includes the carrying amounts of the investments, guarantees, promissory note receivable, other receivables, contribution requirements and derivative instruments.</w:t>
      </w:r>
    </w:p>
    <w:p>
      <w:pPr>
        <w:pStyle w:val="TextBody"/>
        <w:spacing w:before="0" w:after="240"/>
        <w:ind w:left="0" w:right="0" w:firstLine="360"/>
        <w:rPr>
          <w:rFonts w:ascii="TimesNewRomanPSMT" w:hAnsi="TimesNewRomanPSMT"/>
          <w:sz w:val="20"/>
        </w:rPr>
      </w:pPr>
      <w:r>
        <w:rPr>
          <w:rFonts w:ascii="TimesNewRomanPSMT" w:hAnsi="TimesNewRomanPSMT"/>
          <w:sz w:val="20"/>
        </w:rPr>
        <w:t>The following table presents detail of the Company’s equity in income (loss) from unconsolidated JVs:</w:t>
      </w:r>
    </w:p>
    <w:p>
      <w:pPr>
        <w:pStyle w:val="TextBody"/>
        <w:spacing w:before="0" w:after="0"/>
        <w:ind w:left="0" w:right="0" w:hanging="0"/>
        <w:rPr/>
      </w:pPr>
      <w:r>
        <w:rPr/>
        <w:t>​</w:t>
      </w:r>
    </w:p>
    <w:tbl>
      <w:tblPr>
        <w:tblW w:w="8197" w:type="dxa"/>
        <w:jc w:val="left"/>
        <w:tblInd w:w="0" w:type="dxa"/>
        <w:tblCellMar>
          <w:top w:w="0" w:type="dxa"/>
          <w:left w:w="0" w:type="dxa"/>
          <w:bottom w:w="0" w:type="dxa"/>
          <w:right w:w="0" w:type="dxa"/>
        </w:tblCellMar>
      </w:tblPr>
      <w:tblGrid>
        <w:gridCol w:w="5491"/>
        <w:gridCol w:w="109"/>
        <w:gridCol w:w="109"/>
        <w:gridCol w:w="311"/>
        <w:gridCol w:w="842"/>
        <w:gridCol w:w="160"/>
        <w:gridCol w:w="311"/>
        <w:gridCol w:w="864"/>
      </w:tblGrid>
      <w:tr>
        <w:trPr/>
        <w:tc>
          <w:tcPr>
            <w:tcW w:w="5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486785" cy="175260"/>
                      <wp:effectExtent l="0" t="0" r="0" b="0"/>
                      <wp:wrapNone/>
                      <wp:docPr id="84" name="Frame84"/>
                      <a:graphic xmlns:a="http://schemas.openxmlformats.org/drawingml/2006/main">
                        <a:graphicData uri="http://schemas.microsoft.com/office/word/2010/wordprocessingShape">
                          <wps:wsp>
                            <wps:cNvSpPr txBox="1"/>
                            <wps:spPr>
                              <a:xfrm>
                                <a:off x="0" y="0"/>
                                <a:ext cx="3486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97485" cy="175260"/>
                      <wp:effectExtent l="0" t="0" r="0" b="0"/>
                      <wp:wrapNone/>
                      <wp:docPr id="87" name="Frame87"/>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34670" cy="175260"/>
                      <wp:effectExtent l="0" t="0" r="0" b="0"/>
                      <wp:wrapNone/>
                      <wp:docPr id="88" name="Frame88"/>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01600" cy="175260"/>
                      <wp:effectExtent l="0" t="0" r="0" b="0"/>
                      <wp:wrapNone/>
                      <wp:docPr id="89" name="Frame89"/>
                      <a:graphic xmlns:a="http://schemas.openxmlformats.org/drawingml/2006/main">
                        <a:graphicData uri="http://schemas.microsoft.com/office/word/2010/wordprocessingShape">
                          <wps:wsp>
                            <wps:cNvSpPr txBox="1"/>
                            <wps:spPr>
                              <a:xfrm>
                                <a:off x="0" y="0"/>
                                <a:ext cx="101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97485" cy="175260"/>
                      <wp:effectExtent l="0" t="0" r="0" b="0"/>
                      <wp:wrapNone/>
                      <wp:docPr id="90" name="Frame90"/>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48640" cy="175260"/>
                      <wp:effectExtent l="0" t="0" r="0" b="0"/>
                      <wp:wrapNone/>
                      <wp:docPr id="91" name="Frame91"/>
                      <a:graphic xmlns:a="http://schemas.openxmlformats.org/drawingml/2006/main">
                        <a:graphicData uri="http://schemas.microsoft.com/office/word/2010/wordprocessingShape">
                          <wps:wsp>
                            <wps:cNvSpPr txBox="1"/>
                            <wps:spPr>
                              <a:xfrm>
                                <a:off x="0" y="0"/>
                                <a:ext cx="548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4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15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60" w:type="dxa"/>
            <w:tcBorders/>
            <w:shd w:fill="auto" w:val="clear"/>
            <w:vAlign w:val="center"/>
          </w:tcPr>
          <w:p>
            <w:pPr>
              <w:pStyle w:val="TableContents"/>
              <w:spacing w:before="0" w:after="0"/>
              <w:ind w:left="0" w:right="0" w:hanging="0"/>
              <w:rPr/>
            </w:pPr>
            <w:r>
              <w:rPr/>
              <w:t>​</w:t>
            </w:r>
          </w:p>
        </w:tc>
        <w:tc>
          <w:tcPr>
            <w:tcW w:w="11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Equity in income (loss) from unconsolidated joint ventures</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842" w:type="dxa"/>
            <w:tcBorders/>
            <w:shd w:fill="CCEEFF" w:val="clear"/>
            <w:vAlign w:val="center"/>
          </w:tcPr>
          <w:p>
            <w:pPr>
              <w:pStyle w:val="TableContents"/>
              <w:spacing w:before="0" w:after="0"/>
              <w:ind w:left="0" w:right="0" w:hanging="0"/>
              <w:rPr/>
            </w:pPr>
            <w:r>
              <w:rPr/>
              <w:t>​</w:t>
            </w:r>
          </w:p>
        </w:tc>
        <w:tc>
          <w:tcPr>
            <w:tcW w:w="160"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rPr/>
            </w:pPr>
            <w:r>
              <w:rPr/>
              <w:t>​</w:t>
            </w:r>
          </w:p>
        </w:tc>
      </w:tr>
      <w:tr>
        <w:trPr/>
        <w:tc>
          <w:tcPr>
            <w:tcW w:w="5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Latitude Margaritaville Watersound JV</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3,902</w:t>
            </w:r>
          </w:p>
        </w:tc>
        <w:tc>
          <w:tcPr>
            <w:tcW w:w="160"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r>
      <w:tr>
        <w:trPr/>
        <w:tc>
          <w:tcPr>
            <w:tcW w:w="549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Sea Sound JV </w:t>
            </w:r>
            <w:r>
              <w:rPr>
                <w:rFonts w:ascii="Times New Roman;Times;serif" w:hAnsi="Times New Roman;Times;serif"/>
                <w:sz w:val="15"/>
              </w:rPr>
              <w:t>(a)</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11" w:type="dxa"/>
            <w:tcBorders/>
            <w:shd w:fill="CCEEFF" w:val="clear"/>
            <w:vAlign w:val="center"/>
          </w:tcPr>
          <w:p>
            <w:pPr>
              <w:pStyle w:val="TableContents"/>
              <w:spacing w:before="0" w:after="0"/>
              <w:ind w:left="0" w:right="0" w:hanging="0"/>
              <w:rPr/>
            </w:pPr>
            <w:r>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60"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Pier Park TPS JV</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hanging="0"/>
              <w:rPr/>
            </w:pPr>
            <w:r>
              <w:rPr/>
              <w:t>​</w:t>
            </w:r>
          </w:p>
        </w:tc>
        <w:tc>
          <w:tcPr>
            <w:tcW w:w="8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60"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5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Busy Bee JV</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11" w:type="dxa"/>
            <w:tcBorders/>
            <w:shd w:fill="CCEEFF" w:val="clear"/>
            <w:vAlign w:val="center"/>
          </w:tcPr>
          <w:p>
            <w:pPr>
              <w:pStyle w:val="TableContents"/>
              <w:spacing w:before="0" w:after="0"/>
              <w:ind w:left="0" w:right="0" w:hanging="0"/>
              <w:rPr/>
            </w:pPr>
            <w:r>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60"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5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Electric Cart Watersound JV</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hanging="0"/>
              <w:rPr/>
            </w:pPr>
            <w:r>
              <w:rPr/>
              <w:t>​</w:t>
            </w:r>
          </w:p>
        </w:tc>
        <w:tc>
          <w:tcPr>
            <w:tcW w:w="8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60"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pPr>
            <w:r>
              <w:rPr/>
              <w:t>—</w:t>
            </w:r>
          </w:p>
        </w:tc>
      </w:tr>
      <w:tr>
        <w:trPr/>
        <w:tc>
          <w:tcPr>
            <w:tcW w:w="5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Watersound Management JV</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60" w:type="dxa"/>
            <w:tcBorders/>
            <w:shd w:fill="CCEEFF" w:val="clear"/>
            <w:vAlign w:val="center"/>
          </w:tcPr>
          <w:p>
            <w:pPr>
              <w:pStyle w:val="TableContents"/>
              <w:spacing w:before="0" w:after="0"/>
              <w:ind w:left="0" w:right="0" w:hanging="0"/>
              <w:rPr/>
            </w:pPr>
            <w:r>
              <w:rPr/>
              <w:t>​</w:t>
            </w:r>
          </w:p>
        </w:tc>
        <w:tc>
          <w:tcPr>
            <w:tcW w:w="3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54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equity in income (loss) from unconsolidated joint ventures</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3,663</w:t>
            </w:r>
          </w:p>
        </w:tc>
        <w:tc>
          <w:tcPr>
            <w:tcW w:w="160" w:type="dxa"/>
            <w:tcBorders/>
            <w:shd w:fill="auto" w:val="clear"/>
            <w:vAlign w:val="center"/>
          </w:tcPr>
          <w:p>
            <w:pPr>
              <w:pStyle w:val="TableContents"/>
              <w:spacing w:before="0" w:after="0"/>
              <w:ind w:left="0" w:right="0" w:hanging="0"/>
              <w:rPr/>
            </w:pPr>
            <w:r>
              <w:rPr/>
              <w:t>​</w:t>
            </w:r>
          </w:p>
        </w:tc>
        <w:tc>
          <w:tcPr>
            <w:tcW w:w="3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6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(495)</w:t>
            </w:r>
          </w:p>
        </w:tc>
      </w:tr>
    </w:tbl>
    <w:tbl>
      <w:tblPr>
        <w:tblW w:w="8357" w:type="dxa"/>
        <w:jc w:val="left"/>
        <w:tblInd w:w="0" w:type="dxa"/>
        <w:tblCellMar>
          <w:top w:w="0" w:type="dxa"/>
          <w:left w:w="0" w:type="dxa"/>
          <w:bottom w:w="0" w:type="dxa"/>
          <w:right w:w="0" w:type="dxa"/>
        </w:tblCellMar>
      </w:tblPr>
      <w:tblGrid>
        <w:gridCol w:w="316"/>
        <w:gridCol w:w="804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80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p>
      <w:pPr>
        <w:pStyle w:val="TextBody"/>
        <w:spacing w:before="0" w:after="24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865" w:name="Tc_bf8rAJPnIUK0L3nZpZh4uA_13_26"/>
      <w:bookmarkStart w:id="866" w:name="Tc_5J96pWT5jECtqp7Yx4w9pA_13_23"/>
      <w:bookmarkStart w:id="867" w:name="Tc_3Oc_urkuuEuQi-yQ3lQXHA_13_20"/>
      <w:bookmarkStart w:id="868" w:name="Tc_mCDyyLjxe0u3xkbPltni2A_13_17"/>
      <w:bookmarkStart w:id="869" w:name="Tc_SNb0rLl3ikKNcH5uUyzcOQ_13_14"/>
      <w:bookmarkStart w:id="870" w:name="Tc_mVZrg6Uz40m9_COkl9kO6g_13_11"/>
      <w:bookmarkStart w:id="871" w:name="Tc_j64PAqXLlkae-gzrGt_yKg_13_8"/>
      <w:bookmarkStart w:id="872" w:name="Tc_ZEaDfOnzw0a9WTpCyrmPWA_13_5"/>
      <w:bookmarkStart w:id="873" w:name="Tc_9OxH-EI230aYA2c6QpCs5Q_13_2"/>
      <w:bookmarkStart w:id="874" w:name="Tc_V5TOk-YFqkKxBdxLLyxyMg_13_0"/>
      <w:bookmarkStart w:id="875" w:name="Tc_jAKY880pHkCVoFLYA8Bk5g_12_0"/>
      <w:bookmarkStart w:id="876" w:name="Tc_L0zz9EwNGkqWYiO-k5PqUw_11_24"/>
      <w:bookmarkStart w:id="877" w:name="Tc_G0kXJ1ZvSUuBHb2VrRR4Nw_11_0"/>
      <w:bookmarkStart w:id="878" w:name="Tc_o7WihwQtVEmjj7skYM2VxQ_10_26"/>
      <w:bookmarkStart w:id="879" w:name="Tc_1qHe2ecUbEiaYAqOLSFv-Q_10_24"/>
      <w:bookmarkStart w:id="880" w:name="Tc_e5gYI9r31USFfzkcnQnldA_10_23"/>
      <w:bookmarkStart w:id="881" w:name="Tc_Pp3_HFfatECzaKBKgi2wDw_10_20"/>
      <w:bookmarkStart w:id="882" w:name="Tc_6rAdTzH3gUGg1rM2jWGZnA_10_17"/>
      <w:bookmarkStart w:id="883" w:name="Tc_uZ5r1VjZ60eO-eKAKBNiMQ_10_15"/>
      <w:bookmarkStart w:id="884" w:name="Tc_8HDIPlLs0Eio_cCBZmrnxA_10_14"/>
      <w:bookmarkStart w:id="885" w:name="Tc_MmLlsq73rUCtQAYs_WyFgg_10_11"/>
      <w:bookmarkStart w:id="886" w:name="Tc_XfiOiEvO3E-81h-lDsy8Ww_10_8"/>
      <w:bookmarkStart w:id="887" w:name="Tc_GuER6-sKv0CXGy-LQBFXMA_10_6"/>
      <w:bookmarkStart w:id="888" w:name="Tc_9YGXX2ZJNE2Ckk_Zgoj42A_10_5"/>
      <w:bookmarkStart w:id="889" w:name="Tc_WGAeweKGa0GMSk_9JjbrOQ_10_2"/>
      <w:bookmarkStart w:id="890" w:name="Tc_k4Wn5qmfPkudc_OilXcinQ_10_0"/>
      <w:bookmarkStart w:id="891" w:name="Tc_CQWv2w0Fp0OMsG3oHnJc_g_9_0"/>
      <w:bookmarkStart w:id="892" w:name="Tc_rFraAhYUaE2dgIAVT0O3Gg_7_26"/>
      <w:bookmarkStart w:id="893" w:name="Tc_7hz_H4JdQU2CAS_sGilUSQ_7_23"/>
      <w:bookmarkStart w:id="894" w:name="Tc_wrvOhs9lgkODyVbQsyNhMg_7_20"/>
      <w:bookmarkStart w:id="895" w:name="Tc_I-ntAz1CWkqnm9shxgHrXw_7_17"/>
      <w:bookmarkStart w:id="896" w:name="Tc_FIf4PyVTsUGKB3zzaLecMg_7_14"/>
      <w:bookmarkStart w:id="897" w:name="Tc_MIknTaTDtEmsgaEkrCKBAw_7_11"/>
      <w:bookmarkStart w:id="898" w:name="Tc_K2a53gpgu0SPPYQ2o6lvIw_7_8"/>
      <w:bookmarkStart w:id="899" w:name="Tc_bSDOPA_8j02Yck5KRUdrZw_7_5"/>
      <w:bookmarkStart w:id="900" w:name="Tc_-xqXS5w4_k-ROu1h7mqZ2A_7_2"/>
      <w:bookmarkStart w:id="901" w:name="Tc_t1Q66pOMS0eaqNZuWlWXuQ_7_0"/>
      <w:bookmarkStart w:id="902" w:name="Tc_mTe3W2JZUUqIPwBHTVzFpw_6_24"/>
      <w:bookmarkStart w:id="903" w:name="Tc_GPmKmXvwZkKP_VVAp2RzPg_6_0"/>
      <w:bookmarkStart w:id="904" w:name="Tc_QOH1UsduRkiuK2vFUgq49g_5_0"/>
      <w:bookmarkStart w:id="905" w:name="Tc_Y2P2XzBM7UaIKGpGst5rXA_4_26"/>
      <w:bookmarkStart w:id="906" w:name="Tc_3L8D4u4bu0-ZtsGQkirB6w_4_24"/>
      <w:bookmarkStart w:id="907" w:name="Tc_5ttlbREUmEO0zhioaPZlCg_4_23"/>
      <w:bookmarkStart w:id="908" w:name="Tc_G1ZOJHYD2kOiSlAIqv4DvA_4_20"/>
      <w:bookmarkStart w:id="909" w:name="Tc_1x7lrM3KskiEWpvfg8sSAA_4_17"/>
      <w:bookmarkStart w:id="910" w:name="Tc_70eC6fmlSUy4WlYXyE2UoA_4_14"/>
      <w:bookmarkStart w:id="911" w:name="Tc_yKe01QIl-0-K2gUpUK-HWQ_4_11"/>
      <w:bookmarkStart w:id="912" w:name="Tc_wBoTRbFcbEKxSTNrdgJI-A_4_8"/>
      <w:bookmarkStart w:id="913" w:name="Tc_s98HQFPZLUKBf0NUavvshA_4_6"/>
      <w:bookmarkStart w:id="914" w:name="Tc_w8LkdULpk0-Unrrs2drcJQ_4_5"/>
      <w:bookmarkStart w:id="915" w:name="Tc_8StoBsfDr0i-B-07ZQguoA_4_4"/>
      <w:bookmarkStart w:id="916" w:name="Tc_0y_B4ho0UEO5_YlrGvyQSg_4_2"/>
      <w:bookmarkStart w:id="917" w:name="Tc_7IcapJtzD0GrBLIZzZ01ig_4_0"/>
      <w:bookmarkStart w:id="918" w:name="Tc_CGvq0cot8UOXi11cHcCbnA_3_0"/>
      <w:bookmarkStart w:id="919" w:name="Tc_Ncgp1_3U5kCCHhbnAAYZEw_2_26"/>
      <w:bookmarkStart w:id="920" w:name="Tc_OgpLmLnNr0eCng3h2fIPyw_2_23"/>
      <w:bookmarkStart w:id="921" w:name="Tc_K1hbwj-ENUWA_FiNpU1TRw_2_20"/>
      <w:bookmarkStart w:id="922" w:name="Tc_ZzG84_wtQ0-2jgqBDywDyw_2_17"/>
      <w:bookmarkStart w:id="923" w:name="Tc_sHd3XNxMUECLhTEVwknATA_2_14"/>
      <w:bookmarkStart w:id="924" w:name="Tc_BDdv9r5csUmpC8JMPc7frw_2_11"/>
      <w:bookmarkStart w:id="925" w:name="Tc_Q0lx5ZZvxkSt2B65iIZuzw_2_8"/>
      <w:bookmarkStart w:id="926" w:name="Tc_TAe0UX5P_k2jEu7ayLBsJA_2_5"/>
      <w:bookmarkStart w:id="927" w:name="Tc_0JmJ24X3GkqezGJFe2Tuzg_2_2"/>
      <w:bookmarkStart w:id="928" w:name="Tc_eDt4WBuMRUmmEideCUAFNQ_1_2"/>
      <w:bookmarkStart w:id="929" w:name="_8ed9ef7a_8a5f_455f_8222_c6b68ec29d2f"/>
      <w:bookmarkStart w:id="930" w:name="Tc_ar93RGBccUi1LuL4qrKcXg_13_26"/>
      <w:bookmarkStart w:id="931" w:name="Tc_C8CB_Yvq5EKOu22Sk1MyAw_13_23"/>
      <w:bookmarkStart w:id="932" w:name="Tc_Ud7znAWJIUOS7cJa3igsbg_13_20"/>
      <w:bookmarkStart w:id="933" w:name="Tc_M5tLL8To30-V-QLPI9JRtQ_13_17"/>
      <w:bookmarkStart w:id="934" w:name="Tc_okMSUm5fCE2RsRuvX9aOVQ_13_14"/>
      <w:bookmarkStart w:id="935" w:name="Tc_6tPgYEZWXES_tuMOYp4nTw_13_11"/>
      <w:bookmarkStart w:id="936" w:name="Tc_T0jE4RNGH02uNR8zCb9R9g_13_8"/>
      <w:bookmarkStart w:id="937" w:name="Tc_UNNchvV7vESMk9pbvFfvJA_13_5"/>
      <w:bookmarkStart w:id="938" w:name="Tc_vCSnFwFt_EeAx2kustHpFA_13_2"/>
      <w:bookmarkStart w:id="939" w:name="Tc_tE_sG861rUOBR9T7E8ORkw_13_0"/>
      <w:bookmarkStart w:id="940" w:name="Tc_jRDvk3_Kbke8YPguJyROMA_12_0"/>
      <w:bookmarkStart w:id="941" w:name="Tc_IxvOwz2nZkGVgk-iZeGnKQ_11_24"/>
      <w:bookmarkStart w:id="942" w:name="Tc_6v68d3dHWUuSz4YKiM47Cg_11_0"/>
      <w:bookmarkStart w:id="943" w:name="Tc_624G59f8kUCbZY6x-5QhmQ_10_26"/>
      <w:bookmarkStart w:id="944" w:name="Tc_i4QdS-qPGUapSL9PGTsFdg_10_24"/>
      <w:bookmarkStart w:id="945" w:name="Tc_4Q0i68LXc0mzVRFnoBjeAQ_10_23"/>
      <w:bookmarkStart w:id="946" w:name="Tc_02xYv4RmTk2AmNG8rT4uDA_10_20"/>
      <w:bookmarkStart w:id="947" w:name="Tc_beAVXzOaDUGuwvQ9T1OBVw_10_17"/>
      <w:bookmarkStart w:id="948" w:name="Tc_sq0jbJr0SUGEBGBMJJgVRQ_10_15"/>
      <w:bookmarkStart w:id="949" w:name="Tc_LvDwA-61GUmkRwojDbIqpQ_10_14"/>
      <w:bookmarkStart w:id="950" w:name="Tc_H7LpjiJ5uEaZI3NKUFhJZQ_10_11"/>
      <w:bookmarkStart w:id="951" w:name="Tc_z8D1RZY5G0ileyC6DmOfTw_10_8"/>
      <w:bookmarkStart w:id="952" w:name="Tc_4aGjd5S350qrb_8aANDwUg_10_6"/>
      <w:bookmarkStart w:id="953" w:name="Tc_W2llsRJUuUmEEgUAbvW7dw_10_5"/>
      <w:bookmarkStart w:id="954" w:name="Tc_lu2dLwOvRUiARRUZzmFSFw_10_2"/>
      <w:bookmarkStart w:id="955" w:name="Tc_noXCXokVhUy52Xctled78w_10_0"/>
      <w:bookmarkStart w:id="956" w:name="Tc_0uOPYAPeEESw14GWiJ6rKg_9_0"/>
      <w:bookmarkStart w:id="957" w:name="Tc_-pyBqIU6gk69PMNAevH-5w_7_26"/>
      <w:bookmarkStart w:id="958" w:name="Tc_O5VFA9_9VUqUZA7QkqZYBQ_7_23"/>
      <w:bookmarkStart w:id="959" w:name="Tc_tVjsU9ieC0amrhlLDR2gHA_7_20"/>
      <w:bookmarkStart w:id="960" w:name="Tc_oZo5h04o-UKdI0EpXKoiag_7_17"/>
      <w:bookmarkStart w:id="961" w:name="Tc_qcj1ODOlXEqF_TrRrH4a2w_7_14"/>
      <w:bookmarkStart w:id="962" w:name="Tc_jjdom3NbuEuvuBXjDBC8aw_7_11"/>
      <w:bookmarkStart w:id="963" w:name="Tc_gs92GgyXnkSc37R7XFJNfQ_7_8"/>
      <w:bookmarkStart w:id="964" w:name="Tc_wRRO22pUuku_GRMkeLqXqw_7_5"/>
      <w:bookmarkStart w:id="965" w:name="Tc_n48MSR23mkejbYSEd4bpYQ_7_2"/>
      <w:bookmarkStart w:id="966" w:name="Tc_EOe4V6h2GkiUh2PmFPuysg_7_0"/>
      <w:bookmarkStart w:id="967" w:name="Tc_GNEfqKvNK0eUHTcgH9zSdw_6_24"/>
      <w:bookmarkStart w:id="968" w:name="Tc_Lc7wVpWCB02LaPwGowt3gA_6_0"/>
      <w:bookmarkStart w:id="969" w:name="Tc_SquIIpY4VUeDStW2XCgaFA_5_0"/>
      <w:bookmarkStart w:id="970" w:name="Tc_LnkMkG-nYUqudxNjPlApbw_4_26"/>
      <w:bookmarkStart w:id="971" w:name="Tc_gtwJc9olp0OoplEh9tNCrQ_4_24"/>
      <w:bookmarkStart w:id="972" w:name="Tc_eAimvPlnd02NfMm0O8Mkhw_4_23"/>
      <w:bookmarkStart w:id="973" w:name="Tc_zHJrH9TQp0uhLMg3QZuXmg_4_20"/>
      <w:bookmarkStart w:id="974" w:name="Tc_KaJHqPXVIESUhkHRtYqkGg_4_17"/>
      <w:bookmarkStart w:id="975" w:name="Tc_HxIo1VISOUmFLaG_iS4dTQ_4_14"/>
      <w:bookmarkStart w:id="976" w:name="Tc_Q68yRdqRl0qTu3fhlV3Jyg_4_11"/>
      <w:bookmarkStart w:id="977" w:name="Tc_DmW4ZJhLTE2f3SvXxU0-Iw_4_8"/>
      <w:bookmarkStart w:id="978" w:name="Tc_8Ai0yy1Ae0yTANXsndRl6g_4_6"/>
      <w:bookmarkStart w:id="979" w:name="Tc_78KFGaHcaEWhZkQ08pCusw_4_5"/>
      <w:bookmarkStart w:id="980" w:name="Tc_pXkYykFqQkCmRwkxLLa78g_4_4"/>
      <w:bookmarkStart w:id="981" w:name="Tc_lzNkN7D8q06Rdsj5bJZv6g_4_2"/>
      <w:bookmarkStart w:id="982" w:name="Tc_Np5TThg_-kGDv8TgHR1IGA_4_0"/>
      <w:bookmarkStart w:id="983" w:name="Tc_LDfCruC2306p_HFxgzRSPA_3_0"/>
      <w:bookmarkStart w:id="984" w:name="Tc_bOi1aV-4gkW8-U9klbTTXA_2_26"/>
      <w:bookmarkStart w:id="985" w:name="Tc_uHmMFdZSVUatd_ks96M60g_2_23"/>
      <w:bookmarkStart w:id="986" w:name="Tc_BsoJIpbxfU-l0jaPd5uByQ_2_20"/>
      <w:bookmarkStart w:id="987" w:name="Tc_mUSbg5BJIk-Vm5TmvF42yQ_2_17"/>
      <w:bookmarkStart w:id="988" w:name="Tc_AfmiDUxBRkm2Tc-JvNk1eg_2_14"/>
      <w:bookmarkStart w:id="989" w:name="Tc__MPJo8LFo0mE_8sdm4-Qig_2_11"/>
      <w:bookmarkStart w:id="990" w:name="Tc_Hl-SGwuLaUibUw6JIfL7fw_2_8"/>
      <w:bookmarkStart w:id="991" w:name="Tc_i8uVdRB8P0KmUiXat-g2XA_2_5"/>
      <w:bookmarkStart w:id="992" w:name="Tc_rKLjIiNMxkeGRi4j-15Bjg_2_2"/>
      <w:bookmarkStart w:id="993" w:name="Tc_gB4yRVJdxke9kGRpsRobTg_1_2"/>
      <w:bookmarkStart w:id="994" w:name="_64f67a8e_56c7_453b_9c74_37a3ffce9cc6"/>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r>
        <w:rPr>
          <w:rFonts w:ascii="Times New Roman;Times;serif" w:hAnsi="Times New Roman;Times;serif"/>
          <w:sz w:val="20"/>
        </w:rPr>
        <w:t>Summarized balance sheets for the Company’s unconsolidated JVs are as follows:</w:t>
      </w:r>
    </w:p>
    <w:tbl>
      <w:tblPr>
        <w:tblW w:w="10205" w:type="dxa"/>
        <w:jc w:val="left"/>
        <w:tblInd w:w="0" w:type="dxa"/>
        <w:tblCellMar>
          <w:top w:w="0" w:type="dxa"/>
          <w:left w:w="0" w:type="dxa"/>
          <w:bottom w:w="0" w:type="dxa"/>
          <w:right w:w="0" w:type="dxa"/>
        </w:tblCellMar>
      </w:tblPr>
      <w:tblGrid>
        <w:gridCol w:w="1277"/>
        <w:gridCol w:w="109"/>
        <w:gridCol w:w="230"/>
        <w:gridCol w:w="813"/>
        <w:gridCol w:w="211"/>
        <w:gridCol w:w="198"/>
        <w:gridCol w:w="381"/>
        <w:gridCol w:w="109"/>
        <w:gridCol w:w="235"/>
        <w:gridCol w:w="726"/>
        <w:gridCol w:w="109"/>
        <w:gridCol w:w="197"/>
        <w:gridCol w:w="605"/>
        <w:gridCol w:w="109"/>
        <w:gridCol w:w="197"/>
        <w:gridCol w:w="604"/>
        <w:gridCol w:w="109"/>
        <w:gridCol w:w="196"/>
        <w:gridCol w:w="602"/>
        <w:gridCol w:w="109"/>
        <w:gridCol w:w="253"/>
        <w:gridCol w:w="662"/>
        <w:gridCol w:w="109"/>
        <w:gridCol w:w="323"/>
        <w:gridCol w:w="621"/>
        <w:gridCol w:w="109"/>
        <w:gridCol w:w="196"/>
        <w:gridCol w:w="806"/>
      </w:tblGrid>
      <w:tr>
        <w:trPr/>
        <w:tc>
          <w:tcPr>
            <w:tcW w:w="1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810895" cy="175260"/>
                      <wp:effectExtent l="0" t="0" r="0" b="0"/>
                      <wp:wrapNone/>
                      <wp:docPr id="92" name="Frame92"/>
                      <a:graphic xmlns:a="http://schemas.openxmlformats.org/drawingml/2006/main">
                        <a:graphicData uri="http://schemas.microsoft.com/office/word/2010/wordprocessingShape">
                          <wps:wsp>
                            <wps:cNvSpPr txBox="1"/>
                            <wps:spPr>
                              <a:xfrm>
                                <a:off x="0" y="0"/>
                                <a:ext cx="810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6050" cy="175260"/>
                      <wp:effectExtent l="0" t="0" r="0" b="0"/>
                      <wp:wrapNone/>
                      <wp:docPr id="94" name="Frame94"/>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16255" cy="175260"/>
                      <wp:effectExtent l="0" t="0" r="0" b="0"/>
                      <wp:wrapNone/>
                      <wp:docPr id="95" name="Frame95"/>
                      <a:graphic xmlns:a="http://schemas.openxmlformats.org/drawingml/2006/main">
                        <a:graphicData uri="http://schemas.microsoft.com/office/word/2010/wordprocessingShape">
                          <wps:wsp>
                            <wps:cNvSpPr txBox="1"/>
                            <wps:spPr>
                              <a:xfrm>
                                <a:off x="0" y="0"/>
                                <a:ext cx="516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5730" cy="175260"/>
                      <wp:effectExtent l="0" t="0" r="0" b="0"/>
                      <wp:wrapNone/>
                      <wp:docPr id="97" name="Frame97"/>
                      <a:graphic xmlns:a="http://schemas.openxmlformats.org/drawingml/2006/main">
                        <a:graphicData uri="http://schemas.microsoft.com/office/word/2010/wordprocessingShape">
                          <wps:wsp>
                            <wps:cNvSpPr txBox="1"/>
                            <wps:spPr>
                              <a:xfrm>
                                <a:off x="0" y="0"/>
                                <a:ext cx="1257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41935" cy="175260"/>
                      <wp:effectExtent l="0" t="0" r="0" b="0"/>
                      <wp:wrapNone/>
                      <wp:docPr id="98" name="Frame98"/>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9225" cy="175260"/>
                      <wp:effectExtent l="0" t="0" r="0" b="0"/>
                      <wp:wrapNone/>
                      <wp:docPr id="100" name="Frame100"/>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61010" cy="175260"/>
                      <wp:effectExtent l="0" t="0" r="0" b="0"/>
                      <wp:wrapNone/>
                      <wp:docPr id="101" name="Frame101"/>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5095" cy="175260"/>
                      <wp:effectExtent l="0" t="0" r="0" b="0"/>
                      <wp:wrapNone/>
                      <wp:docPr id="103" name="Frame103"/>
                      <a:graphic xmlns:a="http://schemas.openxmlformats.org/drawingml/2006/main">
                        <a:graphicData uri="http://schemas.microsoft.com/office/word/2010/wordprocessingShape">
                          <wps:wsp>
                            <wps:cNvSpPr txBox="1"/>
                            <wps:spPr>
                              <a:xfrm>
                                <a:off x="0" y="0"/>
                                <a:ext cx="125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84175" cy="175260"/>
                      <wp:effectExtent l="0" t="0" r="0" b="0"/>
                      <wp:wrapNone/>
                      <wp:docPr id="104" name="Frame104"/>
                      <a:graphic xmlns:a="http://schemas.openxmlformats.org/drawingml/2006/main">
                        <a:graphicData uri="http://schemas.microsoft.com/office/word/2010/wordprocessingShape">
                          <wps:wsp>
                            <wps:cNvSpPr txBox="1"/>
                            <wps:spPr>
                              <a:xfrm>
                                <a:off x="0" y="0"/>
                                <a:ext cx="384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5095" cy="175260"/>
                      <wp:effectExtent l="0" t="0" r="0" b="0"/>
                      <wp:wrapNone/>
                      <wp:docPr id="106" name="Frame106"/>
                      <a:graphic xmlns:a="http://schemas.openxmlformats.org/drawingml/2006/main">
                        <a:graphicData uri="http://schemas.microsoft.com/office/word/2010/wordprocessingShape">
                          <wps:wsp>
                            <wps:cNvSpPr txBox="1"/>
                            <wps:spPr>
                              <a:xfrm>
                                <a:off x="0" y="0"/>
                                <a:ext cx="125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83540" cy="175260"/>
                      <wp:effectExtent l="0" t="0" r="0" b="0"/>
                      <wp:wrapNone/>
                      <wp:docPr id="107" name="Frame107"/>
                      <a:graphic xmlns:a="http://schemas.openxmlformats.org/drawingml/2006/main">
                        <a:graphicData uri="http://schemas.microsoft.com/office/word/2010/wordprocessingShape">
                          <wps:wsp>
                            <wps:cNvSpPr txBox="1"/>
                            <wps:spPr>
                              <a:xfrm>
                                <a:off x="0" y="0"/>
                                <a:ext cx="383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109" name="Frame10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82270" cy="175260"/>
                      <wp:effectExtent l="0" t="0" r="0" b="0"/>
                      <wp:wrapNone/>
                      <wp:docPr id="110" name="Frame110"/>
                      <a:graphic xmlns:a="http://schemas.openxmlformats.org/drawingml/2006/main">
                        <a:graphicData uri="http://schemas.microsoft.com/office/word/2010/wordprocessingShape">
                          <wps:wsp>
                            <wps:cNvSpPr txBox="1"/>
                            <wps:spPr>
                              <a:xfrm>
                                <a:off x="0" y="0"/>
                                <a:ext cx="382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0655" cy="175260"/>
                      <wp:effectExtent l="0" t="0" r="0" b="0"/>
                      <wp:wrapNone/>
                      <wp:docPr id="112" name="Frame112"/>
                      <a:graphic xmlns:a="http://schemas.openxmlformats.org/drawingml/2006/main">
                        <a:graphicData uri="http://schemas.microsoft.com/office/word/2010/wordprocessingShape">
                          <wps:wsp>
                            <wps:cNvSpPr txBox="1"/>
                            <wps:spPr>
                              <a:xfrm>
                                <a:off x="0" y="0"/>
                                <a:ext cx="160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0370" cy="175260"/>
                      <wp:effectExtent l="0" t="0" r="0" b="0"/>
                      <wp:wrapNone/>
                      <wp:docPr id="113" name="Frame113"/>
                      <a:graphic xmlns:a="http://schemas.openxmlformats.org/drawingml/2006/main">
                        <a:graphicData uri="http://schemas.microsoft.com/office/word/2010/wordprocessingShape">
                          <wps:wsp>
                            <wps:cNvSpPr txBox="1"/>
                            <wps:spPr>
                              <a:xfrm>
                                <a:off x="0" y="0"/>
                                <a:ext cx="420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5105" cy="175260"/>
                      <wp:effectExtent l="0" t="0" r="0" b="0"/>
                      <wp:wrapNone/>
                      <wp:docPr id="115" name="Frame115"/>
                      <a:graphic xmlns:a="http://schemas.openxmlformats.org/drawingml/2006/main">
                        <a:graphicData uri="http://schemas.microsoft.com/office/word/2010/wordprocessingShape">
                          <wps:wsp>
                            <wps:cNvSpPr txBox="1"/>
                            <wps:spPr>
                              <a:xfrm>
                                <a:off x="0" y="0"/>
                                <a:ext cx="205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94335" cy="175260"/>
                      <wp:effectExtent l="0" t="0" r="0" b="0"/>
                      <wp:wrapNone/>
                      <wp:docPr id="116" name="Frame116"/>
                      <a:graphic xmlns:a="http://schemas.openxmlformats.org/drawingml/2006/main">
                        <a:graphicData uri="http://schemas.microsoft.com/office/word/2010/wordprocessingShape">
                          <wps:wsp>
                            <wps:cNvSpPr txBox="1"/>
                            <wps:spPr>
                              <a:xfrm>
                                <a:off x="0" y="0"/>
                                <a:ext cx="394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24460" cy="175260"/>
                      <wp:effectExtent l="0" t="0" r="0" b="0"/>
                      <wp:wrapNone/>
                      <wp:docPr id="118" name="Frame11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11810" cy="175260"/>
                      <wp:effectExtent l="0" t="0" r="0" b="0"/>
                      <wp:wrapNone/>
                      <wp:docPr id="119" name="Frame119"/>
                      <a:graphic xmlns:a="http://schemas.openxmlformats.org/drawingml/2006/main">
                        <a:graphicData uri="http://schemas.microsoft.com/office/word/2010/wordprocessingShape">
                          <wps:wsp>
                            <wps:cNvSpPr txBox="1"/>
                            <wps:spPr>
                              <a:xfrm>
                                <a:off x="0" y="0"/>
                                <a:ext cx="511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819"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March 31, 2023</w:t>
            </w:r>
          </w:p>
        </w:tc>
      </w:tr>
      <w:tr>
        <w:trPr/>
        <w:tc>
          <w:tcPr>
            <w:tcW w:w="1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4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Latitude Margaritaville Watersound JV</w:t>
            </w:r>
          </w:p>
        </w:tc>
        <w:tc>
          <w:tcPr>
            <w:tcW w:w="211" w:type="dxa"/>
            <w:tcBorders/>
            <w:shd w:fill="auto" w:val="clear"/>
            <w:vAlign w:val="center"/>
          </w:tcPr>
          <w:p>
            <w:pPr>
              <w:pStyle w:val="TableContents"/>
              <w:spacing w:before="0" w:after="0"/>
              <w:ind w:left="0" w:right="0" w:hanging="0"/>
              <w:jc w:val="center"/>
              <w:rPr/>
            </w:pPr>
            <w:r>
              <w:rPr/>
              <w:t>​</w:t>
            </w:r>
          </w:p>
        </w:tc>
        <w:tc>
          <w:tcPr>
            <w:tcW w:w="579"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Sea Sound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shd w:fill="auto" w:val="clear"/>
            <w:vAlign w:val="center"/>
          </w:tcPr>
          <w:p>
            <w:pPr>
              <w:pStyle w:val="TableContents"/>
              <w:spacing w:before="0" w:after="0"/>
              <w:ind w:left="0" w:right="0" w:hanging="0"/>
              <w:jc w:val="center"/>
              <w:rPr/>
            </w:pPr>
            <w:r>
              <w:rPr/>
              <w:t>​</w:t>
            </w:r>
          </w:p>
        </w:tc>
        <w:tc>
          <w:tcPr>
            <w:tcW w:w="9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Fountains Independent Living JV</w:t>
            </w:r>
          </w:p>
        </w:tc>
        <w:tc>
          <w:tcPr>
            <w:tcW w:w="109" w:type="dxa"/>
            <w:tcBorders/>
            <w:shd w:fill="auto" w:val="clear"/>
            <w:vAlign w:val="center"/>
          </w:tcPr>
          <w:p>
            <w:pPr>
              <w:pStyle w:val="TableContents"/>
              <w:spacing w:before="0" w:after="0"/>
              <w:ind w:left="0" w:right="0" w:hanging="0"/>
              <w:jc w:val="center"/>
              <w:rPr/>
            </w:pPr>
            <w:r>
              <w:rPr/>
              <w:t>​</w:t>
            </w:r>
          </w:p>
        </w:tc>
        <w:tc>
          <w:tcPr>
            <w:tcW w:w="8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shd w:fill="auto" w:val="clear"/>
            <w:vAlign w:val="center"/>
          </w:tcPr>
          <w:p>
            <w:pPr>
              <w:pStyle w:val="TableContents"/>
              <w:spacing w:before="0" w:after="0"/>
              <w:ind w:left="0" w:right="0" w:hanging="0"/>
              <w:jc w:val="center"/>
              <w:rPr/>
            </w:pPr>
            <w:r>
              <w:rPr/>
              <w:t>​</w:t>
            </w:r>
          </w:p>
        </w:tc>
        <w:tc>
          <w:tcPr>
            <w:tcW w:w="8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shd w:fill="auto" w:val="clear"/>
            <w:vAlign w:val="center"/>
          </w:tcPr>
          <w:p>
            <w:pPr>
              <w:pStyle w:val="TableContents"/>
              <w:spacing w:before="0" w:after="0"/>
              <w:ind w:left="0" w:right="0" w:hanging="0"/>
              <w:jc w:val="center"/>
              <w:rPr/>
            </w:pPr>
            <w:r>
              <w:rPr/>
              <w:t>​</w:t>
            </w:r>
          </w:p>
        </w:tc>
        <w:tc>
          <w:tcPr>
            <w:tcW w:w="7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109" w:type="dxa"/>
            <w:tcBorders/>
            <w:shd w:fill="auto" w:val="clear"/>
            <w:vAlign w:val="center"/>
          </w:tcPr>
          <w:p>
            <w:pPr>
              <w:pStyle w:val="TableContents"/>
              <w:spacing w:before="0" w:after="0"/>
              <w:ind w:left="0" w:right="0" w:hanging="0"/>
              <w:jc w:val="center"/>
              <w:rPr/>
            </w:pPr>
            <w:r>
              <w:rPr/>
              <w:t>​</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shd w:fill="auto" w:val="clear"/>
            <w:vAlign w:val="center"/>
          </w:tcPr>
          <w:p>
            <w:pPr>
              <w:pStyle w:val="TableContents"/>
              <w:spacing w:before="0" w:after="0"/>
              <w:ind w:left="0" w:right="0" w:hanging="0"/>
              <w:jc w:val="center"/>
              <w:rPr/>
            </w:pPr>
            <w:r>
              <w:rPr/>
              <w:t>​</w:t>
            </w:r>
          </w:p>
        </w:tc>
        <w:tc>
          <w:tcPr>
            <w:tcW w:w="9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shd w:fill="auto" w:val="clear"/>
            <w:vAlign w:val="center"/>
          </w:tcPr>
          <w:p>
            <w:pPr>
              <w:pStyle w:val="TableContents"/>
              <w:spacing w:before="0" w:after="0"/>
              <w:ind w:left="0" w:right="0" w:hanging="0"/>
              <w:rPr/>
            </w:pPr>
            <w:r>
              <w:rPr/>
              <w:t>​</w:t>
            </w:r>
          </w:p>
        </w:tc>
        <w:tc>
          <w:tcPr>
            <w:tcW w:w="10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813"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98"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jc w:val="right"/>
              <w:rPr/>
            </w:pPr>
            <w:r>
              <w:rPr/>
              <w:t>​</w:t>
            </w:r>
          </w:p>
        </w:tc>
        <w:tc>
          <w:tcPr>
            <w:tcW w:w="604"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62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06" w:type="dxa"/>
            <w:tcBorders/>
            <w:shd w:fill="CCEEFF" w:val="clear"/>
            <w:vAlign w:val="center"/>
          </w:tcPr>
          <w:p>
            <w:pPr>
              <w:pStyle w:val="TableContents"/>
              <w:spacing w:before="0" w:after="0"/>
              <w:ind w:left="0" w:right="0" w:hanging="0"/>
              <w:rPr/>
            </w:pPr>
            <w:r>
              <w:rPr/>
              <w:t>​</w:t>
            </w:r>
          </w:p>
        </w:tc>
      </w:tr>
      <w:tr>
        <w:trPr/>
        <w:tc>
          <w:tcPr>
            <w:tcW w:w="127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Investment in real estate, net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1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123,640</w:t>
            </w:r>
          </w:p>
        </w:tc>
        <w:tc>
          <w:tcPr>
            <w:tcW w:w="211" w:type="dxa"/>
            <w:tcBorders/>
            <w:shd w:fill="auto" w:val="cle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(a)</w:t>
            </w:r>
          </w:p>
        </w:tc>
        <w:tc>
          <w:tcPr>
            <w:tcW w:w="19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43,871</w:t>
            </w:r>
          </w:p>
        </w:tc>
        <w:tc>
          <w:tcPr>
            <w:tcW w:w="109" w:type="dxa"/>
            <w:tcBorders/>
            <w:shd w:fill="auto" w:val="clear"/>
            <w:vAlign w:val="center"/>
          </w:tcPr>
          <w:p>
            <w:pPr>
              <w:pStyle w:val="TableContents"/>
              <w:spacing w:before="0" w:after="0"/>
              <w:ind w:left="0" w:right="0" w:hanging="0"/>
              <w:jc w:val="right"/>
              <w:rPr/>
            </w:pPr>
            <w:r>
              <w:rPr/>
              <w:t>​</w:t>
            </w:r>
          </w:p>
        </w:tc>
        <w:tc>
          <w:tcPr>
            <w:tcW w:w="19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14,749</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12,837</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7,555</w:t>
            </w:r>
          </w:p>
        </w:tc>
        <w:tc>
          <w:tcPr>
            <w:tcW w:w="109"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3,434</w:t>
            </w:r>
          </w:p>
        </w:tc>
        <w:tc>
          <w:tcPr>
            <w:tcW w:w="109"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206,086</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81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11,473</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451</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298</w:t>
            </w:r>
          </w:p>
        </w:tc>
        <w:tc>
          <w:tcPr>
            <w:tcW w:w="109" w:type="dxa"/>
            <w:tcBorders/>
            <w:shd w:fill="CCEEFF" w:val="clear"/>
            <w:vAlign w:val="center"/>
          </w:tcPr>
          <w:p>
            <w:pPr>
              <w:pStyle w:val="TableContents"/>
              <w:spacing w:before="0" w:after="0"/>
              <w:ind w:left="0" w:right="0" w:hanging="0"/>
              <w:jc w:val="right"/>
              <w:rPr/>
            </w:pPr>
            <w:r>
              <w:rPr/>
              <w:t>​</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702</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jc w:val="right"/>
              <w:rPr/>
            </w:pPr>
            <w:r>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652</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840</w:t>
            </w:r>
          </w:p>
        </w:tc>
        <w:tc>
          <w:tcPr>
            <w:tcW w:w="109"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421</w:t>
            </w:r>
          </w:p>
        </w:tc>
        <w:tc>
          <w:tcPr>
            <w:tcW w:w="109"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14,942</w:t>
            </w:r>
          </w:p>
        </w:tc>
      </w:tr>
      <w:tr>
        <w:trPr/>
        <w:tc>
          <w:tcPr>
            <w:tcW w:w="127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assets</w:t>
            </w:r>
          </w:p>
        </w:tc>
        <w:tc>
          <w:tcPr>
            <w:tcW w:w="109" w:type="dxa"/>
            <w:tcBorders/>
            <w:shd w:fill="auto" w:val="clear"/>
            <w:vAlign w:val="center"/>
          </w:tcPr>
          <w:p>
            <w:pPr>
              <w:pStyle w:val="TableContents"/>
              <w:spacing w:before="0" w:after="0"/>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4,325</w:t>
            </w:r>
          </w:p>
        </w:tc>
        <w:tc>
          <w:tcPr>
            <w:tcW w:w="211" w:type="dxa"/>
            <w:tcBorders/>
            <w:shd w:fill="auto" w:val="clear"/>
            <w:vAlign w:val="center"/>
          </w:tcPr>
          <w:p>
            <w:pPr>
              <w:pStyle w:val="TableContents"/>
              <w:spacing w:before="0" w:after="0"/>
              <w:ind w:left="0" w:right="0" w:hanging="0"/>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185</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shd w:fill="auto" w:val="clear"/>
            <w:vAlign w:val="center"/>
          </w:tcPr>
          <w:p>
            <w:pPr>
              <w:pStyle w:val="TableContents"/>
              <w:spacing w:before="0" w:after="0"/>
              <w:ind w:left="0" w:right="0" w:hanging="0"/>
              <w:jc w:val="right"/>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578</w:t>
            </w:r>
          </w:p>
        </w:tc>
        <w:tc>
          <w:tcPr>
            <w:tcW w:w="109" w:type="dxa"/>
            <w:tcBorders/>
            <w:shd w:fill="auto" w:val="clear"/>
            <w:vAlign w:val="center"/>
          </w:tcPr>
          <w:p>
            <w:pPr>
              <w:pStyle w:val="TableContents"/>
              <w:spacing w:before="0" w:after="0"/>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339</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2,122</w:t>
            </w:r>
          </w:p>
        </w:tc>
        <w:tc>
          <w:tcPr>
            <w:tcW w:w="109" w:type="dxa"/>
            <w:tcBorders/>
            <w:shd w:fill="auto" w:val="clear"/>
            <w:vAlign w:val="center"/>
          </w:tcPr>
          <w:p>
            <w:pPr>
              <w:pStyle w:val="TableContents"/>
              <w:spacing w:before="0" w:after="0"/>
              <w:ind w:left="0" w:right="0" w:hanging="0"/>
              <w:rPr/>
            </w:pPr>
            <w:r>
              <w:rPr/>
              <w:t>​</w:t>
            </w:r>
          </w:p>
        </w:tc>
        <w:tc>
          <w:tcPr>
            <w:tcW w:w="2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373</w:t>
            </w:r>
          </w:p>
        </w:tc>
        <w:tc>
          <w:tcPr>
            <w:tcW w:w="109" w:type="dxa"/>
            <w:tcBorders/>
            <w:shd w:fill="auto" w:val="clear"/>
            <w:vAlign w:val="center"/>
          </w:tcPr>
          <w:p>
            <w:pPr>
              <w:pStyle w:val="TableContents"/>
              <w:spacing w:before="0" w:after="0"/>
              <w:ind w:left="0" w:right="0" w:hanging="0"/>
              <w:rPr/>
            </w:pPr>
            <w:r>
              <w:rPr/>
              <w:t>​</w:t>
            </w:r>
          </w:p>
        </w:tc>
        <w:tc>
          <w:tcPr>
            <w:tcW w:w="32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7,937</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Total assets</w:t>
            </w:r>
          </w:p>
        </w:tc>
        <w:tc>
          <w:tcPr>
            <w:tcW w:w="109" w:type="dxa"/>
            <w:tcBorders/>
            <w:shd w:fill="CCEEFF" w:val="clear"/>
            <w:vAlign w:val="center"/>
          </w:tcPr>
          <w:p>
            <w:pPr>
              <w:pStyle w:val="TableContents"/>
              <w:spacing w:before="0" w:after="0"/>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81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139,438</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3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636</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7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44,184</w:t>
            </w:r>
          </w:p>
        </w:tc>
        <w:tc>
          <w:tcPr>
            <w:tcW w:w="109" w:type="dxa"/>
            <w:tcBorders/>
            <w:shd w:fill="CCEEFF" w:val="clear"/>
            <w:vAlign w:val="center"/>
          </w:tcPr>
          <w:p>
            <w:pPr>
              <w:pStyle w:val="TableContents"/>
              <w:spacing w:before="0" w:after="0"/>
              <w:ind w:left="0" w:right="0" w:hanging="0"/>
              <w:jc w:val="right"/>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16,029</w:t>
            </w:r>
          </w:p>
        </w:tc>
        <w:tc>
          <w:tcPr>
            <w:tcW w:w="109" w:type="dxa"/>
            <w:tcBorders/>
            <w:shd w:fill="CCEEFF" w:val="clear"/>
            <w:vAlign w:val="center"/>
          </w:tcPr>
          <w:p>
            <w:pPr>
              <w:pStyle w:val="TableContents"/>
              <w:spacing w:before="0" w:after="0"/>
              <w:ind w:left="0" w:right="0" w:hanging="0"/>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13,828</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10,517</w:t>
            </w:r>
          </w:p>
        </w:tc>
        <w:tc>
          <w:tcPr>
            <w:tcW w:w="109" w:type="dxa"/>
            <w:tcBorders/>
            <w:shd w:fill="CCEEFF" w:val="clear"/>
            <w:vAlign w:val="center"/>
          </w:tcPr>
          <w:p>
            <w:pPr>
              <w:pStyle w:val="TableContents"/>
              <w:spacing w:before="0" w:after="0"/>
              <w:ind w:left="0" w:right="0" w:hanging="0"/>
              <w:rPr/>
            </w:pPr>
            <w:r>
              <w:rPr/>
              <w:t>​</w:t>
            </w:r>
          </w:p>
        </w:tc>
        <w:tc>
          <w:tcPr>
            <w:tcW w:w="25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4,228</w:t>
            </w:r>
          </w:p>
        </w:tc>
        <w:tc>
          <w:tcPr>
            <w:tcW w:w="109" w:type="dxa"/>
            <w:tcBorders/>
            <w:shd w:fill="CCEEFF" w:val="clear"/>
            <w:vAlign w:val="center"/>
          </w:tcPr>
          <w:p>
            <w:pPr>
              <w:pStyle w:val="TableContents"/>
              <w:spacing w:before="0" w:after="0"/>
              <w:ind w:left="0" w:right="0" w:hanging="0"/>
              <w:rPr/>
            </w:pPr>
            <w:r>
              <w:rPr/>
              <w:t>​</w:t>
            </w:r>
          </w:p>
        </w:tc>
        <w:tc>
          <w:tcPr>
            <w:tcW w:w="3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105</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8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228,965</w:t>
            </w:r>
          </w:p>
        </w:tc>
      </w:tr>
      <w:tr>
        <w:trPr/>
        <w:tc>
          <w:tcPr>
            <w:tcW w:w="1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813"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198" w:type="dxa"/>
            <w:tcBorders/>
            <w:shd w:fill="auto" w:val="clear"/>
            <w:vAlign w:val="center"/>
          </w:tcPr>
          <w:p>
            <w:pPr>
              <w:pStyle w:val="TableContents"/>
              <w:spacing w:before="0" w:after="0"/>
              <w:ind w:left="0" w:right="0" w:hanging="0"/>
              <w:rPr/>
            </w:pPr>
            <w:r>
              <w:rPr/>
              <w:t>​</w:t>
            </w:r>
          </w:p>
        </w:tc>
        <w:tc>
          <w:tcPr>
            <w:tcW w:w="3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97" w:type="dxa"/>
            <w:tcBorders/>
            <w:shd w:fill="auto" w:val="clear"/>
            <w:vAlign w:val="center"/>
          </w:tcPr>
          <w:p>
            <w:pPr>
              <w:pStyle w:val="TableContents"/>
              <w:spacing w:before="0" w:after="0"/>
              <w:ind w:left="0" w:right="0" w:hanging="0"/>
              <w:rPr/>
            </w:pPr>
            <w:r>
              <w:rPr/>
              <w:t>​</w:t>
            </w:r>
          </w:p>
        </w:tc>
        <w:tc>
          <w:tcPr>
            <w:tcW w:w="605"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jc w:val="right"/>
              <w:rPr/>
            </w:pPr>
            <w:r>
              <w:rPr/>
              <w:t>​</w:t>
            </w:r>
          </w:p>
        </w:tc>
        <w:tc>
          <w:tcPr>
            <w:tcW w:w="60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06" w:type="dxa"/>
            <w:tcBorders/>
            <w:shd w:fill="auto" w:val="clear"/>
            <w:vAlign w:val="center"/>
          </w:tcPr>
          <w:p>
            <w:pPr>
              <w:pStyle w:val="TableContents"/>
              <w:spacing w:before="0" w:after="0"/>
              <w:ind w:left="0" w:right="0" w:hanging="0"/>
              <w:rPr/>
            </w:pPr>
            <w:r>
              <w:rPr/>
              <w:t>​</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LIABILITIES AND EQUITY</w:t>
            </w:r>
          </w:p>
        </w:tc>
        <w:tc>
          <w:tcPr>
            <w:tcW w:w="109" w:type="dxa"/>
            <w:tcBorders/>
            <w:shd w:fill="CCEEFF" w:val="clear"/>
            <w:vAlign w:val="center"/>
          </w:tcPr>
          <w:p>
            <w:pPr>
              <w:pStyle w:val="TableContents"/>
              <w:spacing w:before="0" w:after="0"/>
              <w:ind w:left="0" w:right="0" w:hanging="0"/>
              <w:jc w:val="center"/>
              <w:rPr/>
            </w:pPr>
            <w:r>
              <w:rPr/>
              <w:t>​</w:t>
            </w:r>
          </w:p>
        </w:tc>
        <w:tc>
          <w:tcPr>
            <w:tcW w:w="230" w:type="dxa"/>
            <w:tcBorders/>
            <w:shd w:fill="CCEEFF" w:val="clear"/>
            <w:vAlign w:val="center"/>
          </w:tcPr>
          <w:p>
            <w:pPr>
              <w:pStyle w:val="TableContents"/>
              <w:spacing w:before="0" w:after="0"/>
              <w:ind w:left="0" w:right="0" w:hanging="0"/>
              <w:rPr/>
            </w:pPr>
            <w:r>
              <w:rPr/>
              <w:t>​</w:t>
            </w:r>
          </w:p>
        </w:tc>
        <w:tc>
          <w:tcPr>
            <w:tcW w:w="813"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jc w:val="right"/>
              <w:rPr/>
            </w:pPr>
            <w:r>
              <w:rPr/>
              <w:t>​</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jc w:val="right"/>
              <w:rPr/>
            </w:pPr>
            <w:r>
              <w:rPr/>
              <w:t>​</w:t>
            </w:r>
          </w:p>
        </w:tc>
        <w:tc>
          <w:tcPr>
            <w:tcW w:w="604"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2"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621"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06" w:type="dxa"/>
            <w:tcBorders/>
            <w:shd w:fill="CCEEFF" w:val="clear"/>
            <w:vAlign w:val="center"/>
          </w:tcPr>
          <w:p>
            <w:pPr>
              <w:pStyle w:val="TableContents"/>
              <w:spacing w:before="0" w:after="0"/>
              <w:ind w:left="0" w:right="0" w:hanging="0"/>
              <w:rPr/>
            </w:pPr>
            <w:r>
              <w:rPr/>
              <w:t> </w:t>
            </w:r>
          </w:p>
        </w:tc>
      </w:tr>
      <w:tr>
        <w:trPr/>
        <w:tc>
          <w:tcPr>
            <w:tcW w:w="127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Debt, net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1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24,751</w:t>
            </w:r>
          </w:p>
        </w:tc>
        <w:tc>
          <w:tcPr>
            <w:tcW w:w="211" w:type="dxa"/>
            <w:tcBorders/>
            <w:shd w:fill="auto" w:val="clear"/>
            <w:vAlign w:val="center"/>
          </w:tcPr>
          <w:p>
            <w:pPr>
              <w:pStyle w:val="TableContents"/>
              <w:spacing w:before="0" w:after="0"/>
              <w:ind w:left="0" w:right="0" w:hanging="0"/>
              <w:jc w:val="right"/>
              <w:rPr/>
            </w:pPr>
            <w:r>
              <w:rPr/>
              <w:t>​</w:t>
            </w:r>
          </w:p>
        </w:tc>
        <w:tc>
          <w:tcPr>
            <w:tcW w:w="19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27,456</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13,467</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5,896</w:t>
            </w:r>
          </w:p>
        </w:tc>
        <w:tc>
          <w:tcPr>
            <w:tcW w:w="109"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2,174</w:t>
            </w:r>
          </w:p>
        </w:tc>
        <w:tc>
          <w:tcPr>
            <w:tcW w:w="109"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73,744</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liabilities</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81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73,014</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3,236</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278</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jc w:val="right"/>
              <w:rPr/>
            </w:pPr>
            <w:r>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1,515</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571</w:t>
            </w:r>
          </w:p>
        </w:tc>
        <w:tc>
          <w:tcPr>
            <w:tcW w:w="109"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c>
          <w:tcPr>
            <w:tcW w:w="109"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62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79,230</w:t>
            </w:r>
          </w:p>
        </w:tc>
      </w:tr>
      <w:tr>
        <w:trPr/>
        <w:tc>
          <w:tcPr>
            <w:tcW w:w="127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Equity</w:t>
            </w:r>
          </w:p>
        </w:tc>
        <w:tc>
          <w:tcPr>
            <w:tcW w:w="109" w:type="dxa"/>
            <w:tcBorders/>
            <w:shd w:fill="auto" w:val="clear"/>
            <w:vAlign w:val="center"/>
          </w:tcPr>
          <w:p>
            <w:pPr>
              <w:pStyle w:val="TableContents"/>
              <w:spacing w:before="0" w:after="0"/>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41,673</w:t>
            </w:r>
          </w:p>
        </w:tc>
        <w:tc>
          <w:tcPr>
            <w:tcW w:w="211" w:type="dxa"/>
            <w:tcBorders/>
            <w:shd w:fill="auto" w:val="clear"/>
            <w:vAlign w:val="center"/>
          </w:tcPr>
          <w:p>
            <w:pPr>
              <w:pStyle w:val="TableContents"/>
              <w:spacing w:before="0" w:after="0"/>
              <w:ind w:left="0" w:right="0" w:hanging="0"/>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625</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13,492</w:t>
            </w:r>
          </w:p>
        </w:tc>
        <w:tc>
          <w:tcPr>
            <w:tcW w:w="109" w:type="dxa"/>
            <w:tcBorders/>
            <w:shd w:fill="auto" w:val="clear"/>
            <w:vAlign w:val="center"/>
          </w:tcPr>
          <w:p>
            <w:pPr>
              <w:pStyle w:val="TableContents"/>
              <w:spacing w:before="0" w:after="0"/>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2,284</w:t>
            </w:r>
          </w:p>
        </w:tc>
        <w:tc>
          <w:tcPr>
            <w:tcW w:w="109" w:type="dxa"/>
            <w:tcBorders/>
            <w:shd w:fill="auto" w:val="clear"/>
            <w:vAlign w:val="center"/>
          </w:tcPr>
          <w:p>
            <w:pPr>
              <w:pStyle w:val="TableContents"/>
              <w:spacing w:before="0" w:after="0"/>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12,313</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4,050</w:t>
            </w:r>
          </w:p>
        </w:tc>
        <w:tc>
          <w:tcPr>
            <w:tcW w:w="109" w:type="dxa"/>
            <w:tcBorders/>
            <w:shd w:fill="auto" w:val="clear"/>
            <w:vAlign w:val="center"/>
          </w:tcPr>
          <w:p>
            <w:pPr>
              <w:pStyle w:val="TableContents"/>
              <w:spacing w:before="0" w:after="0"/>
              <w:ind w:left="0" w:right="0" w:hanging="0"/>
              <w:rPr/>
            </w:pPr>
            <w:r>
              <w:rPr/>
              <w:t>​</w:t>
            </w:r>
          </w:p>
        </w:tc>
        <w:tc>
          <w:tcPr>
            <w:tcW w:w="2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1,449</w:t>
            </w:r>
          </w:p>
        </w:tc>
        <w:tc>
          <w:tcPr>
            <w:tcW w:w="109" w:type="dxa"/>
            <w:tcBorders/>
            <w:shd w:fill="auto" w:val="clear"/>
            <w:vAlign w:val="center"/>
          </w:tcPr>
          <w:p>
            <w:pPr>
              <w:pStyle w:val="TableContents"/>
              <w:spacing w:before="0" w:after="0"/>
              <w:ind w:left="0" w:right="0" w:hanging="0"/>
              <w:rPr/>
            </w:pPr>
            <w:r>
              <w:rPr/>
              <w:t>​</w:t>
            </w:r>
          </w:p>
        </w:tc>
        <w:tc>
          <w:tcPr>
            <w:tcW w:w="32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75,991</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Total liabilities and equity</w:t>
            </w:r>
          </w:p>
        </w:tc>
        <w:tc>
          <w:tcPr>
            <w:tcW w:w="109" w:type="dxa"/>
            <w:tcBorders/>
            <w:shd w:fill="CCEEFF" w:val="clear"/>
            <w:vAlign w:val="center"/>
          </w:tcPr>
          <w:p>
            <w:pPr>
              <w:pStyle w:val="TableContents"/>
              <w:spacing w:before="0" w:after="0"/>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81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139,438</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3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636</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7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44,184</w:t>
            </w:r>
          </w:p>
        </w:tc>
        <w:tc>
          <w:tcPr>
            <w:tcW w:w="109" w:type="dxa"/>
            <w:tcBorders/>
            <w:shd w:fill="CCEEFF" w:val="clear"/>
            <w:vAlign w:val="center"/>
          </w:tcPr>
          <w:p>
            <w:pPr>
              <w:pStyle w:val="TableContents"/>
              <w:spacing w:before="0" w:after="0"/>
              <w:ind w:left="0" w:right="0" w:hanging="0"/>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16,029</w:t>
            </w:r>
          </w:p>
        </w:tc>
        <w:tc>
          <w:tcPr>
            <w:tcW w:w="109" w:type="dxa"/>
            <w:tcBorders/>
            <w:shd w:fill="CCEEFF" w:val="clear"/>
            <w:vAlign w:val="center"/>
          </w:tcPr>
          <w:p>
            <w:pPr>
              <w:pStyle w:val="TableContents"/>
              <w:spacing w:before="0" w:after="0"/>
              <w:ind w:left="0" w:right="0" w:hanging="0"/>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13,828</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10,517</w:t>
            </w:r>
          </w:p>
        </w:tc>
        <w:tc>
          <w:tcPr>
            <w:tcW w:w="109" w:type="dxa"/>
            <w:tcBorders/>
            <w:shd w:fill="CCEEFF" w:val="clear"/>
            <w:vAlign w:val="center"/>
          </w:tcPr>
          <w:p>
            <w:pPr>
              <w:pStyle w:val="TableContents"/>
              <w:spacing w:before="0" w:after="0"/>
              <w:ind w:left="0" w:right="0" w:hanging="0"/>
              <w:rPr/>
            </w:pPr>
            <w:r>
              <w:rPr/>
              <w:t>​</w:t>
            </w:r>
          </w:p>
        </w:tc>
        <w:tc>
          <w:tcPr>
            <w:tcW w:w="25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4,228</w:t>
            </w:r>
          </w:p>
        </w:tc>
        <w:tc>
          <w:tcPr>
            <w:tcW w:w="109" w:type="dxa"/>
            <w:tcBorders/>
            <w:shd w:fill="CCEEFF" w:val="clear"/>
            <w:vAlign w:val="center"/>
          </w:tcPr>
          <w:p>
            <w:pPr>
              <w:pStyle w:val="TableContents"/>
              <w:spacing w:before="0" w:after="0"/>
              <w:ind w:left="0" w:right="0" w:hanging="0"/>
              <w:rPr/>
            </w:pPr>
            <w:r>
              <w:rPr/>
              <w:t>​</w:t>
            </w:r>
          </w:p>
        </w:tc>
        <w:tc>
          <w:tcPr>
            <w:tcW w:w="3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105</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80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8"/>
              </w:rPr>
            </w:pPr>
            <w:r>
              <w:rPr>
                <w:rFonts w:ascii="Times New Roman;Times;serif" w:hAnsi="Times New Roman;Times;serif"/>
                <w:b/>
                <w:sz w:val="18"/>
              </w:rPr>
              <w:t>228,965</w:t>
            </w:r>
          </w:p>
        </w:tc>
      </w:tr>
    </w:tbl>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Investment in real estate, net includes the land contributed to the Latitude Margaritaville Watersound JV at the Company’s historical cost basis and additional completed infrastructure improvements.</w:t>
            </w:r>
          </w:p>
        </w:tc>
      </w:tr>
    </w:tbl>
    <w:tbl>
      <w:tblPr>
        <w:tblW w:w="8372" w:type="dxa"/>
        <w:jc w:val="left"/>
        <w:tblInd w:w="0" w:type="dxa"/>
        <w:tblCellMar>
          <w:top w:w="0" w:type="dxa"/>
          <w:left w:w="0" w:type="dxa"/>
          <w:bottom w:w="0" w:type="dxa"/>
          <w:right w:w="0" w:type="dxa"/>
        </w:tblCellMar>
      </w:tblPr>
      <w:tblGrid>
        <w:gridCol w:w="331"/>
        <w:gridCol w:w="8041"/>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80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77"/>
        <w:gridCol w:w="109"/>
        <w:gridCol w:w="230"/>
        <w:gridCol w:w="813"/>
        <w:gridCol w:w="211"/>
        <w:gridCol w:w="198"/>
        <w:gridCol w:w="381"/>
        <w:gridCol w:w="109"/>
        <w:gridCol w:w="235"/>
        <w:gridCol w:w="726"/>
        <w:gridCol w:w="109"/>
        <w:gridCol w:w="197"/>
        <w:gridCol w:w="605"/>
        <w:gridCol w:w="109"/>
        <w:gridCol w:w="197"/>
        <w:gridCol w:w="604"/>
        <w:gridCol w:w="109"/>
        <w:gridCol w:w="196"/>
        <w:gridCol w:w="602"/>
        <w:gridCol w:w="109"/>
        <w:gridCol w:w="253"/>
        <w:gridCol w:w="662"/>
        <w:gridCol w:w="109"/>
        <w:gridCol w:w="341"/>
        <w:gridCol w:w="604"/>
        <w:gridCol w:w="109"/>
        <w:gridCol w:w="196"/>
        <w:gridCol w:w="805"/>
      </w:tblGrid>
      <w:tr>
        <w:trPr/>
        <w:tc>
          <w:tcPr>
            <w:tcW w:w="1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813"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98" w:type="dxa"/>
            <w:tcBorders/>
            <w:shd w:fill="auto" w:val="clear"/>
            <w:vAlign w:val="center"/>
          </w:tcPr>
          <w:p>
            <w:pPr>
              <w:pStyle w:val="TableContents"/>
              <w:spacing w:before="0" w:after="0"/>
              <w:ind w:left="0" w:right="0" w:hanging="0"/>
              <w:rPr/>
            </w:pPr>
            <w:r>
              <w:rPr/>
              <w:t>​</w:t>
            </w:r>
          </w:p>
        </w:tc>
        <w:tc>
          <w:tcPr>
            <w:tcW w:w="3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605"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60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pPr>
            <w:r>
              <w:rPr/>
              <w:t>​</w:t>
            </w:r>
          </w:p>
        </w:tc>
        <w:tc>
          <w:tcPr>
            <w:tcW w:w="60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05" w:type="dxa"/>
            <w:tcBorders/>
            <w:shd w:fill="auto" w:val="clear"/>
            <w:vAlign w:val="center"/>
          </w:tcPr>
          <w:p>
            <w:pPr>
              <w:pStyle w:val="TableContents"/>
              <w:spacing w:before="0" w:after="0"/>
              <w:ind w:left="0" w:right="0" w:hanging="0"/>
              <w:rPr/>
            </w:pPr>
            <w:r>
              <w:rPr/>
              <w:t>​</w:t>
            </w:r>
          </w:p>
        </w:tc>
      </w:tr>
      <w:tr>
        <w:trPr/>
        <w:tc>
          <w:tcPr>
            <w:tcW w:w="1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819"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December 31, 2022</w:t>
            </w:r>
          </w:p>
        </w:tc>
      </w:tr>
      <w:tr>
        <w:trPr/>
        <w:tc>
          <w:tcPr>
            <w:tcW w:w="1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4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Latitude Margaritaville Watersound JV</w:t>
            </w:r>
          </w:p>
        </w:tc>
        <w:tc>
          <w:tcPr>
            <w:tcW w:w="211" w:type="dxa"/>
            <w:tcBorders/>
            <w:shd w:fill="auto" w:val="clear"/>
            <w:vAlign w:val="center"/>
          </w:tcPr>
          <w:p>
            <w:pPr>
              <w:pStyle w:val="TableContents"/>
              <w:spacing w:before="0" w:after="0"/>
              <w:ind w:left="0" w:right="0" w:hanging="0"/>
              <w:jc w:val="center"/>
              <w:rPr/>
            </w:pPr>
            <w:r>
              <w:rPr/>
              <w:t>​</w:t>
            </w:r>
          </w:p>
        </w:tc>
        <w:tc>
          <w:tcPr>
            <w:tcW w:w="579"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Sea Sound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shd w:fill="auto" w:val="clear"/>
            <w:vAlign w:val="center"/>
          </w:tcPr>
          <w:p>
            <w:pPr>
              <w:pStyle w:val="TableContents"/>
              <w:spacing w:before="0" w:after="0"/>
              <w:ind w:left="0" w:right="0" w:hanging="0"/>
              <w:jc w:val="center"/>
              <w:rPr/>
            </w:pPr>
            <w:r>
              <w:rPr/>
              <w:t>​</w:t>
            </w:r>
          </w:p>
        </w:tc>
        <w:tc>
          <w:tcPr>
            <w:tcW w:w="9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Fountains Independent Living JV</w:t>
            </w:r>
          </w:p>
        </w:tc>
        <w:tc>
          <w:tcPr>
            <w:tcW w:w="109" w:type="dxa"/>
            <w:tcBorders/>
            <w:shd w:fill="auto" w:val="clear"/>
            <w:vAlign w:val="center"/>
          </w:tcPr>
          <w:p>
            <w:pPr>
              <w:pStyle w:val="TableContents"/>
              <w:spacing w:before="0" w:after="0"/>
              <w:ind w:left="0" w:right="0" w:hanging="0"/>
              <w:jc w:val="center"/>
              <w:rPr/>
            </w:pPr>
            <w:r>
              <w:rPr/>
              <w:t>​</w:t>
            </w:r>
          </w:p>
        </w:tc>
        <w:tc>
          <w:tcPr>
            <w:tcW w:w="8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shd w:fill="auto" w:val="clear"/>
            <w:vAlign w:val="center"/>
          </w:tcPr>
          <w:p>
            <w:pPr>
              <w:pStyle w:val="TableContents"/>
              <w:spacing w:before="0" w:after="0"/>
              <w:ind w:left="0" w:right="0" w:hanging="0"/>
              <w:jc w:val="center"/>
              <w:rPr/>
            </w:pPr>
            <w:r>
              <w:rPr/>
              <w:t>​</w:t>
            </w:r>
          </w:p>
        </w:tc>
        <w:tc>
          <w:tcPr>
            <w:tcW w:w="8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shd w:fill="auto" w:val="clear"/>
            <w:vAlign w:val="center"/>
          </w:tcPr>
          <w:p>
            <w:pPr>
              <w:pStyle w:val="TableContents"/>
              <w:spacing w:before="0" w:after="0"/>
              <w:ind w:left="0" w:right="0" w:hanging="0"/>
              <w:jc w:val="center"/>
              <w:rPr/>
            </w:pPr>
            <w:r>
              <w:rPr/>
              <w:t>​</w:t>
            </w:r>
          </w:p>
        </w:tc>
        <w:tc>
          <w:tcPr>
            <w:tcW w:w="7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109" w:type="dxa"/>
            <w:tcBorders/>
            <w:shd w:fill="auto" w:val="clear"/>
            <w:vAlign w:val="center"/>
          </w:tcPr>
          <w:p>
            <w:pPr>
              <w:pStyle w:val="TableContents"/>
              <w:spacing w:before="0" w:after="0"/>
              <w:ind w:left="0" w:right="0" w:hanging="0"/>
              <w:jc w:val="center"/>
              <w:rPr/>
            </w:pPr>
            <w:r>
              <w:rPr/>
              <w:t>​</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shd w:fill="auto" w:val="clear"/>
            <w:vAlign w:val="center"/>
          </w:tcPr>
          <w:p>
            <w:pPr>
              <w:pStyle w:val="TableContents"/>
              <w:spacing w:before="0" w:after="0"/>
              <w:ind w:left="0" w:right="0" w:hanging="0"/>
              <w:jc w:val="center"/>
              <w:rPr/>
            </w:pPr>
            <w:r>
              <w:rPr/>
              <w:t>​</w:t>
            </w:r>
          </w:p>
        </w:tc>
        <w:tc>
          <w:tcPr>
            <w:tcW w:w="9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shd w:fill="auto" w:val="clear"/>
            <w:vAlign w:val="center"/>
          </w:tcPr>
          <w:p>
            <w:pPr>
              <w:pStyle w:val="TableContents"/>
              <w:spacing w:before="0" w:after="0"/>
              <w:ind w:left="0" w:right="0" w:hanging="0"/>
              <w:rPr/>
            </w:pPr>
            <w:r>
              <w:rPr/>
              <w:t>​</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813"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98"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jc w:val="right"/>
              <w:rPr/>
            </w:pPr>
            <w:r>
              <w:rPr/>
              <w:t>​</w:t>
            </w:r>
          </w:p>
        </w:tc>
        <w:tc>
          <w:tcPr>
            <w:tcW w:w="604"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604"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05" w:type="dxa"/>
            <w:tcBorders/>
            <w:shd w:fill="CCEEFF" w:val="clear"/>
            <w:vAlign w:val="center"/>
          </w:tcPr>
          <w:p>
            <w:pPr>
              <w:pStyle w:val="TableContents"/>
              <w:spacing w:before="0" w:after="0"/>
              <w:ind w:left="0" w:right="0" w:hanging="0"/>
              <w:rPr/>
            </w:pPr>
            <w:r>
              <w:rPr/>
              <w:t>​</w:t>
            </w:r>
          </w:p>
        </w:tc>
      </w:tr>
      <w:tr>
        <w:trPr/>
        <w:tc>
          <w:tcPr>
            <w:tcW w:w="127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Investment in real estate, net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1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125,231</w:t>
            </w:r>
          </w:p>
        </w:tc>
        <w:tc>
          <w:tcPr>
            <w:tcW w:w="211" w:type="dxa"/>
            <w:tcBorders/>
            <w:shd w:fill="auto" w:val="cle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(a)</w:t>
            </w:r>
          </w:p>
        </w:tc>
        <w:tc>
          <w:tcPr>
            <w:tcW w:w="19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38,783</w:t>
            </w:r>
          </w:p>
        </w:tc>
        <w:tc>
          <w:tcPr>
            <w:tcW w:w="109" w:type="dxa"/>
            <w:tcBorders/>
            <w:shd w:fill="auto" w:val="clear"/>
            <w:vAlign w:val="center"/>
          </w:tcPr>
          <w:p>
            <w:pPr>
              <w:pStyle w:val="TableContents"/>
              <w:spacing w:before="0" w:after="0"/>
              <w:ind w:left="0" w:right="0" w:hanging="0"/>
              <w:jc w:val="right"/>
              <w:rPr/>
            </w:pPr>
            <w:r>
              <w:rPr/>
              <w:t>​</w:t>
            </w:r>
          </w:p>
        </w:tc>
        <w:tc>
          <w:tcPr>
            <w:tcW w:w="19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15,106</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9,858</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7,627</w:t>
            </w:r>
          </w:p>
        </w:tc>
        <w:tc>
          <w:tcPr>
            <w:tcW w:w="109"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1,875</w:t>
            </w:r>
          </w:p>
        </w:tc>
        <w:tc>
          <w:tcPr>
            <w:tcW w:w="109"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0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198,480</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81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10,633</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109" w:type="dxa"/>
            <w:tcBorders/>
            <w:shd w:fill="CCEEFF" w:val="clear"/>
            <w:vAlign w:val="center"/>
          </w:tcPr>
          <w:p>
            <w:pPr>
              <w:pStyle w:val="TableContents"/>
              <w:spacing w:before="0" w:after="0"/>
              <w:ind w:left="0" w:right="0" w:hanging="0"/>
              <w:jc w:val="right"/>
              <w:rPr/>
            </w:pPr>
            <w:r>
              <w:rPr/>
              <w:t>​</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775</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jc w:val="right"/>
              <w:rPr/>
            </w:pPr>
            <w:r>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580</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1,081</w:t>
            </w:r>
          </w:p>
        </w:tc>
        <w:tc>
          <w:tcPr>
            <w:tcW w:w="109"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259</w:t>
            </w:r>
          </w:p>
        </w:tc>
        <w:tc>
          <w:tcPr>
            <w:tcW w:w="109"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0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13,943</w:t>
            </w:r>
          </w:p>
        </w:tc>
      </w:tr>
      <w:tr>
        <w:trPr/>
        <w:tc>
          <w:tcPr>
            <w:tcW w:w="127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assets</w:t>
            </w:r>
          </w:p>
        </w:tc>
        <w:tc>
          <w:tcPr>
            <w:tcW w:w="109" w:type="dxa"/>
            <w:tcBorders/>
            <w:shd w:fill="auto" w:val="clear"/>
            <w:vAlign w:val="center"/>
          </w:tcPr>
          <w:p>
            <w:pPr>
              <w:pStyle w:val="TableContents"/>
              <w:spacing w:before="0" w:after="0"/>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3,267</w:t>
            </w:r>
          </w:p>
        </w:tc>
        <w:tc>
          <w:tcPr>
            <w:tcW w:w="211" w:type="dxa"/>
            <w:tcBorders/>
            <w:shd w:fill="auto" w:val="clear"/>
            <w:vAlign w:val="center"/>
          </w:tcPr>
          <w:p>
            <w:pPr>
              <w:pStyle w:val="TableContents"/>
              <w:spacing w:before="0" w:after="0"/>
              <w:ind w:left="0" w:right="0" w:hanging="0"/>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363</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auto" w:val="clear"/>
            <w:vAlign w:val="center"/>
          </w:tcPr>
          <w:p>
            <w:pPr>
              <w:pStyle w:val="TableContents"/>
              <w:spacing w:before="0" w:after="0"/>
              <w:ind w:left="0" w:right="0" w:hanging="0"/>
              <w:jc w:val="right"/>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109" w:type="dxa"/>
            <w:tcBorders/>
            <w:shd w:fill="auto" w:val="clear"/>
            <w:vAlign w:val="center"/>
          </w:tcPr>
          <w:p>
            <w:pPr>
              <w:pStyle w:val="TableContents"/>
              <w:spacing w:before="0" w:after="0"/>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1,957</w:t>
            </w:r>
          </w:p>
        </w:tc>
        <w:tc>
          <w:tcPr>
            <w:tcW w:w="109" w:type="dxa"/>
            <w:tcBorders/>
            <w:shd w:fill="auto" w:val="clear"/>
            <w:vAlign w:val="center"/>
          </w:tcPr>
          <w:p>
            <w:pPr>
              <w:pStyle w:val="TableContents"/>
              <w:spacing w:before="0" w:after="0"/>
              <w:ind w:left="0" w:right="0" w:hanging="0"/>
              <w:rPr/>
            </w:pPr>
            <w:r>
              <w:rPr/>
              <w:t>​</w:t>
            </w:r>
          </w:p>
        </w:tc>
        <w:tc>
          <w:tcPr>
            <w:tcW w:w="2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234</w:t>
            </w:r>
          </w:p>
        </w:tc>
        <w:tc>
          <w:tcPr>
            <w:tcW w:w="109" w:type="dxa"/>
            <w:tcBorders/>
            <w:shd w:fill="auto" w:val="clear"/>
            <w:vAlign w:val="center"/>
          </w:tcPr>
          <w:p>
            <w:pPr>
              <w:pStyle w:val="TableContents"/>
              <w:spacing w:before="0" w:after="0"/>
              <w:ind w:left="0" w:right="0" w:hanging="0"/>
              <w:rPr/>
            </w:pPr>
            <w:r>
              <w:rPr/>
              <w:t>​</w:t>
            </w:r>
          </w:p>
        </w:tc>
        <w:tc>
          <w:tcPr>
            <w:tcW w:w="3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6,920</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Total assets</w:t>
            </w:r>
          </w:p>
        </w:tc>
        <w:tc>
          <w:tcPr>
            <w:tcW w:w="109" w:type="dxa"/>
            <w:tcBorders/>
            <w:shd w:fill="CCEEFF" w:val="clear"/>
            <w:vAlign w:val="center"/>
          </w:tcPr>
          <w:p>
            <w:pPr>
              <w:pStyle w:val="TableContents"/>
              <w:spacing w:before="0" w:after="0"/>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81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139,131</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3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7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38,984</w:t>
            </w:r>
          </w:p>
        </w:tc>
        <w:tc>
          <w:tcPr>
            <w:tcW w:w="109" w:type="dxa"/>
            <w:tcBorders/>
            <w:shd w:fill="CCEEFF" w:val="clear"/>
            <w:vAlign w:val="center"/>
          </w:tcPr>
          <w:p>
            <w:pPr>
              <w:pStyle w:val="TableContents"/>
              <w:spacing w:before="0" w:after="0"/>
              <w:ind w:left="0" w:right="0" w:hanging="0"/>
              <w:jc w:val="right"/>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16,629</w:t>
            </w:r>
          </w:p>
        </w:tc>
        <w:tc>
          <w:tcPr>
            <w:tcW w:w="109" w:type="dxa"/>
            <w:tcBorders/>
            <w:shd w:fill="CCEEFF" w:val="clear"/>
            <w:vAlign w:val="center"/>
          </w:tcPr>
          <w:p>
            <w:pPr>
              <w:pStyle w:val="TableContents"/>
              <w:spacing w:before="0" w:after="0"/>
              <w:ind w:left="0" w:right="0" w:hanging="0"/>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10,778</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10,665</w:t>
            </w:r>
          </w:p>
        </w:tc>
        <w:tc>
          <w:tcPr>
            <w:tcW w:w="109" w:type="dxa"/>
            <w:tcBorders/>
            <w:shd w:fill="CCEEFF" w:val="clear"/>
            <w:vAlign w:val="center"/>
          </w:tcPr>
          <w:p>
            <w:pPr>
              <w:pStyle w:val="TableContents"/>
              <w:spacing w:before="0" w:after="0"/>
              <w:ind w:left="0" w:right="0" w:hanging="0"/>
              <w:rPr/>
            </w:pPr>
            <w:r>
              <w:rPr/>
              <w:t>​</w:t>
            </w:r>
          </w:p>
        </w:tc>
        <w:tc>
          <w:tcPr>
            <w:tcW w:w="25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2,368</w:t>
            </w:r>
          </w:p>
        </w:tc>
        <w:tc>
          <w:tcPr>
            <w:tcW w:w="109" w:type="dxa"/>
            <w:tcBorders/>
            <w:shd w:fill="CCEEFF" w:val="clear"/>
            <w:vAlign w:val="center"/>
          </w:tcPr>
          <w:p>
            <w:pPr>
              <w:pStyle w:val="TableContents"/>
              <w:spacing w:before="0" w:after="0"/>
              <w:ind w:left="0" w:right="0" w:hanging="0"/>
              <w:rPr/>
            </w:pPr>
            <w:r>
              <w:rPr/>
              <w:t>​</w:t>
            </w:r>
          </w:p>
        </w:tc>
        <w:tc>
          <w:tcPr>
            <w:tcW w:w="3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98</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80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219,343</w:t>
            </w:r>
          </w:p>
        </w:tc>
      </w:tr>
      <w:tr>
        <w:trPr/>
        <w:tc>
          <w:tcPr>
            <w:tcW w:w="1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813"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198" w:type="dxa"/>
            <w:tcBorders/>
            <w:shd w:fill="auto" w:val="clear"/>
            <w:vAlign w:val="center"/>
          </w:tcPr>
          <w:p>
            <w:pPr>
              <w:pStyle w:val="TableContents"/>
              <w:spacing w:before="0" w:after="0"/>
              <w:ind w:left="0" w:right="0" w:hanging="0"/>
              <w:rPr/>
            </w:pPr>
            <w:r>
              <w:rPr/>
              <w:t>​</w:t>
            </w:r>
          </w:p>
        </w:tc>
        <w:tc>
          <w:tcPr>
            <w:tcW w:w="3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97" w:type="dxa"/>
            <w:tcBorders/>
            <w:shd w:fill="auto" w:val="clear"/>
            <w:vAlign w:val="center"/>
          </w:tcPr>
          <w:p>
            <w:pPr>
              <w:pStyle w:val="TableContents"/>
              <w:spacing w:before="0" w:after="0"/>
              <w:ind w:left="0" w:right="0" w:hanging="0"/>
              <w:rPr/>
            </w:pPr>
            <w:r>
              <w:rPr/>
              <w:t>​</w:t>
            </w:r>
          </w:p>
        </w:tc>
        <w:tc>
          <w:tcPr>
            <w:tcW w:w="60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jc w:val="right"/>
              <w:rPr/>
            </w:pPr>
            <w:r>
              <w:rPr/>
              <w:t>​</w:t>
            </w:r>
          </w:p>
        </w:tc>
        <w:tc>
          <w:tcPr>
            <w:tcW w:w="60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pPr>
            <w:r>
              <w:rPr/>
              <w:t>​</w:t>
            </w:r>
          </w:p>
        </w:tc>
        <w:tc>
          <w:tcPr>
            <w:tcW w:w="60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05" w:type="dxa"/>
            <w:tcBorders/>
            <w:shd w:fill="auto" w:val="clear"/>
            <w:vAlign w:val="center"/>
          </w:tcPr>
          <w:p>
            <w:pPr>
              <w:pStyle w:val="TableContents"/>
              <w:spacing w:before="0" w:after="0"/>
              <w:ind w:left="0" w:right="0" w:hanging="0"/>
              <w:jc w:val="right"/>
              <w:rPr/>
            </w:pPr>
            <w:r>
              <w:rPr/>
              <w:t>​</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LIABILITIES AND EQUITY</w:t>
            </w:r>
          </w:p>
        </w:tc>
        <w:tc>
          <w:tcPr>
            <w:tcW w:w="109" w:type="dxa"/>
            <w:tcBorders/>
            <w:shd w:fill="CCEEFF" w:val="clear"/>
            <w:vAlign w:val="center"/>
          </w:tcPr>
          <w:p>
            <w:pPr>
              <w:pStyle w:val="TableContents"/>
              <w:spacing w:before="0" w:after="0"/>
              <w:ind w:left="0" w:right="0" w:hanging="0"/>
              <w:jc w:val="center"/>
              <w:rPr/>
            </w:pPr>
            <w:r>
              <w:rPr/>
              <w:t>​</w:t>
            </w:r>
          </w:p>
        </w:tc>
        <w:tc>
          <w:tcPr>
            <w:tcW w:w="230" w:type="dxa"/>
            <w:tcBorders/>
            <w:shd w:fill="CCEEFF" w:val="clear"/>
            <w:vAlign w:val="center"/>
          </w:tcPr>
          <w:p>
            <w:pPr>
              <w:pStyle w:val="TableContents"/>
              <w:spacing w:before="0" w:after="0"/>
              <w:ind w:left="0" w:right="0" w:hanging="0"/>
              <w:rPr/>
            </w:pPr>
            <w:r>
              <w:rPr/>
              <w:t>​</w:t>
            </w:r>
          </w:p>
        </w:tc>
        <w:tc>
          <w:tcPr>
            <w:tcW w:w="813"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jc w:val="right"/>
              <w:rPr/>
            </w:pPr>
            <w:r>
              <w:rPr/>
              <w:t>​</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jc w:val="right"/>
              <w:rPr/>
            </w:pPr>
            <w:r>
              <w:rPr/>
              <w:t>​</w:t>
            </w:r>
          </w:p>
        </w:tc>
        <w:tc>
          <w:tcPr>
            <w:tcW w:w="604"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2"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604"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05" w:type="dxa"/>
            <w:tcBorders/>
            <w:shd w:fill="CCEEFF" w:val="clear"/>
            <w:vAlign w:val="center"/>
          </w:tcPr>
          <w:p>
            <w:pPr>
              <w:pStyle w:val="TableContents"/>
              <w:spacing w:before="0" w:after="0"/>
              <w:ind w:left="0" w:right="0" w:hanging="0"/>
              <w:jc w:val="right"/>
              <w:rPr/>
            </w:pPr>
            <w:r>
              <w:rPr/>
              <w:t> </w:t>
            </w:r>
          </w:p>
        </w:tc>
      </w:tr>
      <w:tr>
        <w:trPr/>
        <w:tc>
          <w:tcPr>
            <w:tcW w:w="127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Debt, net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1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29,530</w:t>
            </w:r>
          </w:p>
        </w:tc>
        <w:tc>
          <w:tcPr>
            <w:tcW w:w="211" w:type="dxa"/>
            <w:tcBorders/>
            <w:shd w:fill="auto" w:val="clear"/>
            <w:vAlign w:val="center"/>
          </w:tcPr>
          <w:p>
            <w:pPr>
              <w:pStyle w:val="TableContents"/>
              <w:spacing w:before="0" w:after="0"/>
              <w:ind w:left="0" w:right="0" w:hanging="0"/>
              <w:jc w:val="right"/>
              <w:rPr/>
            </w:pPr>
            <w:r>
              <w:rPr/>
              <w:t>​</w:t>
            </w:r>
          </w:p>
        </w:tc>
        <w:tc>
          <w:tcPr>
            <w:tcW w:w="19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20,716</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13,542</w:t>
            </w:r>
          </w:p>
        </w:tc>
        <w:tc>
          <w:tcPr>
            <w:tcW w:w="109"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5,970</w:t>
            </w:r>
          </w:p>
        </w:tc>
        <w:tc>
          <w:tcPr>
            <w:tcW w:w="109"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843</w:t>
            </w:r>
          </w:p>
        </w:tc>
        <w:tc>
          <w:tcPr>
            <w:tcW w:w="109"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0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70,601</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liabilities</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81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76,506</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4,776</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109"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jc w:val="right"/>
              <w:rPr/>
            </w:pPr>
            <w:r>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2,252</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376</w:t>
            </w:r>
          </w:p>
        </w:tc>
        <w:tc>
          <w:tcPr>
            <w:tcW w:w="109"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109"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60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0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84,248</w:t>
            </w:r>
          </w:p>
        </w:tc>
      </w:tr>
      <w:tr>
        <w:trPr/>
        <w:tc>
          <w:tcPr>
            <w:tcW w:w="127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Equity</w:t>
            </w:r>
          </w:p>
        </w:tc>
        <w:tc>
          <w:tcPr>
            <w:tcW w:w="109" w:type="dxa"/>
            <w:tcBorders/>
            <w:shd w:fill="auto" w:val="clear"/>
            <w:vAlign w:val="center"/>
          </w:tcPr>
          <w:p>
            <w:pPr>
              <w:pStyle w:val="TableContents"/>
              <w:spacing w:before="0" w:after="0"/>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33,095</w:t>
            </w:r>
          </w:p>
        </w:tc>
        <w:tc>
          <w:tcPr>
            <w:tcW w:w="211" w:type="dxa"/>
            <w:tcBorders/>
            <w:shd w:fill="auto" w:val="clear"/>
            <w:vAlign w:val="center"/>
          </w:tcPr>
          <w:p>
            <w:pPr>
              <w:pStyle w:val="TableContents"/>
              <w:spacing w:before="0" w:after="0"/>
              <w:ind w:left="0" w:right="0" w:hanging="0"/>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685</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13,492</w:t>
            </w:r>
          </w:p>
        </w:tc>
        <w:tc>
          <w:tcPr>
            <w:tcW w:w="109" w:type="dxa"/>
            <w:tcBorders/>
            <w:shd w:fill="auto" w:val="clear"/>
            <w:vAlign w:val="center"/>
          </w:tcPr>
          <w:p>
            <w:pPr>
              <w:pStyle w:val="TableContents"/>
              <w:spacing w:before="0" w:after="0"/>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2,901</w:t>
            </w:r>
          </w:p>
        </w:tc>
        <w:tc>
          <w:tcPr>
            <w:tcW w:w="109" w:type="dxa"/>
            <w:tcBorders/>
            <w:shd w:fill="auto" w:val="clear"/>
            <w:vAlign w:val="center"/>
          </w:tcPr>
          <w:p>
            <w:pPr>
              <w:pStyle w:val="TableContents"/>
              <w:spacing w:before="0" w:after="0"/>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8,526</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4,319</w:t>
            </w:r>
          </w:p>
        </w:tc>
        <w:tc>
          <w:tcPr>
            <w:tcW w:w="109" w:type="dxa"/>
            <w:tcBorders/>
            <w:shd w:fill="auto" w:val="clear"/>
            <w:vAlign w:val="center"/>
          </w:tcPr>
          <w:p>
            <w:pPr>
              <w:pStyle w:val="TableContents"/>
              <w:spacing w:before="0" w:after="0"/>
              <w:ind w:left="0" w:right="0" w:hanging="0"/>
              <w:rPr/>
            </w:pPr>
            <w:r>
              <w:rPr/>
              <w:t>​</w:t>
            </w:r>
          </w:p>
        </w:tc>
        <w:tc>
          <w:tcPr>
            <w:tcW w:w="2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1,378</w:t>
            </w:r>
          </w:p>
        </w:tc>
        <w:tc>
          <w:tcPr>
            <w:tcW w:w="109" w:type="dxa"/>
            <w:tcBorders/>
            <w:shd w:fill="auto" w:val="clear"/>
            <w:vAlign w:val="center"/>
          </w:tcPr>
          <w:p>
            <w:pPr>
              <w:pStyle w:val="TableContents"/>
              <w:spacing w:before="0" w:after="0"/>
              <w:ind w:left="0" w:right="0" w:hanging="0"/>
              <w:rPr/>
            </w:pPr>
            <w:r>
              <w:rPr/>
              <w:t>​</w:t>
            </w:r>
          </w:p>
        </w:tc>
        <w:tc>
          <w:tcPr>
            <w:tcW w:w="3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64,494</w:t>
            </w:r>
          </w:p>
        </w:tc>
      </w:tr>
      <w:tr>
        <w:trPr/>
        <w:tc>
          <w:tcPr>
            <w:tcW w:w="127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Total liabilities and equity</w:t>
            </w:r>
          </w:p>
        </w:tc>
        <w:tc>
          <w:tcPr>
            <w:tcW w:w="109" w:type="dxa"/>
            <w:tcBorders/>
            <w:shd w:fill="CCEEFF" w:val="clear"/>
            <w:vAlign w:val="center"/>
          </w:tcPr>
          <w:p>
            <w:pPr>
              <w:pStyle w:val="TableContents"/>
              <w:spacing w:before="0" w:after="0"/>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81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139,131</w:t>
            </w:r>
          </w:p>
        </w:tc>
        <w:tc>
          <w:tcPr>
            <w:tcW w:w="211" w:type="dxa"/>
            <w:tcBorders/>
            <w:shd w:fill="CCEEFF" w:val="clear"/>
            <w:vAlign w:val="center"/>
          </w:tcPr>
          <w:p>
            <w:pPr>
              <w:pStyle w:val="TableContents"/>
              <w:spacing w:before="0" w:after="0"/>
              <w:ind w:left="0" w:right="0" w:hanging="0"/>
              <w:jc w:val="right"/>
              <w:rPr/>
            </w:pPr>
            <w:r>
              <w:rPr/>
              <w:t>​</w:t>
            </w:r>
          </w:p>
        </w:tc>
        <w:tc>
          <w:tcPr>
            <w:tcW w:w="19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3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7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38,984</w:t>
            </w:r>
          </w:p>
        </w:tc>
        <w:tc>
          <w:tcPr>
            <w:tcW w:w="109" w:type="dxa"/>
            <w:tcBorders/>
            <w:shd w:fill="CCEEFF" w:val="clear"/>
            <w:vAlign w:val="center"/>
          </w:tcPr>
          <w:p>
            <w:pPr>
              <w:pStyle w:val="TableContents"/>
              <w:spacing w:before="0" w:after="0"/>
              <w:ind w:left="0" w:right="0" w:hanging="0"/>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16,629</w:t>
            </w:r>
          </w:p>
        </w:tc>
        <w:tc>
          <w:tcPr>
            <w:tcW w:w="109" w:type="dxa"/>
            <w:tcBorders/>
            <w:shd w:fill="CCEEFF" w:val="clear"/>
            <w:vAlign w:val="center"/>
          </w:tcPr>
          <w:p>
            <w:pPr>
              <w:pStyle w:val="TableContents"/>
              <w:spacing w:before="0" w:after="0"/>
              <w:ind w:left="0" w:right="0" w:hanging="0"/>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10,778</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10,665</w:t>
            </w:r>
          </w:p>
        </w:tc>
        <w:tc>
          <w:tcPr>
            <w:tcW w:w="109" w:type="dxa"/>
            <w:tcBorders/>
            <w:shd w:fill="CCEEFF" w:val="clear"/>
            <w:vAlign w:val="center"/>
          </w:tcPr>
          <w:p>
            <w:pPr>
              <w:pStyle w:val="TableContents"/>
              <w:spacing w:before="0" w:after="0"/>
              <w:ind w:left="0" w:right="0" w:hanging="0"/>
              <w:rPr/>
            </w:pPr>
            <w:r>
              <w:rPr/>
              <w:t>​</w:t>
            </w:r>
          </w:p>
        </w:tc>
        <w:tc>
          <w:tcPr>
            <w:tcW w:w="25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2,368</w:t>
            </w:r>
          </w:p>
        </w:tc>
        <w:tc>
          <w:tcPr>
            <w:tcW w:w="109" w:type="dxa"/>
            <w:tcBorders/>
            <w:shd w:fill="CCEEFF" w:val="clear"/>
            <w:vAlign w:val="center"/>
          </w:tcPr>
          <w:p>
            <w:pPr>
              <w:pStyle w:val="TableContents"/>
              <w:spacing w:before="0" w:after="0"/>
              <w:ind w:left="0" w:right="0" w:hanging="0"/>
              <w:rPr/>
            </w:pPr>
            <w:r>
              <w:rPr/>
              <w:t>​</w:t>
            </w:r>
          </w:p>
        </w:tc>
        <w:tc>
          <w:tcPr>
            <w:tcW w:w="3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98</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80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8"/>
              </w:rPr>
            </w:pPr>
            <w:r>
              <w:rPr>
                <w:rFonts w:ascii="Times New Roman;Times;serif" w:hAnsi="Times New Roman;Times;serif"/>
                <w:b/>
                <w:sz w:val="18"/>
              </w:rPr>
              <w:t>219,343</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0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Investment in real estate includes the land contributed to the Latitude Margaritaville Watersound JV at the Company’s historical cost basis and additional completed infrastructure improvements.</w:t>
            </w:r>
          </w:p>
        </w:tc>
      </w:tr>
    </w:tbl>
    <w:tbl>
      <w:tblPr>
        <w:tblW w:w="8372" w:type="dxa"/>
        <w:jc w:val="left"/>
        <w:tblInd w:w="0" w:type="dxa"/>
        <w:tblCellMar>
          <w:top w:w="0" w:type="dxa"/>
          <w:left w:w="0" w:type="dxa"/>
          <w:bottom w:w="0" w:type="dxa"/>
          <w:right w:w="0" w:type="dxa"/>
        </w:tblCellMar>
      </w:tblPr>
      <w:tblGrid>
        <w:gridCol w:w="331"/>
        <w:gridCol w:w="8041"/>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80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995" w:name="Tc_cUAw8GGvCUKY4bGLGJBc3g_14_26"/>
      <w:bookmarkStart w:id="996" w:name="Tc_3--INlaSJUCMN6SW-3w94g_14_23"/>
      <w:bookmarkStart w:id="997" w:name="Tc_C8jZ3ohB6U2zW9Zf2FF21Q_14_21"/>
      <w:bookmarkStart w:id="998" w:name="Tc_fNq45JZCrkCBXrjhgepZfQ_14_20"/>
      <w:bookmarkStart w:id="999" w:name="Tc_PANe87jj6E-kLAadoC-gkQ_14_17"/>
      <w:bookmarkStart w:id="1000" w:name="Tc_mX8f4vijl0afy487plN0Iw_14_15"/>
      <w:bookmarkStart w:id="1001" w:name="Tc_3598tI0eJUKsVW3IcMXkjA_14_14"/>
      <w:bookmarkStart w:id="1002" w:name="Tc_BmASq2eaQEqBbjmWFWzTeg_14_11"/>
      <w:bookmarkStart w:id="1003" w:name="Tc_fCDlx69wska7RlVJFS5Zog_14_9"/>
      <w:bookmarkStart w:id="1004" w:name="Tc_pV2aydNvWkWFIoSo-OpBZw_14_8"/>
      <w:bookmarkStart w:id="1005" w:name="Tc_XDE7m86ah02V2lYrCKuZVg_14_5"/>
      <w:bookmarkStart w:id="1006" w:name="Tc_dDEgHk9sUEOV7viNB3vP9g_14_2"/>
      <w:bookmarkStart w:id="1007" w:name="Tc_jH46nrD_A06omhHtep2jQA_14_0"/>
      <w:bookmarkStart w:id="1008" w:name="Tc_F9FxwOz_I0Gi81xe95cfTg_13_24"/>
      <w:bookmarkStart w:id="1009" w:name="Tc_KO9FtjX4tkK0q-fLQtF1uw_13_21"/>
      <w:bookmarkStart w:id="1010" w:name="Tc_p3UfAkVXLU2DNCwCovyjvg_13_15"/>
      <w:bookmarkStart w:id="1011" w:name="Tc_4q_w8rPGxEa9gvXICvkJEA_13_9"/>
      <w:bookmarkStart w:id="1012" w:name="Tc_7JyqxASkg02gF2x9yHJ1HA_13_0"/>
      <w:bookmarkStart w:id="1013" w:name="Tc_IKszK6e9HEezteqe0EePiQ_12_24"/>
      <w:bookmarkStart w:id="1014" w:name="Tc_TI7WBBrLNkCNvbFr-CS9Ng_12_21"/>
      <w:bookmarkStart w:id="1015" w:name="Tc_hw2HikSXUUqoFH5dEBi9xQ_12_19"/>
      <w:bookmarkStart w:id="1016" w:name="Tc_m7Id5DIUXE28lJuwC9Zh4w_12_15"/>
      <w:bookmarkStart w:id="1017" w:name="Tc_F_MVc21mXkaxgy35BQ8rtw_12_9"/>
      <w:bookmarkStart w:id="1018" w:name="Tc_jMCPoBlP90eSJQKX_7mgOQ_12_3"/>
      <w:bookmarkStart w:id="1019" w:name="Tc_ytX86h8AXUKi4sW-XaK-8Q_12_0"/>
      <w:bookmarkStart w:id="1020" w:name="Tc_rjrtAHZcJkmyg_CM2fWiVw_11_24"/>
      <w:bookmarkStart w:id="1021" w:name="Tc_RB9yJmtbHk2fkT7YRTSUeg_11_21"/>
      <w:bookmarkStart w:id="1022" w:name="Tc_WN2IZ66Yf0-R5XMiAmQiaQ_11_15"/>
      <w:bookmarkStart w:id="1023" w:name="Tc_KjmvnSEJlU-3iaQuKWLEGw_11_9"/>
      <w:bookmarkStart w:id="1024" w:name="Tc_-ukQxU3GDkSfYaZOe9PhUQ_11_0"/>
      <w:bookmarkStart w:id="1025" w:name="Tc_JLxh-FyIf066DSTyk_BChQ_10_0"/>
      <w:bookmarkStart w:id="1026" w:name="Tc_8ksJ8hFlxEuuF8OWvFRvEg_9_21"/>
      <w:bookmarkStart w:id="1027" w:name="Tc_4pePDlFrfkiTQC-NBbi6_w_9_15"/>
      <w:bookmarkStart w:id="1028" w:name="Tc_NKPr5_lXxkWLHV2yoT5bWw_9_9"/>
      <w:bookmarkStart w:id="1029" w:name="Tc_dcsV71RiVkKNRsvzHbrsEw_9_0"/>
      <w:bookmarkStart w:id="1030" w:name="Tc_3kau4q0P5ky7ex47K3yU2w_8_21"/>
      <w:bookmarkStart w:id="1031" w:name="Tc_nfGDZqaWeUCqbdBD4372yA_8_15"/>
      <w:bookmarkStart w:id="1032" w:name="Tc_VX4ABiftmk62ysUaMoo1xA_8_9"/>
      <w:bookmarkStart w:id="1033" w:name="Tc_EFr_uG05PUeCahOQI5ZPag_8_0"/>
      <w:bookmarkStart w:id="1034" w:name="Tc_WrNGIwtKYEOKKtMRRshptw_7_24"/>
      <w:bookmarkStart w:id="1035" w:name="Tc_ALJlGMruskeKdyC5ZiYcjw_7_21"/>
      <w:bookmarkStart w:id="1036" w:name="Tc_uCsIUZHnckmuF5tcvGIn5A_7_15"/>
      <w:bookmarkStart w:id="1037" w:name="Tc_XYEV5FL6AkWhHbtdWsO_Og_7_9"/>
      <w:bookmarkStart w:id="1038" w:name="Tc_hte3Xmc80E2hCUO5P_4qZg_7_0"/>
      <w:bookmarkStart w:id="1039" w:name="Tc_KA1ykUfVAEe7JEZvFiR4XA_6_24"/>
      <w:bookmarkStart w:id="1040" w:name="Tc_TzihH38gikmL2ut-LeswAQ_6_21"/>
      <w:bookmarkStart w:id="1041" w:name="Tc_aqucK3qAcEu1YwCbAunHzw_6_18"/>
      <w:bookmarkStart w:id="1042" w:name="Tc_S0rS9J5LkUqdwgHYGMWXuQ_6_15"/>
      <w:bookmarkStart w:id="1043" w:name="Tc_EhmLA7rPck6erJhdhvTdGQ_6_12"/>
      <w:bookmarkStart w:id="1044" w:name="Tc_LEy_Spw28EiiYXHn43YCVQ_6_9"/>
      <w:bookmarkStart w:id="1045" w:name="Tc_jn0HR42Zu0alVlUAq4yD4A_6_6"/>
      <w:bookmarkStart w:id="1046" w:name="Tc_48_ngu6-ak2EOlV11aLC3Q_6_0"/>
      <w:bookmarkStart w:id="1047" w:name="Tc_J3LIqkFjt02J5fUqOha0kQ_5_21"/>
      <w:bookmarkStart w:id="1048" w:name="Tc_K1poMdUG-0qBUwAiNPtYpw_5_15"/>
      <w:bookmarkStart w:id="1049" w:name="Tc_-V0ldog6qkGiGHFyjVeX1Q_5_9"/>
      <w:bookmarkStart w:id="1050" w:name="Tc_g5bZoJXhrkKMoyNHL_ZP-w_5_0"/>
      <w:bookmarkStart w:id="1051" w:name="Tc_F4aaAjUiv0i9ZoCCJ9Q3nA_4_0"/>
      <w:bookmarkStart w:id="1052" w:name="Tc_VpI4RkpnxEqNZ9bGwG35-w_3_26"/>
      <w:bookmarkStart w:id="1053" w:name="Tc_zyAaco4620m_tDVjPnaT5Q_3_23"/>
      <w:bookmarkStart w:id="1054" w:name="Tc_DHX5UMBlL0uyzdHM4nYWpA_3_21"/>
      <w:bookmarkStart w:id="1055" w:name="Tc_0Vpj4GvXkUW4NwJ8vQ5rKw_3_20"/>
      <w:bookmarkStart w:id="1056" w:name="Tc_mmplQm17GkiV2nXc1m8i5w_3_17"/>
      <w:bookmarkStart w:id="1057" w:name="Tc_QaK2-rRV00qOaUhWqSsI3A_3_15"/>
      <w:bookmarkStart w:id="1058" w:name="Tc_LxcaCJAi9Um2TBm3lS4IlQ_3_14"/>
      <w:bookmarkStart w:id="1059" w:name="Tc_Q4b9joX4JEWDXvtoBqrhOQ_3_11"/>
      <w:bookmarkStart w:id="1060" w:name="Tc_keer0KwfAEiYezpgBHru7w_3_9"/>
      <w:bookmarkStart w:id="1061" w:name="Tc_t2Db9-_800uABy6QO7aPmA_3_8"/>
      <w:bookmarkStart w:id="1062" w:name="Tc_y4w8EUwm5025EBnnZuaq4w_3_5"/>
      <w:bookmarkStart w:id="1063" w:name="Tc_H5JxW0Xa-keC_REXflP6lA_3_2"/>
      <w:bookmarkStart w:id="1064" w:name="Tc_KYYfgBsnVkC6rlOtWmCx-A_3_0"/>
      <w:bookmarkStart w:id="1065" w:name="Tc_XKIxZxy0QEqYIQNzxgdI8A_2_26"/>
      <w:bookmarkStart w:id="1066" w:name="Tc_2GM0uIAhkEKRq7fBj-QmUg_2_23"/>
      <w:bookmarkStart w:id="1067" w:name="Tc_c2kChcjgzkWw8R9lNQwyGw_2_20"/>
      <w:bookmarkStart w:id="1068" w:name="Tc_25xrceB3gkWOmyWxh6IH_A_2_17"/>
      <w:bookmarkStart w:id="1069" w:name="Tc__P8-YlMyEkedER6wOgQK1Q_2_14"/>
      <w:bookmarkStart w:id="1070" w:name="Tc_1Tht2PMmEUeoX6yQoJc0rg_2_11"/>
      <w:bookmarkStart w:id="1071" w:name="Tc_UCGrPHSle0C7wQbNqxei5w_2_8"/>
      <w:bookmarkStart w:id="1072" w:name="Tc_NwWCGmuswEGtdNSEsBrY2Q_2_5"/>
      <w:bookmarkStart w:id="1073" w:name="Tc_Tx2PI4jRGUCPf_Q3HahgVA_2_2"/>
      <w:bookmarkStart w:id="1074" w:name="Tc_UpOOXtyohUWxh6NKI9zaVg_1_2"/>
      <w:bookmarkStart w:id="1075" w:name="_712ab56a_7a9a_4b56_93ad_4fc91674471b"/>
      <w:bookmarkStart w:id="1076" w:name="Tc_0quvQc1N1kKOU2cqR1cJ6A_14_26"/>
      <w:bookmarkStart w:id="1077" w:name="Tc_LkBJH9IstESciaDytgbiGQ_14_23"/>
      <w:bookmarkStart w:id="1078" w:name="Tc_m0JJ_YQIlku8bjsmge73yA_14_20"/>
      <w:bookmarkStart w:id="1079" w:name="Tc_BXZyxb1mLkCttVMx0gIPAg_14_17"/>
      <w:bookmarkStart w:id="1080" w:name="Tc_QYaJDytSsEiFzcL2gfdYeg_14_15"/>
      <w:bookmarkStart w:id="1081" w:name="Tc_tlC-Lgf-UUOlIjYgsqH8Lg_14_14"/>
      <w:bookmarkStart w:id="1082" w:name="Tc_HCpqtryhSEqDCJxTaM0Wtw_14_11"/>
      <w:bookmarkStart w:id="1083" w:name="Tc_sbt--JnzGkmc3Br4ZXC2qA_14_9"/>
      <w:bookmarkStart w:id="1084" w:name="Tc_xOWukHpCM0GfM0mQyDWAGw_14_8"/>
      <w:bookmarkStart w:id="1085" w:name="Tc_7w73LZnjRUGZvl0Ll9o4NA_14_5"/>
      <w:bookmarkStart w:id="1086" w:name="Tc_Rjag3kKtNU25yFosrYGgxw_14_2"/>
      <w:bookmarkStart w:id="1087" w:name="Tc_01HKsNfPsUeLulZOlVrM-g_14_0"/>
      <w:bookmarkStart w:id="1088" w:name="Tc_xO7mWPZeK0G3gG4f50EAFw_13_24"/>
      <w:bookmarkStart w:id="1089" w:name="Tc_53pSuiyBrU6gWOYv-x6gww_13_15"/>
      <w:bookmarkStart w:id="1090" w:name="Tc_0Qdniwn9rUu31kzwuLDWqA_13_9"/>
      <w:bookmarkStart w:id="1091" w:name="Tc_1pXg4ojrAkOtaq57R31kFQ_13_6"/>
      <w:bookmarkStart w:id="1092" w:name="Tc_-zjplkoLJkKJxPSFGMDYOg_13_0"/>
      <w:bookmarkStart w:id="1093" w:name="Tc_In22M3Ou1UO8SwMhKZGDcA_12_24"/>
      <w:bookmarkStart w:id="1094" w:name="Tc_qvtLCZ-N_EmikJpsTqMk7Q_12_21"/>
      <w:bookmarkStart w:id="1095" w:name="Tc_ESJaNKcaG06T9-kGr05ZuQ_12_19"/>
      <w:bookmarkStart w:id="1096" w:name="Tc_nDoM8rRdOU-FGq3VklzgBQ_12_15"/>
      <w:bookmarkStart w:id="1097" w:name="Tc_GYPm-VSLWUO9Xn9hluCmGg_12_9"/>
      <w:bookmarkStart w:id="1098" w:name="Tc_uIhD11kfN0ar4qvMrnwfOA_12_6"/>
      <w:bookmarkStart w:id="1099" w:name="Tc_uOBbEvLXlEeE_7cDWMdBag_12_0"/>
      <w:bookmarkStart w:id="1100" w:name="Tc_Cm3mP6n8RUii7GJ2ORUjJw_11_24"/>
      <w:bookmarkStart w:id="1101" w:name="Tc_mcRPd3j3BESBsml8UArBdw_11_15"/>
      <w:bookmarkStart w:id="1102" w:name="Tc_t_EzZHU6HU6-PtIvpKojuQ_11_9"/>
      <w:bookmarkStart w:id="1103" w:name="Tc_u1nNol4-QkWzSYGvia7cLw_11_6"/>
      <w:bookmarkStart w:id="1104" w:name="Tc_tCY3A7hqc0yw4UA84fsssQ_11_0"/>
      <w:bookmarkStart w:id="1105" w:name="Tc_b87fcucb6UasZHWdJHeHCQ_10_0"/>
      <w:bookmarkStart w:id="1106" w:name="Tc_FuaVkuTuIEC5DAm7xdMoUg_9_15"/>
      <w:bookmarkStart w:id="1107" w:name="Tc_SEzeo37axkSSbNTFbEyTUw_9_9"/>
      <w:bookmarkStart w:id="1108" w:name="Tc_JkBbhRH1nEad0R2MXKkGMg_9_0"/>
      <w:bookmarkStart w:id="1109" w:name="Tc_XH04wFIx-kGaxNEP1Mi8NQ_8_15"/>
      <w:bookmarkStart w:id="1110" w:name="Tc_uSvbZrkc_EmDWphyDv2kUg_8_9"/>
      <w:bookmarkStart w:id="1111" w:name="Tc_RYHdGiU_CUOIhMQV339xSQ_8_0"/>
      <w:bookmarkStart w:id="1112" w:name="Tc_a4IKBHGRFEOwaXYisF5YfQ_7_24"/>
      <w:bookmarkStart w:id="1113" w:name="Tc_5Iy0mm5pl0iDdp-ZDR63oA_7_15"/>
      <w:bookmarkStart w:id="1114" w:name="Tc_2GbrIDhqhE25QiXxalzuxg_7_9"/>
      <w:bookmarkStart w:id="1115" w:name="Tc_Kq306lISxUCZTdsRl4y0ZQ_7_6"/>
      <w:bookmarkStart w:id="1116" w:name="Tc_V0vqqA33_k6hwdzKrj1fFQ_7_0"/>
      <w:bookmarkStart w:id="1117" w:name="Tc_aam5i0DCBkmbx7ex_Ir6lQ_6_24"/>
      <w:bookmarkStart w:id="1118" w:name="Tc_LU64u6NC-UWEUQt8KGoKDw_6_18"/>
      <w:bookmarkStart w:id="1119" w:name="Tc_kRG2SN6ab06eGdCAbB0ENA_6_15"/>
      <w:bookmarkStart w:id="1120" w:name="Tc_ZcCQrHWKK0SnjZ7TpyJ7IQ_6_12"/>
      <w:bookmarkStart w:id="1121" w:name="Tc_FiafAkTTn0SVmP-_RQFcGw_6_9"/>
      <w:bookmarkStart w:id="1122" w:name="Tc_mi8KSraL9U6aANTsH4xDDQ_6_0"/>
      <w:bookmarkStart w:id="1123" w:name="Tc_w5Pk8AxOe0u44xQlz8OlZQ_5_15"/>
      <w:bookmarkStart w:id="1124" w:name="Tc_KxROp-wXiUmio1MK_F777Q_5_9"/>
      <w:bookmarkStart w:id="1125" w:name="Tc_eJML3Ii7RUSR7y9b0rFvXA_5_6"/>
      <w:bookmarkStart w:id="1126" w:name="Tc_dsIRoBXBLE6SgR8vd5cYOg_5_0"/>
      <w:bookmarkStart w:id="1127" w:name="Tc_rm1vOF2CcE2x7usL4vFAfw_4_0"/>
      <w:bookmarkStart w:id="1128" w:name="Tc_mmsct8kcc0qCJuZhDIdeXg_3_26"/>
      <w:bookmarkStart w:id="1129" w:name="Tc_cwN4mqLNT0Khr6sAtIM8ug_3_23"/>
      <w:bookmarkStart w:id="1130" w:name="Tc_laJ1jVsAVUGvzkuoELoHXQ_3_20"/>
      <w:bookmarkStart w:id="1131" w:name="Tc_1br38hItUUWtj8BkfDAfXQ_3_17"/>
      <w:bookmarkStart w:id="1132" w:name="Tc_0sBawQzMS0iD0GfLND7NEw_3_15"/>
      <w:bookmarkStart w:id="1133" w:name="Tc_u0WfLv30lEetHvPQNJ85Ng_3_14"/>
      <w:bookmarkStart w:id="1134" w:name="Tc_3yKmwNb9M0anz2b4lmZ7EA_3_11"/>
      <w:bookmarkStart w:id="1135" w:name="Tc_o9J7syFx_Ui0slXUD4zS4w_3_9"/>
      <w:bookmarkStart w:id="1136" w:name="Tc_M4d5Fj8vX0KS63xx76hWyg_3_8"/>
      <w:bookmarkStart w:id="1137" w:name="Tc_jhTYMHgFrkqO100FSXd5ow_3_6"/>
      <w:bookmarkStart w:id="1138" w:name="Tc_Vu9FhpIF_02nv-AnqjrNUA_3_5"/>
      <w:bookmarkStart w:id="1139" w:name="Tc_moCu64tFzk2gDjMSTy-laQ_3_2"/>
      <w:bookmarkStart w:id="1140" w:name="Tc_gj6wZNKZ80SitX9Btc8kNg_3_0"/>
      <w:bookmarkStart w:id="1141" w:name="Tc_Q1YjZ8Ht0UiDtFLREpriLg_2_27"/>
      <w:bookmarkStart w:id="1142" w:name="Tc_y9NUvFzOkE6Bj2DdNULxFA_2_23"/>
      <w:bookmarkStart w:id="1143" w:name="Tc_8aoS86l2SUiiQa-KeOy8HA_2_20"/>
      <w:bookmarkStart w:id="1144" w:name="Tc_aeD5Qs429UyzhAxnd5rEIA_2_17"/>
      <w:bookmarkStart w:id="1145" w:name="Tc_ANVHLcADwkmgq-_q0hFwtQ_2_14"/>
      <w:bookmarkStart w:id="1146" w:name="Tc_YUS_mBMgXU2Ohc-kDCni4A_2_11"/>
      <w:bookmarkStart w:id="1147" w:name="Tc_Hwxg9opcRUO8dJiGgx6zAw_2_8"/>
      <w:bookmarkStart w:id="1148" w:name="Tc_5aYYTmJlVUekTw5WcLM9pQ_2_5"/>
      <w:bookmarkStart w:id="1149" w:name="Tc_sHhxHz9DT0C03MPLLUK6EQ_2_2"/>
      <w:bookmarkStart w:id="1150" w:name="Tc_pgpRmL4zHECinFaNidYtVA_1_2"/>
      <w:bookmarkStart w:id="1151" w:name="_5b46166a_c8ad_4c42_9b43_591d6c820b05"/>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r>
        <w:rPr>
          <w:rFonts w:ascii="Times New Roman;Times;serif" w:hAnsi="Times New Roman;Times;serif"/>
          <w:sz w:val="20"/>
        </w:rPr>
        <w:t>Summarized statements of operations for the Company’s unconsolidated JVs are as follows:</w:t>
      </w:r>
    </w:p>
    <w:tbl>
      <w:tblPr>
        <w:tblW w:w="10205" w:type="dxa"/>
        <w:jc w:val="left"/>
        <w:tblInd w:w="0" w:type="dxa"/>
        <w:tblCellMar>
          <w:top w:w="0" w:type="dxa"/>
          <w:left w:w="0" w:type="dxa"/>
          <w:bottom w:w="0" w:type="dxa"/>
          <w:right w:w="0" w:type="dxa"/>
        </w:tblCellMar>
      </w:tblPr>
      <w:tblGrid>
        <w:gridCol w:w="1140"/>
        <w:gridCol w:w="109"/>
        <w:gridCol w:w="294"/>
        <w:gridCol w:w="904"/>
        <w:gridCol w:w="109"/>
        <w:gridCol w:w="214"/>
        <w:gridCol w:w="390"/>
        <w:gridCol w:w="109"/>
        <w:gridCol w:w="420"/>
        <w:gridCol w:w="745"/>
        <w:gridCol w:w="109"/>
        <w:gridCol w:w="211"/>
        <w:gridCol w:w="551"/>
        <w:gridCol w:w="109"/>
        <w:gridCol w:w="223"/>
        <w:gridCol w:w="393"/>
        <w:gridCol w:w="109"/>
        <w:gridCol w:w="202"/>
        <w:gridCol w:w="526"/>
        <w:gridCol w:w="230"/>
        <w:gridCol w:w="344"/>
        <w:gridCol w:w="662"/>
        <w:gridCol w:w="109"/>
        <w:gridCol w:w="354"/>
        <w:gridCol w:w="680"/>
        <w:gridCol w:w="109"/>
        <w:gridCol w:w="196"/>
        <w:gridCol w:w="654"/>
      </w:tblGrid>
      <w:tr>
        <w:trPr/>
        <w:tc>
          <w:tcPr>
            <w:tcW w:w="11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23900" cy="175260"/>
                      <wp:effectExtent l="0" t="0" r="0" b="0"/>
                      <wp:wrapNone/>
                      <wp:docPr id="120" name="Frame120"/>
                      <a:graphic xmlns:a="http://schemas.openxmlformats.org/drawingml/2006/main">
                        <a:graphicData uri="http://schemas.microsoft.com/office/word/2010/wordprocessingShape">
                          <wps:wsp>
                            <wps:cNvSpPr txBox="1"/>
                            <wps:spPr>
                              <a:xfrm>
                                <a:off x="0" y="0"/>
                                <a:ext cx="723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86690" cy="175260"/>
                      <wp:effectExtent l="0" t="0" r="0" b="0"/>
                      <wp:wrapNone/>
                      <wp:docPr id="122" name="Frame122"/>
                      <a:graphic xmlns:a="http://schemas.openxmlformats.org/drawingml/2006/main">
                        <a:graphicData uri="http://schemas.microsoft.com/office/word/2010/wordprocessingShape">
                          <wps:wsp>
                            <wps:cNvSpPr txBox="1"/>
                            <wps:spPr>
                              <a:xfrm>
                                <a:off x="0" y="0"/>
                                <a:ext cx="186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4040" cy="175260"/>
                      <wp:effectExtent l="0" t="0" r="0" b="0"/>
                      <wp:wrapNone/>
                      <wp:docPr id="123" name="Frame123"/>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5890" cy="175260"/>
                      <wp:effectExtent l="0" t="0" r="0" b="0"/>
                      <wp:wrapNone/>
                      <wp:docPr id="125" name="Frame125"/>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47650" cy="175260"/>
                      <wp:effectExtent l="0" t="0" r="0" b="0"/>
                      <wp:wrapNone/>
                      <wp:docPr id="126" name="Frame126"/>
                      <a:graphic xmlns:a="http://schemas.openxmlformats.org/drawingml/2006/main">
                        <a:graphicData uri="http://schemas.microsoft.com/office/word/2010/wordprocessingShape">
                          <wps:wsp>
                            <wps:cNvSpPr txBox="1"/>
                            <wps:spPr>
                              <a:xfrm>
                                <a:off x="0" y="0"/>
                                <a:ext cx="247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66700" cy="175260"/>
                      <wp:effectExtent l="0" t="0" r="0" b="0"/>
                      <wp:wrapNone/>
                      <wp:docPr id="128" name="Frame128"/>
                      <a:graphic xmlns:a="http://schemas.openxmlformats.org/drawingml/2006/main">
                        <a:graphicData uri="http://schemas.microsoft.com/office/word/2010/wordprocessingShape">
                          <wps:wsp>
                            <wps:cNvSpPr txBox="1"/>
                            <wps:spPr>
                              <a:xfrm>
                                <a:off x="0" y="0"/>
                                <a:ext cx="266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73075" cy="175260"/>
                      <wp:effectExtent l="0" t="0" r="0" b="0"/>
                      <wp:wrapNone/>
                      <wp:docPr id="129" name="Frame129"/>
                      <a:graphic xmlns:a="http://schemas.openxmlformats.org/drawingml/2006/main">
                        <a:graphicData uri="http://schemas.microsoft.com/office/word/2010/wordprocessingShape">
                          <wps:wsp>
                            <wps:cNvSpPr txBox="1"/>
                            <wps:spPr>
                              <a:xfrm>
                                <a:off x="0" y="0"/>
                                <a:ext cx="473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49885" cy="175260"/>
                      <wp:effectExtent l="0" t="0" r="0" b="0"/>
                      <wp:wrapNone/>
                      <wp:docPr id="132" name="Frame132"/>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1605" cy="175260"/>
                      <wp:effectExtent l="0" t="0" r="0" b="0"/>
                      <wp:wrapNone/>
                      <wp:docPr id="134" name="Frame134"/>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49555" cy="175260"/>
                      <wp:effectExtent l="0" t="0" r="0" b="0"/>
                      <wp:wrapNone/>
                      <wp:docPr id="135" name="Frame135"/>
                      <a:graphic xmlns:a="http://schemas.openxmlformats.org/drawingml/2006/main">
                        <a:graphicData uri="http://schemas.microsoft.com/office/word/2010/wordprocessingShape">
                          <wps:wsp>
                            <wps:cNvSpPr txBox="1"/>
                            <wps:spPr>
                              <a:xfrm>
                                <a:off x="0" y="0"/>
                                <a:ext cx="249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8270" cy="175260"/>
                      <wp:effectExtent l="0" t="0" r="0" b="0"/>
                      <wp:wrapNone/>
                      <wp:docPr id="137" name="Frame137"/>
                      <a:graphic xmlns:a="http://schemas.openxmlformats.org/drawingml/2006/main">
                        <a:graphicData uri="http://schemas.microsoft.com/office/word/2010/wordprocessingShape">
                          <wps:wsp>
                            <wps:cNvSpPr txBox="1"/>
                            <wps:spPr>
                              <a:xfrm>
                                <a:off x="0" y="0"/>
                                <a:ext cx="128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34010" cy="175260"/>
                      <wp:effectExtent l="0" t="0" r="0" b="0"/>
                      <wp:wrapNone/>
                      <wp:docPr id="138" name="Frame138"/>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6050" cy="175260"/>
                      <wp:effectExtent l="0" t="0" r="0" b="0"/>
                      <wp:wrapNone/>
                      <wp:docPr id="139" name="Frame139"/>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8440" cy="175260"/>
                      <wp:effectExtent l="0" t="0" r="0" b="0"/>
                      <wp:wrapNone/>
                      <wp:docPr id="140" name="Frame140"/>
                      <a:graphic xmlns:a="http://schemas.openxmlformats.org/drawingml/2006/main">
                        <a:graphicData uri="http://schemas.microsoft.com/office/word/2010/wordprocessingShape">
                          <wps:wsp>
                            <wps:cNvSpPr txBox="1"/>
                            <wps:spPr>
                              <a:xfrm>
                                <a:off x="0" y="0"/>
                                <a:ext cx="218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20370" cy="175260"/>
                      <wp:effectExtent l="0" t="0" r="0" b="0"/>
                      <wp:wrapNone/>
                      <wp:docPr id="141" name="Frame141"/>
                      <a:graphic xmlns:a="http://schemas.openxmlformats.org/drawingml/2006/main">
                        <a:graphicData uri="http://schemas.microsoft.com/office/word/2010/wordprocessingShape">
                          <wps:wsp>
                            <wps:cNvSpPr txBox="1"/>
                            <wps:spPr>
                              <a:xfrm>
                                <a:off x="0" y="0"/>
                                <a:ext cx="420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24790" cy="175260"/>
                      <wp:effectExtent l="0" t="0" r="0" b="0"/>
                      <wp:wrapNone/>
                      <wp:docPr id="143" name="Frame143"/>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31800" cy="175260"/>
                      <wp:effectExtent l="0" t="0" r="0" b="0"/>
                      <wp:wrapNone/>
                      <wp:docPr id="144" name="Frame144"/>
                      <a:graphic xmlns:a="http://schemas.openxmlformats.org/drawingml/2006/main">
                        <a:graphicData uri="http://schemas.microsoft.com/office/word/2010/wordprocessingShape">
                          <wps:wsp>
                            <wps:cNvSpPr txBox="1"/>
                            <wps:spPr>
                              <a:xfrm>
                                <a:off x="0" y="0"/>
                                <a:ext cx="431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4460" cy="175260"/>
                      <wp:effectExtent l="0" t="0" r="0" b="0"/>
                      <wp:wrapNone/>
                      <wp:docPr id="146" name="Frame14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15290" cy="175260"/>
                      <wp:effectExtent l="0" t="0" r="0" b="0"/>
                      <wp:wrapNone/>
                      <wp:docPr id="147" name="Frame147"/>
                      <a:graphic xmlns:a="http://schemas.openxmlformats.org/drawingml/2006/main">
                        <a:graphicData uri="http://schemas.microsoft.com/office/word/2010/wordprocessingShape">
                          <wps:wsp>
                            <wps:cNvSpPr txBox="1"/>
                            <wps:spPr>
                              <a:xfrm>
                                <a:off x="0" y="0"/>
                                <a:ext cx="415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4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956"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March 31, 2023</w:t>
            </w:r>
          </w:p>
        </w:tc>
      </w:tr>
      <w:tr>
        <w:trPr/>
        <w:tc>
          <w:tcPr>
            <w:tcW w:w="114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98"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shd w:fill="auto" w:val="clear"/>
            <w:vAlign w:val="center"/>
          </w:tcPr>
          <w:p>
            <w:pPr>
              <w:pStyle w:val="TableContents"/>
              <w:spacing w:before="0" w:after="0"/>
              <w:ind w:left="0" w:right="0" w:hanging="0"/>
              <w:jc w:val="center"/>
              <w:rPr/>
            </w:pPr>
            <w:r>
              <w:rPr/>
              <w:t>​</w:t>
            </w:r>
          </w:p>
        </w:tc>
        <w:tc>
          <w:tcPr>
            <w:tcW w:w="604"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Sea Sound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shd w:fill="auto" w:val="clear"/>
            <w:vAlign w:val="center"/>
          </w:tcPr>
          <w:p>
            <w:pPr>
              <w:pStyle w:val="TableContents"/>
              <w:spacing w:before="0" w:after="0"/>
              <w:ind w:left="0" w:right="0" w:hanging="0"/>
              <w:jc w:val="center"/>
              <w:rPr/>
            </w:pPr>
            <w:r>
              <w:rPr/>
              <w:t>​</w:t>
            </w:r>
          </w:p>
        </w:tc>
        <w:tc>
          <w:tcPr>
            <w:tcW w:w="1165"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Watersound Fountains Independent Living JV </w:t>
            </w:r>
            <w:r>
              <w:rPr>
                <w:rFonts w:ascii="Times New Roman;Times;serif" w:hAnsi="Times New Roman;Times;serif"/>
                <w:b/>
                <w:sz w:val="11"/>
              </w:rPr>
              <w:t>(c)</w:t>
            </w:r>
          </w:p>
        </w:tc>
        <w:tc>
          <w:tcPr>
            <w:tcW w:w="109" w:type="dxa"/>
            <w:tcBorders/>
            <w:shd w:fill="auto" w:val="clear"/>
            <w:vAlign w:val="center"/>
          </w:tcPr>
          <w:p>
            <w:pPr>
              <w:pStyle w:val="TableContents"/>
              <w:spacing w:before="0" w:after="0"/>
              <w:ind w:left="0" w:right="0" w:hanging="0"/>
              <w:jc w:val="center"/>
              <w:rPr/>
            </w:pPr>
            <w:r>
              <w:rPr/>
              <w:t>​</w:t>
            </w:r>
          </w:p>
        </w:tc>
        <w:tc>
          <w:tcPr>
            <w:tcW w:w="7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shd w:fill="auto" w:val="clear"/>
            <w:vAlign w:val="center"/>
          </w:tcPr>
          <w:p>
            <w:pPr>
              <w:pStyle w:val="TableContents"/>
              <w:spacing w:before="0" w:after="0"/>
              <w:ind w:left="0" w:right="0" w:hanging="0"/>
              <w:jc w:val="center"/>
              <w:rPr/>
            </w:pPr>
            <w:r>
              <w:rPr/>
              <w:t>​</w:t>
            </w:r>
          </w:p>
        </w:tc>
        <w:tc>
          <w:tcPr>
            <w:tcW w:w="616"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Pier Park RI JV </w:t>
            </w:r>
            <w:r>
              <w:rPr>
                <w:rFonts w:ascii="Times New Roman;Times;serif" w:hAnsi="Times New Roman;Times;serif"/>
                <w:b/>
                <w:sz w:val="11"/>
              </w:rPr>
              <w:t>(c)</w:t>
            </w:r>
          </w:p>
        </w:tc>
        <w:tc>
          <w:tcPr>
            <w:tcW w:w="109" w:type="dxa"/>
            <w:tcBorders/>
            <w:shd w:fill="auto" w:val="clear"/>
            <w:vAlign w:val="center"/>
          </w:tcPr>
          <w:p>
            <w:pPr>
              <w:pStyle w:val="TableContents"/>
              <w:spacing w:before="0" w:after="0"/>
              <w:ind w:left="0" w:right="0" w:hanging="0"/>
              <w:jc w:val="center"/>
              <w:rPr/>
            </w:pPr>
            <w:r>
              <w:rPr/>
              <w:t>​</w:t>
            </w:r>
          </w:p>
        </w:tc>
        <w:tc>
          <w:tcPr>
            <w:tcW w:w="7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30" w:type="dxa"/>
            <w:tcBorders/>
            <w:shd w:fill="auto" w:val="clear"/>
            <w:vAlign w:val="center"/>
          </w:tcPr>
          <w:p>
            <w:pPr>
              <w:pStyle w:val="TableContents"/>
              <w:spacing w:before="0" w:after="0"/>
              <w:ind w:left="0" w:right="0" w:hanging="0"/>
              <w:jc w:val="center"/>
              <w:rPr/>
            </w:pPr>
            <w:r>
              <w:rPr/>
              <w:t>​</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shd w:fill="auto" w:val="clear"/>
            <w:vAlign w:val="center"/>
          </w:tcPr>
          <w:p>
            <w:pPr>
              <w:pStyle w:val="TableContents"/>
              <w:spacing w:before="0" w:after="0"/>
              <w:ind w:left="0" w:right="0" w:hanging="0"/>
              <w:jc w:val="center"/>
              <w:rPr/>
            </w:pPr>
            <w:r>
              <w:rPr/>
              <w:t>​</w:t>
            </w:r>
          </w:p>
        </w:tc>
        <w:tc>
          <w:tcPr>
            <w:tcW w:w="10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5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14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spacing w:before="0" w:after="0"/>
              <w:ind w:left="0" w:right="0" w:hanging="0"/>
              <w:rPr/>
            </w:pPr>
            <w:r>
              <w:rPr/>
              <w:t>​</w:t>
            </w:r>
          </w:p>
        </w:tc>
        <w:tc>
          <w:tcPr>
            <w:tcW w:w="29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76,429</w:t>
            </w:r>
          </w:p>
        </w:tc>
        <w:tc>
          <w:tcPr>
            <w:tcW w:w="109"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9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2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4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898</w:t>
            </w:r>
          </w:p>
        </w:tc>
        <w:tc>
          <w:tcPr>
            <w:tcW w:w="109"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2"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3,519</w:t>
            </w:r>
          </w:p>
        </w:tc>
        <w:tc>
          <w:tcPr>
            <w:tcW w:w="230" w:type="dxa"/>
            <w:tcBorders/>
            <w:shd w:fill="CCEEFF" w:val="clear"/>
            <w:vAlign w:val="center"/>
          </w:tcPr>
          <w:p>
            <w:pPr>
              <w:pStyle w:val="TableContents"/>
              <w:spacing w:before="0" w:after="0"/>
              <w:ind w:left="0" w:right="0" w:hanging="0"/>
              <w:rPr/>
            </w:pPr>
            <w:r>
              <w:rPr/>
              <w:t>​</w:t>
            </w:r>
          </w:p>
        </w:tc>
        <w:tc>
          <w:tcPr>
            <w:tcW w:w="34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557</w:t>
            </w:r>
          </w:p>
        </w:tc>
        <w:tc>
          <w:tcPr>
            <w:tcW w:w="109" w:type="dxa"/>
            <w:tcBorders/>
            <w:shd w:fill="CCEEFF" w:val="clear"/>
            <w:vAlign w:val="center"/>
          </w:tcPr>
          <w:p>
            <w:pPr>
              <w:pStyle w:val="TableContents"/>
              <w:spacing w:before="0" w:after="0"/>
              <w:ind w:left="0" w:right="0" w:hanging="0"/>
              <w:rPr/>
            </w:pPr>
            <w:r>
              <w:rPr/>
              <w:t>​</w:t>
            </w:r>
          </w:p>
        </w:tc>
        <w:tc>
          <w:tcPr>
            <w:tcW w:w="35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431</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5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81,834</w:t>
            </w:r>
          </w:p>
        </w:tc>
      </w:tr>
      <w:tr>
        <w:trPr/>
        <w:tc>
          <w:tcPr>
            <w:tcW w:w="114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Expenses:</w:t>
            </w:r>
          </w:p>
        </w:tc>
        <w:tc>
          <w:tcPr>
            <w:tcW w:w="109"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pPr>
            <w:r>
              <w:rPr/>
              <w:t>​</w:t>
            </w:r>
          </w:p>
        </w:tc>
        <w:tc>
          <w:tcPr>
            <w:tcW w:w="90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39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2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2"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54" w:type="dxa"/>
            <w:tcBorders/>
            <w:shd w:fill="auto" w:val="clear"/>
            <w:vAlign w:val="center"/>
          </w:tcPr>
          <w:p>
            <w:pPr>
              <w:pStyle w:val="TableContents"/>
              <w:spacing w:before="0" w:after="0"/>
              <w:ind w:left="0" w:right="0" w:hanging="0"/>
              <w:rPr/>
            </w:pPr>
            <w:r>
              <w:rPr/>
              <w:t>​</w:t>
            </w:r>
          </w:p>
        </w:tc>
        <w:tc>
          <w:tcPr>
            <w:tcW w:w="68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4" w:type="dxa"/>
            <w:tcBorders/>
            <w:shd w:fill="auto" w:val="clear"/>
            <w:vAlign w:val="center"/>
          </w:tcPr>
          <w:p>
            <w:pPr>
              <w:pStyle w:val="TableContents"/>
              <w:spacing w:before="0" w:after="0"/>
              <w:ind w:left="0" w:right="0" w:hanging="0"/>
              <w:jc w:val="right"/>
              <w:rPr/>
            </w:pPr>
            <w:r>
              <w:rPr/>
              <w:t>​</w:t>
            </w:r>
          </w:p>
        </w:tc>
      </w:tr>
      <w:tr>
        <w:trPr/>
        <w:tc>
          <w:tcPr>
            <w:tcW w:w="114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pPr>
            <w:r>
              <w:rPr/>
              <w:t>​</w:t>
            </w:r>
          </w:p>
        </w:tc>
        <w:tc>
          <w:tcPr>
            <w:tcW w:w="90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64,478</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390"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20"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692</w:t>
            </w:r>
          </w:p>
        </w:tc>
        <w:tc>
          <w:tcPr>
            <w:tcW w:w="109"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jc w:val="right"/>
              <w:rPr/>
            </w:pPr>
            <w:r>
              <w:rPr/>
              <w:t>​</w:t>
            </w:r>
          </w:p>
        </w:tc>
        <w:tc>
          <w:tcPr>
            <w:tcW w:w="39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2"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3,508</w:t>
            </w:r>
          </w:p>
        </w:tc>
        <w:tc>
          <w:tcPr>
            <w:tcW w:w="230"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475</w:t>
            </w:r>
          </w:p>
        </w:tc>
        <w:tc>
          <w:tcPr>
            <w:tcW w:w="109"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rPr/>
            </w:pPr>
            <w:r>
              <w:rPr/>
              <w:t>​</w:t>
            </w:r>
          </w:p>
        </w:tc>
        <w:tc>
          <w:tcPr>
            <w:tcW w:w="68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376</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69,529</w:t>
            </w:r>
          </w:p>
        </w:tc>
      </w:tr>
      <w:tr>
        <w:trPr/>
        <w:tc>
          <w:tcPr>
            <w:tcW w:w="114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operating expenses</w:t>
            </w:r>
          </w:p>
        </w:tc>
        <w:tc>
          <w:tcPr>
            <w:tcW w:w="109"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pPr>
            <w:r>
              <w:rPr/>
              <w:t>​</w:t>
            </w:r>
          </w:p>
        </w:tc>
        <w:tc>
          <w:tcPr>
            <w:tcW w:w="90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3,997</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39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shd w:fill="auto" w:val="clear"/>
            <w:vAlign w:val="center"/>
          </w:tcPr>
          <w:p>
            <w:pPr>
              <w:pStyle w:val="TableContents"/>
              <w:spacing w:before="0" w:after="0"/>
              <w:ind w:left="0" w:right="0" w:hanging="0"/>
              <w:rPr/>
            </w:pPr>
            <w:r>
              <w:rPr/>
              <w:t>​</w:t>
            </w:r>
          </w:p>
        </w:tc>
        <w:tc>
          <w:tcPr>
            <w:tcW w:w="42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2"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shd w:fill="auto" w:val="clear"/>
            <w:vAlign w:val="center"/>
          </w:tcPr>
          <w:p>
            <w:pPr>
              <w:pStyle w:val="TableContents"/>
              <w:spacing w:before="0" w:after="0"/>
              <w:ind w:left="0" w:right="0" w:hanging="0"/>
              <w:rPr/>
            </w:pPr>
            <w:r>
              <w:rPr/>
              <w:t>​</w:t>
            </w:r>
          </w:p>
        </w:tc>
        <w:tc>
          <w:tcPr>
            <w:tcW w:w="354" w:type="dxa"/>
            <w:tcBorders/>
            <w:shd w:fill="auto" w:val="clear"/>
            <w:vAlign w:val="center"/>
          </w:tcPr>
          <w:p>
            <w:pPr>
              <w:pStyle w:val="TableContents"/>
              <w:spacing w:before="0" w:after="0"/>
              <w:ind w:left="0" w:right="0" w:hanging="0"/>
              <w:rPr/>
            </w:pPr>
            <w:r>
              <w:rPr/>
              <w:t>​</w:t>
            </w:r>
          </w:p>
        </w:tc>
        <w:tc>
          <w:tcPr>
            <w:tcW w:w="68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4,066</w:t>
            </w:r>
          </w:p>
        </w:tc>
      </w:tr>
      <w:tr>
        <w:trPr/>
        <w:tc>
          <w:tcPr>
            <w:tcW w:w="114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shd w:fill="CCEEFF" w:val="clear"/>
            <w:vAlign w:val="center"/>
          </w:tcPr>
          <w:p>
            <w:pPr>
              <w:pStyle w:val="TableContents"/>
              <w:spacing w:before="0" w:after="0"/>
              <w:ind w:left="0" w:right="0" w:hanging="0"/>
              <w:rPr/>
            </w:pPr>
            <w:r>
              <w:rPr/>
              <w:t>​</w:t>
            </w:r>
          </w:p>
        </w:tc>
        <w:tc>
          <w:tcPr>
            <w:tcW w:w="29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109"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9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2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361</w:t>
            </w:r>
          </w:p>
        </w:tc>
        <w:tc>
          <w:tcPr>
            <w:tcW w:w="109"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116</w:t>
            </w:r>
          </w:p>
        </w:tc>
        <w:tc>
          <w:tcPr>
            <w:tcW w:w="230" w:type="dxa"/>
            <w:tcBorders/>
            <w:shd w:fill="CCEEFF" w:val="clear"/>
            <w:vAlign w:val="center"/>
          </w:tcPr>
          <w:p>
            <w:pPr>
              <w:pStyle w:val="TableContents"/>
              <w:spacing w:before="0" w:after="0"/>
              <w:ind w:left="0" w:right="0" w:hanging="0"/>
              <w:rPr/>
            </w:pPr>
            <w:r>
              <w:rPr/>
              <w:t>​</w:t>
            </w:r>
          </w:p>
        </w:tc>
        <w:tc>
          <w:tcPr>
            <w:tcW w:w="34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6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spacing w:before="0" w:after="0"/>
              <w:ind w:left="0" w:right="0" w:hanging="0"/>
              <w:rPr/>
            </w:pPr>
            <w:r>
              <w:rPr/>
              <w:t>​</w:t>
            </w:r>
          </w:p>
        </w:tc>
        <w:tc>
          <w:tcPr>
            <w:tcW w:w="35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5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559</w:t>
            </w:r>
          </w:p>
        </w:tc>
      </w:tr>
      <w:tr>
        <w:trPr/>
        <w:tc>
          <w:tcPr>
            <w:tcW w:w="114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expenses</w:t>
            </w:r>
          </w:p>
        </w:tc>
        <w:tc>
          <w:tcPr>
            <w:tcW w:w="109" w:type="dxa"/>
            <w:tcBorders/>
            <w:shd w:fill="auto" w:val="clear"/>
            <w:vAlign w:val="center"/>
          </w:tcPr>
          <w:p>
            <w:pPr>
              <w:pStyle w:val="TableContents"/>
              <w:spacing w:before="0" w:after="0"/>
              <w:ind w:left="0" w:right="0" w:hanging="0"/>
              <w:rPr/>
            </w:pPr>
            <w:r>
              <w:rPr/>
              <w:t>​</w:t>
            </w:r>
          </w:p>
        </w:tc>
        <w:tc>
          <w:tcPr>
            <w:tcW w:w="29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68,555</w:t>
            </w:r>
          </w:p>
        </w:tc>
        <w:tc>
          <w:tcPr>
            <w:tcW w:w="109"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shd w:fill="auto" w:val="clear"/>
            <w:vAlign w:val="center"/>
          </w:tcPr>
          <w:p>
            <w:pPr>
              <w:pStyle w:val="TableContents"/>
              <w:spacing w:before="0" w:after="0"/>
              <w:ind w:left="0" w:right="0" w:hanging="0"/>
              <w:rPr/>
            </w:pPr>
            <w:r>
              <w:rPr/>
              <w:t>​</w:t>
            </w:r>
          </w:p>
        </w:tc>
        <w:tc>
          <w:tcPr>
            <w:tcW w:w="4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1,053</w:t>
            </w:r>
          </w:p>
        </w:tc>
        <w:tc>
          <w:tcPr>
            <w:tcW w:w="109"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9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3,624</w:t>
            </w:r>
          </w:p>
        </w:tc>
        <w:tc>
          <w:tcPr>
            <w:tcW w:w="230" w:type="dxa"/>
            <w:tcBorders/>
            <w:shd w:fill="auto" w:val="clear"/>
            <w:vAlign w:val="center"/>
          </w:tcPr>
          <w:p>
            <w:pPr>
              <w:pStyle w:val="TableContents"/>
              <w:spacing w:before="0" w:after="0"/>
              <w:ind w:left="0" w:right="0" w:hanging="0"/>
              <w:rPr/>
            </w:pPr>
            <w:r>
              <w:rPr/>
              <w:t>​</w:t>
            </w:r>
          </w:p>
        </w:tc>
        <w:tc>
          <w:tcPr>
            <w:tcW w:w="3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483</w:t>
            </w:r>
          </w:p>
        </w:tc>
        <w:tc>
          <w:tcPr>
            <w:tcW w:w="109" w:type="dxa"/>
            <w:tcBorders/>
            <w:shd w:fill="auto" w:val="clear"/>
            <w:vAlign w:val="center"/>
          </w:tcPr>
          <w:p>
            <w:pPr>
              <w:pStyle w:val="TableContents"/>
              <w:spacing w:before="0" w:after="0"/>
              <w:ind w:left="0" w:right="0" w:hanging="0"/>
              <w:rPr/>
            </w:pPr>
            <w:r>
              <w:rPr/>
              <w:t>​</w:t>
            </w:r>
          </w:p>
        </w:tc>
        <w:tc>
          <w:tcPr>
            <w:tcW w:w="3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376</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74,154</w:t>
            </w:r>
          </w:p>
        </w:tc>
      </w:tr>
      <w:tr>
        <w:trPr/>
        <w:tc>
          <w:tcPr>
            <w:tcW w:w="114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pPr>
            <w:r>
              <w:rPr/>
              <w:t>​</w:t>
            </w:r>
          </w:p>
        </w:tc>
        <w:tc>
          <w:tcPr>
            <w:tcW w:w="90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7,874</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39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shd w:fill="CCEEFF" w:val="clear"/>
            <w:vAlign w:val="center"/>
          </w:tcPr>
          <w:p>
            <w:pPr>
              <w:pStyle w:val="TableContents"/>
              <w:spacing w:before="0" w:after="0"/>
              <w:ind w:left="0" w:right="0" w:hanging="0"/>
              <w:rPr/>
            </w:pPr>
            <w:r>
              <w:rPr/>
              <w:t>​</w:t>
            </w:r>
          </w:p>
        </w:tc>
        <w:tc>
          <w:tcPr>
            <w:tcW w:w="420"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109"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jc w:val="right"/>
              <w:rPr/>
            </w:pPr>
            <w:r>
              <w:rPr/>
              <w:t>​</w:t>
            </w:r>
          </w:p>
        </w:tc>
        <w:tc>
          <w:tcPr>
            <w:tcW w:w="39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2"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230"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109"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rPr/>
            </w:pPr>
            <w:r>
              <w:rPr/>
              <w:t>​</w:t>
            </w:r>
          </w:p>
        </w:tc>
        <w:tc>
          <w:tcPr>
            <w:tcW w:w="68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7,680</w:t>
            </w:r>
          </w:p>
        </w:tc>
      </w:tr>
      <w:tr>
        <w:trPr/>
        <w:tc>
          <w:tcPr>
            <w:tcW w:w="114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(expense) income:</w:t>
            </w:r>
          </w:p>
        </w:tc>
        <w:tc>
          <w:tcPr>
            <w:tcW w:w="109"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pPr>
            <w:r>
              <w:rPr/>
              <w:t>​</w:t>
            </w:r>
          </w:p>
        </w:tc>
        <w:tc>
          <w:tcPr>
            <w:tcW w:w="90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39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2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2"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54" w:type="dxa"/>
            <w:tcBorders/>
            <w:shd w:fill="auto" w:val="clear"/>
            <w:vAlign w:val="center"/>
          </w:tcPr>
          <w:p>
            <w:pPr>
              <w:pStyle w:val="TableContents"/>
              <w:spacing w:before="0" w:after="0"/>
              <w:ind w:left="0" w:right="0" w:hanging="0"/>
              <w:rPr/>
            </w:pPr>
            <w:r>
              <w:rPr/>
              <w:t>​</w:t>
            </w:r>
          </w:p>
        </w:tc>
        <w:tc>
          <w:tcPr>
            <w:tcW w:w="68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4" w:type="dxa"/>
            <w:tcBorders/>
            <w:shd w:fill="auto" w:val="clear"/>
            <w:vAlign w:val="center"/>
          </w:tcPr>
          <w:p>
            <w:pPr>
              <w:pStyle w:val="TableContents"/>
              <w:spacing w:before="0" w:after="0"/>
              <w:ind w:left="0" w:right="0" w:hanging="0"/>
              <w:jc w:val="right"/>
              <w:rPr/>
            </w:pPr>
            <w:r>
              <w:rPr/>
              <w:t>​</w:t>
            </w:r>
          </w:p>
        </w:tc>
      </w:tr>
      <w:tr>
        <w:trPr/>
        <w:tc>
          <w:tcPr>
            <w:tcW w:w="114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pPr>
            <w:r>
              <w:rPr/>
              <w:t>​</w:t>
            </w:r>
          </w:p>
        </w:tc>
        <w:tc>
          <w:tcPr>
            <w:tcW w:w="90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390"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20"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c>
          <w:tcPr>
            <w:tcW w:w="109"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jc w:val="right"/>
              <w:rPr/>
            </w:pPr>
            <w:r>
              <w:rPr/>
              <w:t>​</w:t>
            </w:r>
          </w:p>
        </w:tc>
        <w:tc>
          <w:tcPr>
            <w:tcW w:w="39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2"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230"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rPr/>
            </w:pPr>
            <w:r>
              <w:rPr/>
              <w:t>​</w:t>
            </w:r>
          </w:p>
        </w:tc>
        <w:tc>
          <w:tcPr>
            <w:tcW w:w="66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rPr/>
            </w:pPr>
            <w:r>
              <w:rPr/>
              <w:t>​</w:t>
            </w:r>
          </w:p>
        </w:tc>
        <w:tc>
          <w:tcPr>
            <w:tcW w:w="680"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(291)</w:t>
            </w:r>
          </w:p>
        </w:tc>
      </w:tr>
      <w:tr>
        <w:trPr/>
        <w:tc>
          <w:tcPr>
            <w:tcW w:w="114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income (expense), net</w:t>
            </w:r>
          </w:p>
        </w:tc>
        <w:tc>
          <w:tcPr>
            <w:tcW w:w="109" w:type="dxa"/>
            <w:tcBorders/>
            <w:shd w:fill="auto" w:val="clear"/>
            <w:vAlign w:val="center"/>
          </w:tcPr>
          <w:p>
            <w:pPr>
              <w:pStyle w:val="TableContents"/>
              <w:spacing w:before="0" w:after="0"/>
              <w:ind w:left="0" w:right="0" w:hanging="0"/>
              <w:rPr/>
            </w:pPr>
            <w:r>
              <w:rPr/>
              <w:t>​</w:t>
            </w:r>
          </w:p>
        </w:tc>
        <w:tc>
          <w:tcPr>
            <w:tcW w:w="29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9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230" w:type="dxa"/>
            <w:tcBorders/>
            <w:shd w:fill="auto" w:val="clear"/>
            <w:vAlign w:val="center"/>
          </w:tcPr>
          <w:p>
            <w:pPr>
              <w:pStyle w:val="TableContents"/>
              <w:spacing w:lineRule="auto" w:line="240" w:before="0" w:after="0"/>
              <w:ind w:left="0" w:right="0" w:hanging="0"/>
              <w:rPr>
                <w:rFonts w:ascii="Times New Roman;Times;serif" w:hAnsi="Times New Roman;Times;serif"/>
                <w:sz w:val="14"/>
              </w:rPr>
            </w:pPr>
            <w:r>
              <w:rPr>
                <w:rFonts w:ascii="Times New Roman;Times;serif" w:hAnsi="Times New Roman;Times;serif"/>
                <w:sz w:val="14"/>
              </w:rPr>
              <w:t>(d)</w:t>
            </w:r>
          </w:p>
        </w:tc>
        <w:tc>
          <w:tcPr>
            <w:tcW w:w="3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r>
      <w:tr>
        <w:trPr/>
        <w:tc>
          <w:tcPr>
            <w:tcW w:w="114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other expense</w:t>
            </w:r>
          </w:p>
        </w:tc>
        <w:tc>
          <w:tcPr>
            <w:tcW w:w="109" w:type="dxa"/>
            <w:tcBorders/>
            <w:shd w:fill="CCEEFF" w:val="clear"/>
            <w:vAlign w:val="center"/>
          </w:tcPr>
          <w:p>
            <w:pPr>
              <w:pStyle w:val="TableContents"/>
              <w:spacing w:before="0" w:after="0"/>
              <w:ind w:left="0" w:right="0" w:hanging="0"/>
              <w:rPr/>
            </w:pPr>
            <w:r>
              <w:rPr/>
              <w:t>​</w:t>
            </w:r>
          </w:p>
        </w:tc>
        <w:tc>
          <w:tcPr>
            <w:tcW w:w="29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109"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9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2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109"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(162)</w:t>
            </w:r>
          </w:p>
        </w:tc>
        <w:tc>
          <w:tcPr>
            <w:tcW w:w="230" w:type="dxa"/>
            <w:tcBorders/>
            <w:shd w:fill="CCEEFF" w:val="clear"/>
            <w:vAlign w:val="center"/>
          </w:tcPr>
          <w:p>
            <w:pPr>
              <w:pStyle w:val="TableContents"/>
              <w:spacing w:before="0" w:after="0"/>
              <w:ind w:left="0" w:right="0" w:hanging="0"/>
              <w:rPr/>
            </w:pPr>
            <w:r>
              <w:rPr/>
              <w:t>​</w:t>
            </w:r>
          </w:p>
        </w:tc>
        <w:tc>
          <w:tcPr>
            <w:tcW w:w="34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6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spacing w:before="0" w:after="0"/>
              <w:ind w:left="0" w:right="0" w:hanging="0"/>
              <w:rPr/>
            </w:pPr>
            <w:r>
              <w:rPr/>
              <w:t>​</w:t>
            </w:r>
          </w:p>
        </w:tc>
        <w:tc>
          <w:tcPr>
            <w:tcW w:w="35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5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r>
      <w:tr>
        <w:trPr/>
        <w:tc>
          <w:tcPr>
            <w:tcW w:w="1140"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Net income (loss)</w:t>
            </w:r>
          </w:p>
        </w:tc>
        <w:tc>
          <w:tcPr>
            <w:tcW w:w="109" w:type="dxa"/>
            <w:tcBorders/>
            <w:shd w:fill="auto" w:val="clear"/>
            <w:vAlign w:val="center"/>
          </w:tcPr>
          <w:p>
            <w:pPr>
              <w:pStyle w:val="TableContents"/>
              <w:spacing w:before="0" w:after="0"/>
              <w:ind w:left="0" w:right="0" w:hanging="0"/>
              <w:rPr/>
            </w:pPr>
            <w:r>
              <w:rPr/>
              <w:t>​</w:t>
            </w:r>
          </w:p>
        </w:tc>
        <w:tc>
          <w:tcPr>
            <w:tcW w:w="29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90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7,804</w:t>
            </w:r>
          </w:p>
        </w:tc>
        <w:tc>
          <w:tcPr>
            <w:tcW w:w="109"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3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(63)</w:t>
            </w:r>
          </w:p>
        </w:tc>
        <w:tc>
          <w:tcPr>
            <w:tcW w:w="109" w:type="dxa"/>
            <w:tcBorders/>
            <w:shd w:fill="auto" w:val="clear"/>
            <w:vAlign w:val="center"/>
          </w:tcPr>
          <w:p>
            <w:pPr>
              <w:pStyle w:val="TableContents"/>
              <w:spacing w:before="0" w:after="0"/>
              <w:ind w:left="0" w:right="0" w:hanging="0"/>
              <w:rPr/>
            </w:pPr>
            <w:r>
              <w:rPr/>
              <w:t>​</w:t>
            </w:r>
          </w:p>
        </w:tc>
        <w:tc>
          <w:tcPr>
            <w:tcW w:w="4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745"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5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(334)</w:t>
            </w:r>
          </w:p>
        </w:tc>
        <w:tc>
          <w:tcPr>
            <w:tcW w:w="109" w:type="dxa"/>
            <w:tcBorders/>
            <w:shd w:fill="auto" w:val="clear"/>
            <w:vAlign w:val="center"/>
          </w:tcPr>
          <w:p>
            <w:pPr>
              <w:pStyle w:val="TableContents"/>
              <w:spacing w:before="0" w:after="0"/>
              <w:ind w:left="0" w:right="0" w:hanging="0"/>
              <w:rPr/>
            </w:pPr>
            <w:r>
              <w:rPr/>
              <w:t>​</w:t>
            </w:r>
          </w:p>
        </w:tc>
        <w:tc>
          <w:tcPr>
            <w:tcW w:w="2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w:t>
            </w:r>
          </w:p>
        </w:tc>
        <w:tc>
          <w:tcPr>
            <w:tcW w:w="393"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5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(267)</w:t>
            </w:r>
          </w:p>
        </w:tc>
        <w:tc>
          <w:tcPr>
            <w:tcW w:w="230" w:type="dxa"/>
            <w:tcBorders/>
            <w:shd w:fill="auto" w:val="clear"/>
            <w:vAlign w:val="center"/>
          </w:tcPr>
          <w:p>
            <w:pPr>
              <w:pStyle w:val="TableContents"/>
              <w:spacing w:before="0" w:after="0"/>
              <w:ind w:left="0" w:right="0" w:hanging="0"/>
              <w:rPr/>
            </w:pPr>
            <w:r>
              <w:rPr/>
              <w:t>​</w:t>
            </w:r>
          </w:p>
        </w:tc>
        <w:tc>
          <w:tcPr>
            <w:tcW w:w="34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6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71</w:t>
            </w:r>
          </w:p>
        </w:tc>
        <w:tc>
          <w:tcPr>
            <w:tcW w:w="109" w:type="dxa"/>
            <w:tcBorders/>
            <w:shd w:fill="auto" w:val="clear"/>
            <w:vAlign w:val="center"/>
          </w:tcPr>
          <w:p>
            <w:pPr>
              <w:pStyle w:val="TableContents"/>
              <w:spacing w:before="0" w:after="0"/>
              <w:ind w:left="0" w:right="0" w:hanging="0"/>
              <w:rPr/>
            </w:pPr>
            <w:r>
              <w:rPr/>
              <w:t>​</w:t>
            </w:r>
          </w:p>
        </w:tc>
        <w:tc>
          <w:tcPr>
            <w:tcW w:w="35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55</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5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18"/>
              </w:rPr>
            </w:pPr>
            <w:r>
              <w:rPr>
                <w:rFonts w:ascii="Times New Roman;Times;serif" w:hAnsi="Times New Roman;Times;serif"/>
                <w:b/>
                <w:sz w:val="18"/>
              </w:rPr>
              <w:t>7,266</w:t>
            </w:r>
          </w:p>
        </w:tc>
      </w:tr>
    </w:tbl>
    <w:tbl>
      <w:tblPr>
        <w:tblW w:w="9692" w:type="dxa"/>
        <w:jc w:val="left"/>
        <w:tblInd w:w="0" w:type="dxa"/>
        <w:tblCellMar>
          <w:top w:w="0" w:type="dxa"/>
          <w:left w:w="0" w:type="dxa"/>
          <w:bottom w:w="0" w:type="dxa"/>
          <w:right w:w="0" w:type="dxa"/>
        </w:tblCellMar>
      </w:tblPr>
      <w:tblGrid>
        <w:gridCol w:w="316"/>
        <w:gridCol w:w="9376"/>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37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The Latitude Margaritaville Watersound JV completed 149</w:t>
            </w:r>
            <w:r>
              <w:rPr>
                <w:caps w:val="false"/>
                <w:smallCaps w:val="false"/>
              </w:rPr>
              <w:t xml:space="preserve"> </w:t>
            </w:r>
            <w:r>
              <w:rPr>
                <w:rFonts w:ascii="Times New Roman;Times;serif" w:hAnsi="Times New Roman;Times;serif"/>
                <w:b w:val="false"/>
                <w:i w:val="false"/>
                <w:caps w:val="false"/>
                <w:smallCaps w:val="false"/>
                <w:sz w:val="18"/>
              </w:rPr>
              <w:t>home sale transactions during the three months ended March 31, 2023.</w:t>
            </w:r>
          </w:p>
        </w:tc>
      </w:tr>
    </w:tbl>
    <w:tbl>
      <w:tblPr>
        <w:tblW w:w="8372" w:type="dxa"/>
        <w:jc w:val="left"/>
        <w:tblInd w:w="0" w:type="dxa"/>
        <w:tblCellMar>
          <w:top w:w="0" w:type="dxa"/>
          <w:left w:w="0" w:type="dxa"/>
          <w:bottom w:w="0" w:type="dxa"/>
          <w:right w:w="0" w:type="dxa"/>
        </w:tblCellMar>
      </w:tblPr>
      <w:tblGrid>
        <w:gridCol w:w="331"/>
        <w:gridCol w:w="8041"/>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80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tbl>
      <w:tblPr>
        <w:tblW w:w="7637" w:type="dxa"/>
        <w:jc w:val="left"/>
        <w:tblInd w:w="0" w:type="dxa"/>
        <w:tblCellMar>
          <w:top w:w="0" w:type="dxa"/>
          <w:left w:w="0" w:type="dxa"/>
          <w:bottom w:w="0" w:type="dxa"/>
          <w:right w:w="0" w:type="dxa"/>
        </w:tblCellMar>
      </w:tblPr>
      <w:tblGrid>
        <w:gridCol w:w="316"/>
        <w:gridCol w:w="732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732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The project is under construction with no</w:t>
            </w:r>
            <w:r>
              <w:rPr>
                <w:caps w:val="false"/>
                <w:smallCaps w:val="false"/>
              </w:rPr>
              <w:t xml:space="preserve"> </w:t>
            </w:r>
            <w:r>
              <w:rPr>
                <w:rFonts w:ascii="Times New Roman;Times;serif" w:hAnsi="Times New Roman;Times;serif"/>
                <w:b w:val="false"/>
                <w:i w:val="false"/>
                <w:caps w:val="false"/>
                <w:smallCaps w:val="false"/>
                <w:sz w:val="18"/>
              </w:rPr>
              <w:t>income or loss for the three months ended March 31, 2023.</w:t>
            </w:r>
          </w:p>
        </w:tc>
      </w:tr>
    </w:tbl>
    <w:tbl>
      <w:tblPr>
        <w:tblW w:w="8267" w:type="dxa"/>
        <w:jc w:val="left"/>
        <w:tblInd w:w="0" w:type="dxa"/>
        <w:tblCellMar>
          <w:top w:w="0" w:type="dxa"/>
          <w:left w:w="0" w:type="dxa"/>
          <w:bottom w:w="0" w:type="dxa"/>
          <w:right w:w="0" w:type="dxa"/>
        </w:tblCellMar>
      </w:tblPr>
      <w:tblGrid>
        <w:gridCol w:w="331"/>
        <w:gridCol w:w="7936"/>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79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123"/>
        <w:gridCol w:w="109"/>
        <w:gridCol w:w="298"/>
        <w:gridCol w:w="874"/>
        <w:gridCol w:w="109"/>
        <w:gridCol w:w="207"/>
        <w:gridCol w:w="540"/>
        <w:gridCol w:w="109"/>
        <w:gridCol w:w="408"/>
        <w:gridCol w:w="723"/>
        <w:gridCol w:w="109"/>
        <w:gridCol w:w="209"/>
        <w:gridCol w:w="545"/>
        <w:gridCol w:w="109"/>
        <w:gridCol w:w="219"/>
        <w:gridCol w:w="387"/>
        <w:gridCol w:w="109"/>
        <w:gridCol w:w="201"/>
        <w:gridCol w:w="524"/>
        <w:gridCol w:w="214"/>
        <w:gridCol w:w="357"/>
        <w:gridCol w:w="634"/>
        <w:gridCol w:w="109"/>
        <w:gridCol w:w="349"/>
        <w:gridCol w:w="670"/>
        <w:gridCol w:w="109"/>
        <w:gridCol w:w="196"/>
        <w:gridCol w:w="655"/>
      </w:tblGrid>
      <w:tr>
        <w:trPr/>
        <w:tc>
          <w:tcPr>
            <w:tcW w:w="11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13105" cy="175260"/>
                      <wp:effectExtent l="0" t="0" r="0" b="0"/>
                      <wp:wrapNone/>
                      <wp:docPr id="148" name="Frame148"/>
                      <a:graphic xmlns:a="http://schemas.openxmlformats.org/drawingml/2006/main">
                        <a:graphicData uri="http://schemas.microsoft.com/office/word/2010/wordprocessingShape">
                          <wps:wsp>
                            <wps:cNvSpPr txBox="1"/>
                            <wps:spPr>
                              <a:xfrm>
                                <a:off x="0" y="0"/>
                                <a:ext cx="713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89230" cy="175260"/>
                      <wp:effectExtent l="0" t="0" r="0" b="0"/>
                      <wp:wrapNone/>
                      <wp:docPr id="150" name="Frame150"/>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54990" cy="175260"/>
                      <wp:effectExtent l="0" t="0" r="0" b="0"/>
                      <wp:wrapNone/>
                      <wp:docPr id="151" name="Frame151"/>
                      <a:graphic xmlns:a="http://schemas.openxmlformats.org/drawingml/2006/main">
                        <a:graphicData uri="http://schemas.microsoft.com/office/word/2010/wordprocessingShape">
                          <wps:wsp>
                            <wps:cNvSpPr txBox="1"/>
                            <wps:spPr>
                              <a:xfrm>
                                <a:off x="0" y="0"/>
                                <a:ext cx="554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1445" cy="175260"/>
                      <wp:effectExtent l="0" t="0" r="0" b="0"/>
                      <wp:wrapNone/>
                      <wp:docPr id="153" name="Frame153"/>
                      <a:graphic xmlns:a="http://schemas.openxmlformats.org/drawingml/2006/main">
                        <a:graphicData uri="http://schemas.microsoft.com/office/word/2010/wordprocessingShape">
                          <wps:wsp>
                            <wps:cNvSpPr txBox="1"/>
                            <wps:spPr>
                              <a:xfrm>
                                <a:off x="0" y="0"/>
                                <a:ext cx="131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42900" cy="175260"/>
                      <wp:effectExtent l="0" t="0" r="0" b="0"/>
                      <wp:wrapNone/>
                      <wp:docPr id="154" name="Frame154"/>
                      <a:graphic xmlns:a="http://schemas.openxmlformats.org/drawingml/2006/main">
                        <a:graphicData uri="http://schemas.microsoft.com/office/word/2010/wordprocessingShape">
                          <wps:wsp>
                            <wps:cNvSpPr txBox="1"/>
                            <wps:spPr>
                              <a:xfrm>
                                <a:off x="0" y="0"/>
                                <a:ext cx="342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59080" cy="175260"/>
                      <wp:effectExtent l="0" t="0" r="0" b="0"/>
                      <wp:wrapNone/>
                      <wp:docPr id="156" name="Frame156"/>
                      <a:graphic xmlns:a="http://schemas.openxmlformats.org/drawingml/2006/main">
                        <a:graphicData uri="http://schemas.microsoft.com/office/word/2010/wordprocessingShape">
                          <wps:wsp>
                            <wps:cNvSpPr txBox="1"/>
                            <wps:spPr>
                              <a:xfrm>
                                <a:off x="0" y="0"/>
                                <a:ext cx="259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59105" cy="175260"/>
                      <wp:effectExtent l="0" t="0" r="0" b="0"/>
                      <wp:wrapNone/>
                      <wp:docPr id="157" name="Frame157"/>
                      <a:graphic xmlns:a="http://schemas.openxmlformats.org/drawingml/2006/main">
                        <a:graphicData uri="http://schemas.microsoft.com/office/word/2010/wordprocessingShape">
                          <wps:wsp>
                            <wps:cNvSpPr txBox="1"/>
                            <wps:spPr>
                              <a:xfrm>
                                <a:off x="0" y="0"/>
                                <a:ext cx="459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2715" cy="175260"/>
                      <wp:effectExtent l="0" t="0" r="0" b="0"/>
                      <wp:wrapNone/>
                      <wp:docPr id="159" name="Frame159"/>
                      <a:graphic xmlns:a="http://schemas.openxmlformats.org/drawingml/2006/main">
                        <a:graphicData uri="http://schemas.microsoft.com/office/word/2010/wordprocessingShape">
                          <wps:wsp>
                            <wps:cNvSpPr txBox="1"/>
                            <wps:spPr>
                              <a:xfrm>
                                <a:off x="0" y="0"/>
                                <a:ext cx="1327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46075" cy="175260"/>
                      <wp:effectExtent l="0" t="0" r="0" b="0"/>
                      <wp:wrapNone/>
                      <wp:docPr id="160" name="Frame160"/>
                      <a:graphic xmlns:a="http://schemas.openxmlformats.org/drawingml/2006/main">
                        <a:graphicData uri="http://schemas.microsoft.com/office/word/2010/wordprocessingShape">
                          <wps:wsp>
                            <wps:cNvSpPr txBox="1"/>
                            <wps:spPr>
                              <a:xfrm>
                                <a:off x="0" y="0"/>
                                <a:ext cx="346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9065" cy="175260"/>
                      <wp:effectExtent l="0" t="0" r="0" b="0"/>
                      <wp:wrapNone/>
                      <wp:docPr id="162" name="Frame162"/>
                      <a:graphic xmlns:a="http://schemas.openxmlformats.org/drawingml/2006/main">
                        <a:graphicData uri="http://schemas.microsoft.com/office/word/2010/wordprocessingShape">
                          <wps:wsp>
                            <wps:cNvSpPr txBox="1"/>
                            <wps:spPr>
                              <a:xfrm>
                                <a:off x="0" y="0"/>
                                <a:ext cx="139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45745" cy="175260"/>
                      <wp:effectExtent l="0" t="0" r="0" b="0"/>
                      <wp:wrapNone/>
                      <wp:docPr id="163" name="Frame163"/>
                      <a:graphic xmlns:a="http://schemas.openxmlformats.org/drawingml/2006/main">
                        <a:graphicData uri="http://schemas.microsoft.com/office/word/2010/wordprocessingShape">
                          <wps:wsp>
                            <wps:cNvSpPr txBox="1"/>
                            <wps:spPr>
                              <a:xfrm>
                                <a:off x="0" y="0"/>
                                <a:ext cx="245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7635" cy="175260"/>
                      <wp:effectExtent l="0" t="0" r="0" b="0"/>
                      <wp:wrapNone/>
                      <wp:docPr id="165" name="Frame165"/>
                      <a:graphic xmlns:a="http://schemas.openxmlformats.org/drawingml/2006/main">
                        <a:graphicData uri="http://schemas.microsoft.com/office/word/2010/wordprocessingShape">
                          <wps:wsp>
                            <wps:cNvSpPr txBox="1"/>
                            <wps:spPr>
                              <a:xfrm>
                                <a:off x="0" y="0"/>
                                <a:ext cx="127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32740" cy="175260"/>
                      <wp:effectExtent l="0" t="0" r="0" b="0"/>
                      <wp:wrapNone/>
                      <wp:docPr id="166" name="Frame166"/>
                      <a:graphic xmlns:a="http://schemas.openxmlformats.org/drawingml/2006/main">
                        <a:graphicData uri="http://schemas.microsoft.com/office/word/2010/wordprocessingShape">
                          <wps:wsp>
                            <wps:cNvSpPr txBox="1"/>
                            <wps:spPr>
                              <a:xfrm>
                                <a:off x="0" y="0"/>
                                <a:ext cx="332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5890" cy="175260"/>
                      <wp:effectExtent l="0" t="0" r="0" b="0"/>
                      <wp:wrapNone/>
                      <wp:docPr id="167" name="Frame167"/>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6695" cy="175260"/>
                      <wp:effectExtent l="0" t="0" r="0" b="0"/>
                      <wp:wrapNone/>
                      <wp:docPr id="168" name="Frame168"/>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02590" cy="175260"/>
                      <wp:effectExtent l="0" t="0" r="0" b="0"/>
                      <wp:wrapNone/>
                      <wp:docPr id="169" name="Frame169"/>
                      <a:graphic xmlns:a="http://schemas.openxmlformats.org/drawingml/2006/main">
                        <a:graphicData uri="http://schemas.microsoft.com/office/word/2010/wordprocessingShape">
                          <wps:wsp>
                            <wps:cNvSpPr txBox="1"/>
                            <wps:spPr>
                              <a:xfrm>
                                <a:off x="0" y="0"/>
                                <a:ext cx="402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1615" cy="175260"/>
                      <wp:effectExtent l="0" t="0" r="0" b="0"/>
                      <wp:wrapNone/>
                      <wp:docPr id="171" name="Frame171"/>
                      <a:graphic xmlns:a="http://schemas.openxmlformats.org/drawingml/2006/main">
                        <a:graphicData uri="http://schemas.microsoft.com/office/word/2010/wordprocessingShape">
                          <wps:wsp>
                            <wps:cNvSpPr txBox="1"/>
                            <wps:spPr>
                              <a:xfrm>
                                <a:off x="0" y="0"/>
                                <a:ext cx="221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5450" cy="175260"/>
                      <wp:effectExtent l="0" t="0" r="0" b="0"/>
                      <wp:wrapNone/>
                      <wp:docPr id="172" name="Frame172"/>
                      <a:graphic xmlns:a="http://schemas.openxmlformats.org/drawingml/2006/main">
                        <a:graphicData uri="http://schemas.microsoft.com/office/word/2010/wordprocessingShape">
                          <wps:wsp>
                            <wps:cNvSpPr txBox="1"/>
                            <wps:spPr>
                              <a:xfrm>
                                <a:off x="0" y="0"/>
                                <a:ext cx="425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74" name="Frame17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15925" cy="175260"/>
                      <wp:effectExtent l="0" t="0" r="0" b="0"/>
                      <wp:wrapNone/>
                      <wp:docPr id="175" name="Frame175"/>
                      <a:graphic xmlns:a="http://schemas.openxmlformats.org/drawingml/2006/main">
                        <a:graphicData uri="http://schemas.microsoft.com/office/word/2010/wordprocessingShape">
                          <wps:wsp>
                            <wps:cNvSpPr txBox="1"/>
                            <wps:spPr>
                              <a:xfrm>
                                <a:off x="0" y="0"/>
                                <a:ext cx="415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973"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March 31, 2022</w:t>
            </w:r>
          </w:p>
        </w:tc>
      </w:tr>
      <w:tr>
        <w:trPr/>
        <w:tc>
          <w:tcPr>
            <w:tcW w:w="11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72"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shd w:fill="auto" w:val="clear"/>
            <w:vAlign w:val="center"/>
          </w:tcPr>
          <w:p>
            <w:pPr>
              <w:pStyle w:val="TableContents"/>
              <w:spacing w:before="0" w:after="0"/>
              <w:ind w:left="0" w:right="0" w:hanging="0"/>
              <w:jc w:val="center"/>
              <w:rPr/>
            </w:pPr>
            <w:r>
              <w:rPr/>
              <w:t>​</w:t>
            </w:r>
          </w:p>
        </w:tc>
        <w:tc>
          <w:tcPr>
            <w:tcW w:w="747"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Sea Sound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shd w:fill="auto" w:val="clear"/>
            <w:vAlign w:val="center"/>
          </w:tcPr>
          <w:p>
            <w:pPr>
              <w:pStyle w:val="TableContents"/>
              <w:spacing w:before="0" w:after="0"/>
              <w:ind w:left="0" w:right="0" w:hanging="0"/>
              <w:jc w:val="center"/>
              <w:rPr/>
            </w:pPr>
            <w:r>
              <w:rPr/>
              <w:t>​</w:t>
            </w:r>
          </w:p>
        </w:tc>
        <w:tc>
          <w:tcPr>
            <w:tcW w:w="1131"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Watersound Fountains Independent Living JV</w:t>
            </w:r>
            <w:r>
              <w:rPr>
                <w:rFonts w:ascii="Times New Roman;Times;serif" w:hAnsi="Times New Roman;Times;serif"/>
                <w:sz w:val="14"/>
              </w:rPr>
              <w:t xml:space="preserve"> </w:t>
            </w:r>
            <w:r>
              <w:rPr>
                <w:rFonts w:ascii="Times New Roman;Times;serif" w:hAnsi="Times New Roman;Times;serif"/>
                <w:b/>
                <w:sz w:val="11"/>
              </w:rPr>
              <w:t>(c)</w:t>
            </w:r>
          </w:p>
        </w:tc>
        <w:tc>
          <w:tcPr>
            <w:tcW w:w="109" w:type="dxa"/>
            <w:tcBorders/>
            <w:shd w:fill="auto" w:val="clear"/>
            <w:vAlign w:val="center"/>
          </w:tcPr>
          <w:p>
            <w:pPr>
              <w:pStyle w:val="TableContents"/>
              <w:spacing w:before="0" w:after="0"/>
              <w:ind w:left="0" w:right="0" w:hanging="0"/>
              <w:jc w:val="center"/>
              <w:rPr/>
            </w:pPr>
            <w:r>
              <w:rPr/>
              <w:t>​</w:t>
            </w:r>
          </w:p>
        </w:tc>
        <w:tc>
          <w:tcPr>
            <w:tcW w:w="75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shd w:fill="auto" w:val="clear"/>
            <w:vAlign w:val="center"/>
          </w:tcPr>
          <w:p>
            <w:pPr>
              <w:pStyle w:val="TableContents"/>
              <w:spacing w:before="0" w:after="0"/>
              <w:ind w:left="0" w:right="0" w:hanging="0"/>
              <w:jc w:val="center"/>
              <w:rPr/>
            </w:pPr>
            <w:r>
              <w:rPr/>
              <w:t>​</w:t>
            </w:r>
          </w:p>
        </w:tc>
        <w:tc>
          <w:tcPr>
            <w:tcW w:w="606"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Pier Park RI JV </w:t>
            </w:r>
            <w:r>
              <w:rPr>
                <w:rFonts w:ascii="Times New Roman;Times;serif" w:hAnsi="Times New Roman;Times;serif"/>
                <w:b/>
                <w:sz w:val="11"/>
              </w:rPr>
              <w:t>(d)</w:t>
            </w:r>
          </w:p>
        </w:tc>
        <w:tc>
          <w:tcPr>
            <w:tcW w:w="109" w:type="dxa"/>
            <w:tcBorders/>
            <w:shd w:fill="auto" w:val="clear"/>
            <w:vAlign w:val="center"/>
          </w:tcPr>
          <w:p>
            <w:pPr>
              <w:pStyle w:val="TableContents"/>
              <w:spacing w:before="0" w:after="0"/>
              <w:ind w:left="0" w:right="0" w:hanging="0"/>
              <w:jc w:val="center"/>
              <w:rPr/>
            </w:pPr>
            <w:r>
              <w:rPr/>
              <w:t>​</w:t>
            </w:r>
          </w:p>
        </w:tc>
        <w:tc>
          <w:tcPr>
            <w:tcW w:w="7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14" w:type="dxa"/>
            <w:tcBorders/>
            <w:shd w:fill="auto" w:val="clear"/>
            <w:vAlign w:val="center"/>
          </w:tcPr>
          <w:p>
            <w:pPr>
              <w:pStyle w:val="TableContents"/>
              <w:spacing w:before="0" w:after="0"/>
              <w:ind w:left="0" w:right="0" w:hanging="0"/>
              <w:jc w:val="center"/>
              <w:rPr/>
            </w:pPr>
            <w:r>
              <w:rPr/>
              <w:t>​</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shd w:fill="auto" w:val="clear"/>
            <w:vAlign w:val="center"/>
          </w:tcPr>
          <w:p>
            <w:pPr>
              <w:pStyle w:val="TableContents"/>
              <w:spacing w:before="0" w:after="0"/>
              <w:ind w:left="0" w:right="0" w:hanging="0"/>
              <w:jc w:val="center"/>
              <w:rPr/>
            </w:pPr>
            <w:r>
              <w:rPr/>
              <w:t>​</w:t>
            </w:r>
          </w:p>
        </w:tc>
        <w:tc>
          <w:tcPr>
            <w:tcW w:w="10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shd w:fill="auto" w:val="clear"/>
            <w:vAlign w:val="center"/>
          </w:tcPr>
          <w:p>
            <w:pPr>
              <w:pStyle w:val="TableContents"/>
              <w:spacing w:before="0" w:after="0"/>
              <w:ind w:left="0" w:right="0" w:hanging="0"/>
              <w:rPr/>
            </w:pPr>
            <w:r>
              <w:rPr/>
              <w:t>​</w:t>
            </w:r>
          </w:p>
        </w:tc>
        <w:tc>
          <w:tcPr>
            <w:tcW w:w="8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12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spacing w:before="0" w:after="0"/>
              <w:ind w:left="0" w:right="0" w:hanging="0"/>
              <w:rPr/>
            </w:pPr>
            <w:r>
              <w:rPr/>
              <w:t>​</w:t>
            </w:r>
          </w:p>
        </w:tc>
        <w:tc>
          <w:tcPr>
            <w:tcW w:w="29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7,140</w:t>
            </w:r>
          </w:p>
        </w:tc>
        <w:tc>
          <w:tcPr>
            <w:tcW w:w="109" w:type="dxa"/>
            <w:tcBorders/>
            <w:shd w:fill="CCEEFF" w:val="clear"/>
            <w:vAlign w:val="center"/>
          </w:tcPr>
          <w:p>
            <w:pPr>
              <w:pStyle w:val="TableContents"/>
              <w:spacing w:before="0" w:after="0"/>
              <w:ind w:left="0" w:right="0" w:hanging="0"/>
              <w:rPr/>
            </w:pPr>
            <w:r>
              <w:rPr/>
              <w:t>​</w:t>
            </w:r>
          </w:p>
        </w:tc>
        <w:tc>
          <w:tcPr>
            <w:tcW w:w="207"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1,154</w:t>
            </w:r>
          </w:p>
        </w:tc>
        <w:tc>
          <w:tcPr>
            <w:tcW w:w="109" w:type="dxa"/>
            <w:tcBorders/>
            <w:shd w:fill="CCEEFF" w:val="clear"/>
            <w:vAlign w:val="center"/>
          </w:tcPr>
          <w:p>
            <w:pPr>
              <w:pStyle w:val="TableContents"/>
              <w:spacing w:before="0" w:after="0"/>
              <w:ind w:left="0" w:right="0" w:hanging="0"/>
              <w:rPr/>
            </w:pPr>
            <w:r>
              <w:rPr/>
              <w:t>​</w:t>
            </w:r>
          </w:p>
        </w:tc>
        <w:tc>
          <w:tcPr>
            <w:tcW w:w="40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1,124</w:t>
            </w:r>
          </w:p>
        </w:tc>
        <w:tc>
          <w:tcPr>
            <w:tcW w:w="109"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3,733</w:t>
            </w:r>
          </w:p>
        </w:tc>
        <w:tc>
          <w:tcPr>
            <w:tcW w:w="214" w:type="dxa"/>
            <w:tcBorders/>
            <w:shd w:fill="CCEEFF" w:val="clear"/>
            <w:vAlign w:val="center"/>
          </w:tcPr>
          <w:p>
            <w:pPr>
              <w:pStyle w:val="TableContents"/>
              <w:spacing w:before="0" w:after="0"/>
              <w:ind w:left="0" w:right="0" w:hanging="0"/>
              <w:rPr/>
            </w:pPr>
            <w:r>
              <w:rPr/>
              <w:t>​</w:t>
            </w:r>
          </w:p>
        </w:tc>
        <w:tc>
          <w:tcPr>
            <w:tcW w:w="357"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4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13,403</w:t>
            </w:r>
          </w:p>
        </w:tc>
      </w:tr>
      <w:tr>
        <w:trPr/>
        <w:tc>
          <w:tcPr>
            <w:tcW w:w="112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Expenses:</w:t>
            </w:r>
          </w:p>
        </w:tc>
        <w:tc>
          <w:tcPr>
            <w:tcW w:w="109"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87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7" w:type="dxa"/>
            <w:tcBorders/>
            <w:shd w:fill="auto" w:val="clear"/>
            <w:vAlign w:val="center"/>
          </w:tcPr>
          <w:p>
            <w:pPr>
              <w:pStyle w:val="TableContents"/>
              <w:spacing w:before="0" w:after="0"/>
              <w:ind w:left="0" w:right="0" w:hanging="0"/>
              <w:rPr/>
            </w:pPr>
            <w:r>
              <w:rPr/>
              <w:t>​</w:t>
            </w:r>
          </w:p>
        </w:tc>
        <w:tc>
          <w:tcPr>
            <w:tcW w:w="54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54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jc w:val="right"/>
              <w:rPr/>
            </w:pPr>
            <w:r>
              <w:rPr/>
              <w:t>​</w:t>
            </w:r>
          </w:p>
        </w:tc>
        <w:tc>
          <w:tcPr>
            <w:tcW w:w="38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1" w:type="dxa"/>
            <w:tcBorders/>
            <w:shd w:fill="auto" w:val="clear"/>
            <w:vAlign w:val="center"/>
          </w:tcPr>
          <w:p>
            <w:pPr>
              <w:pStyle w:val="TableContents"/>
              <w:spacing w:before="0" w:after="0"/>
              <w:ind w:left="0" w:right="0" w:hanging="0"/>
              <w:rPr/>
            </w:pPr>
            <w:r>
              <w:rPr/>
              <w:t>​</w:t>
            </w:r>
          </w:p>
        </w:tc>
        <w:tc>
          <w:tcPr>
            <w:tcW w:w="524" w:type="dxa"/>
            <w:tcBorders/>
            <w:shd w:fill="auto" w:val="clear"/>
            <w:vAlign w:val="center"/>
          </w:tcPr>
          <w:p>
            <w:pPr>
              <w:pStyle w:val="TableContents"/>
              <w:spacing w:before="0" w:after="0"/>
              <w:ind w:left="0" w:right="0" w:hanging="0"/>
              <w:jc w:val="right"/>
              <w:rPr/>
            </w:pPr>
            <w:r>
              <w:rPr/>
              <w:t>​</w:t>
            </w:r>
          </w:p>
        </w:tc>
        <w:tc>
          <w:tcPr>
            <w:tcW w:w="214"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w:t>
            </w:r>
          </w:p>
        </w:tc>
        <w:tc>
          <w:tcPr>
            <w:tcW w:w="6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49" w:type="dxa"/>
            <w:tcBorders/>
            <w:shd w:fill="auto" w:val="clear"/>
            <w:vAlign w:val="center"/>
          </w:tcPr>
          <w:p>
            <w:pPr>
              <w:pStyle w:val="TableContents"/>
              <w:spacing w:before="0" w:after="0"/>
              <w:ind w:left="0" w:right="0" w:hanging="0"/>
              <w:rPr/>
            </w:pPr>
            <w:r>
              <w:rPr/>
              <w:t>​</w:t>
            </w:r>
          </w:p>
        </w:tc>
        <w:tc>
          <w:tcPr>
            <w:tcW w:w="67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5" w:type="dxa"/>
            <w:tcBorders/>
            <w:shd w:fill="auto" w:val="clear"/>
            <w:vAlign w:val="center"/>
          </w:tcPr>
          <w:p>
            <w:pPr>
              <w:pStyle w:val="TableContents"/>
              <w:spacing w:before="0" w:after="0"/>
              <w:ind w:left="0" w:right="0" w:hanging="0"/>
              <w:jc w:val="right"/>
              <w:rPr/>
            </w:pPr>
            <w:r>
              <w:rPr/>
              <w:t>​</w:t>
            </w:r>
          </w:p>
        </w:tc>
      </w:tr>
      <w:tr>
        <w:trPr/>
        <w:tc>
          <w:tcPr>
            <w:tcW w:w="112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w:t>
            </w:r>
          </w:p>
        </w:tc>
        <w:tc>
          <w:tcPr>
            <w:tcW w:w="8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6,964</w:t>
            </w:r>
          </w:p>
        </w:tc>
        <w:tc>
          <w:tcPr>
            <w:tcW w:w="109" w:type="dxa"/>
            <w:tcBorders/>
            <w:shd w:fill="CCEEFF" w:val="clear"/>
            <w:vAlign w:val="center"/>
          </w:tcPr>
          <w:p>
            <w:pPr>
              <w:pStyle w:val="TableContents"/>
              <w:spacing w:before="0" w:after="0"/>
              <w:ind w:left="0" w:right="0" w:hanging="0"/>
              <w:rPr/>
            </w:pPr>
            <w:r>
              <w:rPr/>
              <w:t>​</w:t>
            </w:r>
          </w:p>
        </w:tc>
        <w:tc>
          <w:tcPr>
            <w:tcW w:w="207" w:type="dxa"/>
            <w:tcBorders/>
            <w:shd w:fill="CCEEFF" w:val="clear"/>
            <w:vAlign w:val="center"/>
          </w:tcPr>
          <w:p>
            <w:pPr>
              <w:pStyle w:val="TableContents"/>
              <w:spacing w:before="0" w:after="0"/>
              <w:ind w:left="0" w:right="0" w:hanging="0"/>
              <w:rPr/>
            </w:pPr>
            <w:r>
              <w:rPr/>
              <w:t>​</w:t>
            </w:r>
          </w:p>
        </w:tc>
        <w:tc>
          <w:tcPr>
            <w:tcW w:w="54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448</w:t>
            </w:r>
          </w:p>
        </w:tc>
        <w:tc>
          <w:tcPr>
            <w:tcW w:w="109" w:type="dxa"/>
            <w:tcBorders/>
            <w:shd w:fill="CCEEFF" w:val="clear"/>
            <w:vAlign w:val="center"/>
          </w:tcPr>
          <w:p>
            <w:pPr>
              <w:pStyle w:val="TableContents"/>
              <w:spacing w:before="0" w:after="0"/>
              <w:ind w:left="0" w:right="0" w:hanging="0"/>
              <w:rPr/>
            </w:pPr>
            <w:r>
              <w:rPr/>
              <w:t>​</w:t>
            </w:r>
          </w:p>
        </w:tc>
        <w:tc>
          <w:tcPr>
            <w:tcW w:w="408"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9" w:type="dxa"/>
            <w:tcBorders/>
            <w:shd w:fill="CCEEFF" w:val="clear"/>
            <w:vAlign w:val="center"/>
          </w:tcPr>
          <w:p>
            <w:pPr>
              <w:pStyle w:val="TableContents"/>
              <w:spacing w:before="0" w:after="0"/>
              <w:ind w:left="0" w:right="0" w:hanging="0"/>
              <w:rPr/>
            </w:pPr>
            <w:r>
              <w:rPr/>
              <w:t>​</w:t>
            </w:r>
          </w:p>
        </w:tc>
        <w:tc>
          <w:tcPr>
            <w:tcW w:w="54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725</w:t>
            </w:r>
          </w:p>
        </w:tc>
        <w:tc>
          <w:tcPr>
            <w:tcW w:w="109"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jc w:val="right"/>
              <w:rPr/>
            </w:pPr>
            <w:r>
              <w:rPr/>
              <w:t>​</w:t>
            </w:r>
          </w:p>
        </w:tc>
        <w:tc>
          <w:tcPr>
            <w:tcW w:w="38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1" w:type="dxa"/>
            <w:tcBorders/>
            <w:shd w:fill="CCEEFF" w:val="clear"/>
            <w:vAlign w:val="center"/>
          </w:tcPr>
          <w:p>
            <w:pPr>
              <w:pStyle w:val="TableContents"/>
              <w:spacing w:before="0" w:after="0"/>
              <w:ind w:left="0" w:right="0" w:hanging="0"/>
              <w:rPr/>
            </w:pPr>
            <w:r>
              <w:rPr/>
              <w:t>​</w:t>
            </w:r>
          </w:p>
        </w:tc>
        <w:tc>
          <w:tcPr>
            <w:tcW w:w="52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3,612</w:t>
            </w:r>
          </w:p>
        </w:tc>
        <w:tc>
          <w:tcPr>
            <w:tcW w:w="214"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pPr>
            <w:r>
              <w:rPr/>
              <w:t>​</w:t>
            </w:r>
          </w:p>
        </w:tc>
        <w:tc>
          <w:tcPr>
            <w:tcW w:w="63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49" w:type="dxa"/>
            <w:tcBorders/>
            <w:shd w:fill="CCEEFF" w:val="clear"/>
            <w:vAlign w:val="center"/>
          </w:tcPr>
          <w:p>
            <w:pPr>
              <w:pStyle w:val="TableContents"/>
              <w:spacing w:before="0" w:after="0"/>
              <w:ind w:left="0" w:right="0" w:hanging="0"/>
              <w:rPr/>
            </w:pPr>
            <w:r>
              <w:rPr/>
              <w:t>​</w:t>
            </w:r>
          </w:p>
        </w:tc>
        <w:tc>
          <w:tcPr>
            <w:tcW w:w="67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5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11,957</w:t>
            </w:r>
          </w:p>
        </w:tc>
      </w:tr>
      <w:tr>
        <w:trPr/>
        <w:tc>
          <w:tcPr>
            <w:tcW w:w="112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operating expenses</w:t>
            </w:r>
          </w:p>
        </w:tc>
        <w:tc>
          <w:tcPr>
            <w:tcW w:w="109"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8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1,268</w:t>
            </w:r>
          </w:p>
        </w:tc>
        <w:tc>
          <w:tcPr>
            <w:tcW w:w="109" w:type="dxa"/>
            <w:tcBorders/>
            <w:shd w:fill="auto" w:val="clear"/>
            <w:vAlign w:val="center"/>
          </w:tcPr>
          <w:p>
            <w:pPr>
              <w:pStyle w:val="TableContents"/>
              <w:spacing w:before="0" w:after="0"/>
              <w:ind w:left="0" w:right="0" w:hanging="0"/>
              <w:rPr/>
            </w:pPr>
            <w:r>
              <w:rPr/>
              <w:t>​</w:t>
            </w:r>
          </w:p>
        </w:tc>
        <w:tc>
          <w:tcPr>
            <w:tcW w:w="207" w:type="dxa"/>
            <w:tcBorders/>
            <w:shd w:fill="auto" w:val="clear"/>
            <w:vAlign w:val="center"/>
          </w:tcPr>
          <w:p>
            <w:pPr>
              <w:pStyle w:val="TableContents"/>
              <w:spacing w:before="0" w:after="0"/>
              <w:ind w:left="0" w:right="0" w:hanging="0"/>
              <w:rPr/>
            </w:pPr>
            <w:r>
              <w:rPr/>
              <w:t>​</w:t>
            </w:r>
          </w:p>
        </w:tc>
        <w:tc>
          <w:tcPr>
            <w:tcW w:w="54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54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jc w:val="right"/>
              <w:rPr/>
            </w:pPr>
            <w:r>
              <w:rPr/>
              <w:t>​</w:t>
            </w:r>
          </w:p>
        </w:tc>
        <w:tc>
          <w:tcPr>
            <w:tcW w:w="38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1" w:type="dxa"/>
            <w:tcBorders/>
            <w:shd w:fill="auto" w:val="clear"/>
            <w:vAlign w:val="center"/>
          </w:tcPr>
          <w:p>
            <w:pPr>
              <w:pStyle w:val="TableContents"/>
              <w:spacing w:before="0" w:after="0"/>
              <w:ind w:left="0" w:right="0" w:hanging="0"/>
              <w:rPr/>
            </w:pPr>
            <w:r>
              <w:rPr/>
              <w:t>​</w:t>
            </w:r>
          </w:p>
        </w:tc>
        <w:tc>
          <w:tcPr>
            <w:tcW w:w="524" w:type="dxa"/>
            <w:tcBorders/>
            <w:shd w:fill="auto" w:val="clear"/>
            <w:vAlign w:val="center"/>
          </w:tcPr>
          <w:p>
            <w:pPr>
              <w:pStyle w:val="TableContents"/>
              <w:spacing w:before="0" w:after="0"/>
              <w:ind w:left="0" w:right="0" w:hanging="0"/>
              <w:jc w:val="right"/>
              <w:rPr/>
            </w:pPr>
            <w:r>
              <w:rPr/>
              <w:t>—</w:t>
            </w:r>
          </w:p>
        </w:tc>
        <w:tc>
          <w:tcPr>
            <w:tcW w:w="214"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w:t>
            </w:r>
          </w:p>
        </w:tc>
        <w:tc>
          <w:tcPr>
            <w:tcW w:w="6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49" w:type="dxa"/>
            <w:tcBorders/>
            <w:shd w:fill="auto" w:val="clear"/>
            <w:vAlign w:val="center"/>
          </w:tcPr>
          <w:p>
            <w:pPr>
              <w:pStyle w:val="TableContents"/>
              <w:spacing w:before="0" w:after="0"/>
              <w:ind w:left="0" w:right="0" w:hanging="0"/>
              <w:rPr/>
            </w:pPr>
            <w:r>
              <w:rPr/>
              <w:t>​</w:t>
            </w:r>
          </w:p>
        </w:tc>
        <w:tc>
          <w:tcPr>
            <w:tcW w:w="67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1,268</w:t>
            </w:r>
          </w:p>
        </w:tc>
      </w:tr>
      <w:tr>
        <w:trPr/>
        <w:tc>
          <w:tcPr>
            <w:tcW w:w="112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shd w:fill="CCEEFF" w:val="clear"/>
            <w:vAlign w:val="center"/>
          </w:tcPr>
          <w:p>
            <w:pPr>
              <w:pStyle w:val="TableContents"/>
              <w:spacing w:before="0" w:after="0"/>
              <w:ind w:left="0" w:right="0" w:hanging="0"/>
              <w:rPr/>
            </w:pPr>
            <w:r>
              <w:rPr/>
              <w:t>​</w:t>
            </w:r>
          </w:p>
        </w:tc>
        <w:tc>
          <w:tcPr>
            <w:tcW w:w="29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109" w:type="dxa"/>
            <w:tcBorders/>
            <w:shd w:fill="CCEEFF" w:val="clear"/>
            <w:vAlign w:val="center"/>
          </w:tcPr>
          <w:p>
            <w:pPr>
              <w:pStyle w:val="TableContents"/>
              <w:spacing w:before="0" w:after="0"/>
              <w:ind w:left="0" w:right="0" w:hanging="0"/>
              <w:rPr/>
            </w:pPr>
            <w:r>
              <w:rPr/>
              <w:t>​</w:t>
            </w:r>
          </w:p>
        </w:tc>
        <w:tc>
          <w:tcPr>
            <w:tcW w:w="20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w:t>
            </w:r>
          </w:p>
        </w:tc>
        <w:tc>
          <w:tcPr>
            <w:tcW w:w="109" w:type="dxa"/>
            <w:tcBorders/>
            <w:shd w:fill="CCEEFF" w:val="clear"/>
            <w:vAlign w:val="center"/>
          </w:tcPr>
          <w:p>
            <w:pPr>
              <w:pStyle w:val="TableContents"/>
              <w:spacing w:before="0" w:after="0"/>
              <w:ind w:left="0" w:right="0" w:hanging="0"/>
              <w:rPr/>
            </w:pPr>
            <w:r>
              <w:rPr/>
              <w:t>​</w:t>
            </w:r>
          </w:p>
        </w:tc>
        <w:tc>
          <w:tcPr>
            <w:tcW w:w="40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362</w:t>
            </w:r>
          </w:p>
        </w:tc>
        <w:tc>
          <w:tcPr>
            <w:tcW w:w="109"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214" w:type="dxa"/>
            <w:tcBorders/>
            <w:shd w:fill="CCEEFF" w:val="clear"/>
            <w:vAlign w:val="center"/>
          </w:tcPr>
          <w:p>
            <w:pPr>
              <w:pStyle w:val="TableContents"/>
              <w:spacing w:before="0" w:after="0"/>
              <w:ind w:left="0" w:right="0" w:hanging="0"/>
              <w:rPr/>
            </w:pPr>
            <w:r>
              <w:rPr/>
              <w:t>​</w:t>
            </w:r>
          </w:p>
        </w:tc>
        <w:tc>
          <w:tcPr>
            <w:tcW w:w="3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968</w:t>
            </w:r>
          </w:p>
        </w:tc>
      </w:tr>
      <w:tr>
        <w:trPr/>
        <w:tc>
          <w:tcPr>
            <w:tcW w:w="112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expenses</w:t>
            </w:r>
          </w:p>
        </w:tc>
        <w:tc>
          <w:tcPr>
            <w:tcW w:w="109" w:type="dxa"/>
            <w:tcBorders/>
            <w:shd w:fill="auto" w:val="clear"/>
            <w:vAlign w:val="center"/>
          </w:tcPr>
          <w:p>
            <w:pPr>
              <w:pStyle w:val="TableContents"/>
              <w:spacing w:before="0" w:after="0"/>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8,307</w:t>
            </w:r>
          </w:p>
        </w:tc>
        <w:tc>
          <w:tcPr>
            <w:tcW w:w="109" w:type="dxa"/>
            <w:tcBorders/>
            <w:shd w:fill="auto" w:val="clear"/>
            <w:vAlign w:val="center"/>
          </w:tcPr>
          <w:p>
            <w:pPr>
              <w:pStyle w:val="TableContents"/>
              <w:spacing w:before="0" w:after="0"/>
              <w:ind w:left="0" w:right="0" w:hanging="0"/>
              <w:rPr/>
            </w:pPr>
            <w:r>
              <w:rPr/>
              <w:t>​</w:t>
            </w:r>
          </w:p>
        </w:tc>
        <w:tc>
          <w:tcPr>
            <w:tcW w:w="20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864</w:t>
            </w:r>
          </w:p>
        </w:tc>
        <w:tc>
          <w:tcPr>
            <w:tcW w:w="109" w:type="dxa"/>
            <w:tcBorders/>
            <w:shd w:fill="auto" w:val="clear"/>
            <w:vAlign w:val="center"/>
          </w:tcPr>
          <w:p>
            <w:pPr>
              <w:pStyle w:val="TableContents"/>
              <w:spacing w:before="0" w:after="0"/>
              <w:ind w:left="0" w:right="0" w:hanging="0"/>
              <w:rPr/>
            </w:pPr>
            <w:r>
              <w:rPr/>
              <w:t>​</w:t>
            </w:r>
          </w:p>
        </w:tc>
        <w:tc>
          <w:tcPr>
            <w:tcW w:w="40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1,087</w:t>
            </w:r>
          </w:p>
        </w:tc>
        <w:tc>
          <w:tcPr>
            <w:tcW w:w="109"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8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3,727</w:t>
            </w:r>
          </w:p>
        </w:tc>
        <w:tc>
          <w:tcPr>
            <w:tcW w:w="214" w:type="dxa"/>
            <w:tcBorders/>
            <w:shd w:fill="auto" w:val="clear"/>
            <w:vAlign w:val="center"/>
          </w:tcPr>
          <w:p>
            <w:pPr>
              <w:pStyle w:val="TableContents"/>
              <w:spacing w:before="0" w:after="0"/>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4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14,193</w:t>
            </w:r>
          </w:p>
        </w:tc>
      </w:tr>
      <w:tr>
        <w:trPr/>
        <w:tc>
          <w:tcPr>
            <w:tcW w:w="112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Operating (loss) income</w:t>
            </w:r>
          </w:p>
        </w:tc>
        <w:tc>
          <w:tcPr>
            <w:tcW w:w="109" w:type="dxa"/>
            <w:tcBorders/>
            <w:shd w:fill="CCEEFF" w:val="clear"/>
            <w:vAlign w:val="center"/>
          </w:tcPr>
          <w:p>
            <w:pPr>
              <w:pStyle w:val="TableContents"/>
              <w:spacing w:before="0" w:after="0"/>
              <w:ind w:left="0" w:right="0" w:hanging="0"/>
              <w:rPr/>
            </w:pPr>
            <w:r>
              <w:rPr/>
              <w:t>​</w:t>
            </w:r>
          </w:p>
        </w:tc>
        <w:tc>
          <w:tcPr>
            <w:tcW w:w="29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(1,167)</w:t>
            </w:r>
          </w:p>
        </w:tc>
        <w:tc>
          <w:tcPr>
            <w:tcW w:w="109" w:type="dxa"/>
            <w:tcBorders/>
            <w:shd w:fill="CCEEFF" w:val="clear"/>
            <w:vAlign w:val="center"/>
          </w:tcPr>
          <w:p>
            <w:pPr>
              <w:pStyle w:val="TableContents"/>
              <w:spacing w:before="0" w:after="0"/>
              <w:ind w:left="0" w:right="0" w:hanging="0"/>
              <w:rPr/>
            </w:pPr>
            <w:r>
              <w:rPr/>
              <w:t>​</w:t>
            </w:r>
          </w:p>
        </w:tc>
        <w:tc>
          <w:tcPr>
            <w:tcW w:w="20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290</w:t>
            </w:r>
          </w:p>
        </w:tc>
        <w:tc>
          <w:tcPr>
            <w:tcW w:w="109" w:type="dxa"/>
            <w:tcBorders/>
            <w:shd w:fill="CCEEFF" w:val="clear"/>
            <w:vAlign w:val="center"/>
          </w:tcPr>
          <w:p>
            <w:pPr>
              <w:pStyle w:val="TableContents"/>
              <w:spacing w:before="0" w:after="0"/>
              <w:ind w:left="0" w:right="0" w:hanging="0"/>
              <w:rPr/>
            </w:pPr>
            <w:r>
              <w:rPr/>
              <w:t>​</w:t>
            </w:r>
          </w:p>
        </w:tc>
        <w:tc>
          <w:tcPr>
            <w:tcW w:w="40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109"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214" w:type="dxa"/>
            <w:tcBorders/>
            <w:shd w:fill="CCEEFF" w:val="clear"/>
            <w:vAlign w:val="center"/>
          </w:tcPr>
          <w:p>
            <w:pPr>
              <w:pStyle w:val="TableContents"/>
              <w:spacing w:before="0" w:after="0"/>
              <w:ind w:left="0" w:right="0" w:hanging="0"/>
              <w:rPr/>
            </w:pPr>
            <w:r>
              <w:rPr/>
              <w:t>​</w:t>
            </w:r>
          </w:p>
        </w:tc>
        <w:tc>
          <w:tcPr>
            <w:tcW w:w="3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(790)</w:t>
            </w:r>
          </w:p>
        </w:tc>
      </w:tr>
      <w:tr>
        <w:trPr/>
        <w:tc>
          <w:tcPr>
            <w:tcW w:w="112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(expense) income:</w:t>
            </w:r>
          </w:p>
        </w:tc>
        <w:tc>
          <w:tcPr>
            <w:tcW w:w="109"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87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7" w:type="dxa"/>
            <w:tcBorders/>
            <w:shd w:fill="auto" w:val="clear"/>
            <w:vAlign w:val="center"/>
          </w:tcPr>
          <w:p>
            <w:pPr>
              <w:pStyle w:val="TableContents"/>
              <w:spacing w:before="0" w:after="0"/>
              <w:ind w:left="0" w:right="0" w:hanging="0"/>
              <w:rPr/>
            </w:pPr>
            <w:r>
              <w:rPr/>
              <w:t>​</w:t>
            </w:r>
          </w:p>
        </w:tc>
        <w:tc>
          <w:tcPr>
            <w:tcW w:w="54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54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jc w:val="right"/>
              <w:rPr/>
            </w:pPr>
            <w:r>
              <w:rPr/>
              <w:t>​</w:t>
            </w:r>
          </w:p>
        </w:tc>
        <w:tc>
          <w:tcPr>
            <w:tcW w:w="38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1" w:type="dxa"/>
            <w:tcBorders/>
            <w:shd w:fill="auto" w:val="clear"/>
            <w:vAlign w:val="center"/>
          </w:tcPr>
          <w:p>
            <w:pPr>
              <w:pStyle w:val="TableContents"/>
              <w:spacing w:before="0" w:after="0"/>
              <w:ind w:left="0" w:right="0" w:hanging="0"/>
              <w:rPr/>
            </w:pPr>
            <w:r>
              <w:rPr/>
              <w:t>​</w:t>
            </w:r>
          </w:p>
        </w:tc>
        <w:tc>
          <w:tcPr>
            <w:tcW w:w="524" w:type="dxa"/>
            <w:tcBorders/>
            <w:shd w:fill="auto" w:val="clear"/>
            <w:vAlign w:val="center"/>
          </w:tcPr>
          <w:p>
            <w:pPr>
              <w:pStyle w:val="TableContents"/>
              <w:spacing w:before="0" w:after="0"/>
              <w:ind w:left="0" w:right="0" w:hanging="0"/>
              <w:jc w:val="right"/>
              <w:rPr/>
            </w:pPr>
            <w:r>
              <w:rPr/>
              <w:t>​</w:t>
            </w:r>
          </w:p>
        </w:tc>
        <w:tc>
          <w:tcPr>
            <w:tcW w:w="214"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w:t>
            </w:r>
          </w:p>
        </w:tc>
        <w:tc>
          <w:tcPr>
            <w:tcW w:w="6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49" w:type="dxa"/>
            <w:tcBorders/>
            <w:shd w:fill="auto" w:val="clear"/>
            <w:vAlign w:val="center"/>
          </w:tcPr>
          <w:p>
            <w:pPr>
              <w:pStyle w:val="TableContents"/>
              <w:spacing w:before="0" w:after="0"/>
              <w:ind w:left="0" w:right="0" w:hanging="0"/>
              <w:rPr/>
            </w:pPr>
            <w:r>
              <w:rPr/>
              <w:t>​</w:t>
            </w:r>
          </w:p>
        </w:tc>
        <w:tc>
          <w:tcPr>
            <w:tcW w:w="67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5" w:type="dxa"/>
            <w:tcBorders/>
            <w:shd w:fill="auto" w:val="clear"/>
            <w:vAlign w:val="center"/>
          </w:tcPr>
          <w:p>
            <w:pPr>
              <w:pStyle w:val="TableContents"/>
              <w:spacing w:before="0" w:after="0"/>
              <w:ind w:left="0" w:right="0" w:hanging="0"/>
              <w:jc w:val="right"/>
              <w:rPr/>
            </w:pPr>
            <w:r>
              <w:rPr/>
              <w:t>​</w:t>
            </w:r>
          </w:p>
        </w:tc>
      </w:tr>
      <w:tr>
        <w:trPr/>
        <w:tc>
          <w:tcPr>
            <w:tcW w:w="112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w:t>
            </w:r>
          </w:p>
        </w:tc>
        <w:tc>
          <w:tcPr>
            <w:tcW w:w="8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109" w:type="dxa"/>
            <w:tcBorders/>
            <w:shd w:fill="CCEEFF" w:val="clear"/>
            <w:vAlign w:val="center"/>
          </w:tcPr>
          <w:p>
            <w:pPr>
              <w:pStyle w:val="TableContents"/>
              <w:spacing w:before="0" w:after="0"/>
              <w:ind w:left="0" w:right="0" w:hanging="0"/>
              <w:rPr/>
            </w:pPr>
            <w:r>
              <w:rPr/>
              <w:t>​</w:t>
            </w:r>
          </w:p>
        </w:tc>
        <w:tc>
          <w:tcPr>
            <w:tcW w:w="207" w:type="dxa"/>
            <w:tcBorders/>
            <w:shd w:fill="CCEEFF" w:val="clear"/>
            <w:vAlign w:val="center"/>
          </w:tcPr>
          <w:p>
            <w:pPr>
              <w:pStyle w:val="TableContents"/>
              <w:spacing w:before="0" w:after="0"/>
              <w:ind w:left="0" w:right="0" w:hanging="0"/>
              <w:rPr/>
            </w:pPr>
            <w:r>
              <w:rPr/>
              <w:t>​</w:t>
            </w:r>
          </w:p>
        </w:tc>
        <w:tc>
          <w:tcPr>
            <w:tcW w:w="54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(312)</w:t>
            </w:r>
          </w:p>
        </w:tc>
        <w:tc>
          <w:tcPr>
            <w:tcW w:w="109" w:type="dxa"/>
            <w:tcBorders/>
            <w:shd w:fill="CCEEFF" w:val="clear"/>
            <w:vAlign w:val="center"/>
          </w:tcPr>
          <w:p>
            <w:pPr>
              <w:pStyle w:val="TableContents"/>
              <w:spacing w:before="0" w:after="0"/>
              <w:ind w:left="0" w:right="0" w:hanging="0"/>
              <w:rPr/>
            </w:pPr>
            <w:r>
              <w:rPr/>
              <w:t>​</w:t>
            </w:r>
          </w:p>
        </w:tc>
        <w:tc>
          <w:tcPr>
            <w:tcW w:w="408"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9" w:type="dxa"/>
            <w:tcBorders/>
            <w:shd w:fill="CCEEFF" w:val="clear"/>
            <w:vAlign w:val="center"/>
          </w:tcPr>
          <w:p>
            <w:pPr>
              <w:pStyle w:val="TableContents"/>
              <w:spacing w:before="0" w:after="0"/>
              <w:ind w:left="0" w:right="0" w:hanging="0"/>
              <w:rPr/>
            </w:pPr>
            <w:r>
              <w:rPr/>
              <w:t>​</w:t>
            </w:r>
          </w:p>
        </w:tc>
        <w:tc>
          <w:tcPr>
            <w:tcW w:w="54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109"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jc w:val="right"/>
              <w:rPr/>
            </w:pPr>
            <w:r>
              <w:rPr/>
              <w:t>​</w:t>
            </w:r>
          </w:p>
        </w:tc>
        <w:tc>
          <w:tcPr>
            <w:tcW w:w="38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1" w:type="dxa"/>
            <w:tcBorders/>
            <w:shd w:fill="CCEEFF" w:val="clear"/>
            <w:vAlign w:val="center"/>
          </w:tcPr>
          <w:p>
            <w:pPr>
              <w:pStyle w:val="TableContents"/>
              <w:spacing w:before="0" w:after="0"/>
              <w:ind w:left="0" w:right="0" w:hanging="0"/>
              <w:rPr/>
            </w:pPr>
            <w:r>
              <w:rPr/>
              <w:t>​</w:t>
            </w:r>
          </w:p>
        </w:tc>
        <w:tc>
          <w:tcPr>
            <w:tcW w:w="52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214"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pPr>
            <w:r>
              <w:rPr/>
              <w:t>​</w:t>
            </w:r>
          </w:p>
        </w:tc>
        <w:tc>
          <w:tcPr>
            <w:tcW w:w="63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49" w:type="dxa"/>
            <w:tcBorders/>
            <w:shd w:fill="CCEEFF" w:val="clear"/>
            <w:vAlign w:val="center"/>
          </w:tcPr>
          <w:p>
            <w:pPr>
              <w:pStyle w:val="TableContents"/>
              <w:spacing w:before="0" w:after="0"/>
              <w:ind w:left="0" w:right="0" w:hanging="0"/>
              <w:rPr/>
            </w:pPr>
            <w:r>
              <w:rPr/>
              <w:t>​</w:t>
            </w:r>
          </w:p>
        </w:tc>
        <w:tc>
          <w:tcPr>
            <w:tcW w:w="670"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5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r>
      <w:tr>
        <w:trPr/>
        <w:tc>
          <w:tcPr>
            <w:tcW w:w="112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(expense) income, net</w:t>
            </w:r>
          </w:p>
        </w:tc>
        <w:tc>
          <w:tcPr>
            <w:tcW w:w="109" w:type="dxa"/>
            <w:tcBorders/>
            <w:shd w:fill="auto" w:val="clear"/>
            <w:vAlign w:val="center"/>
          </w:tcPr>
          <w:p>
            <w:pPr>
              <w:pStyle w:val="TableContents"/>
              <w:spacing w:before="0" w:after="0"/>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auto" w:val="clear"/>
            <w:vAlign w:val="center"/>
          </w:tcPr>
          <w:p>
            <w:pPr>
              <w:pStyle w:val="TableContents"/>
              <w:spacing w:before="0" w:after="0"/>
              <w:ind w:left="0" w:right="0" w:hanging="0"/>
              <w:rPr/>
            </w:pPr>
            <w:r>
              <w:rPr/>
              <w:t>​</w:t>
            </w:r>
          </w:p>
        </w:tc>
        <w:tc>
          <w:tcPr>
            <w:tcW w:w="40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8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399</w:t>
            </w:r>
          </w:p>
        </w:tc>
        <w:tc>
          <w:tcPr>
            <w:tcW w:w="214" w:type="dxa"/>
            <w:tcBorders/>
            <w:shd w:fill="auto" w:val="clear"/>
            <w:vAlign w:val="center"/>
          </w:tcPr>
          <w:p>
            <w:pPr>
              <w:pStyle w:val="TableContents"/>
              <w:spacing w:lineRule="auto" w:line="240" w:before="0" w:after="0"/>
              <w:ind w:left="0" w:right="0" w:hanging="0"/>
              <w:rPr>
                <w:rFonts w:ascii="Times New Roman;Times;serif" w:hAnsi="Times New Roman;Times;serif"/>
                <w:sz w:val="14"/>
              </w:rPr>
            </w:pPr>
            <w:r>
              <w:rPr>
                <w:rFonts w:ascii="Times New Roman;Times;serif" w:hAnsi="Times New Roman;Times;serif"/>
                <w:sz w:val="14"/>
              </w:rPr>
              <w:t>(e)</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4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395</w:t>
            </w:r>
          </w:p>
        </w:tc>
      </w:tr>
      <w:tr>
        <w:trPr/>
        <w:tc>
          <w:tcPr>
            <w:tcW w:w="112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other (expense) income</w:t>
            </w:r>
          </w:p>
        </w:tc>
        <w:tc>
          <w:tcPr>
            <w:tcW w:w="109" w:type="dxa"/>
            <w:tcBorders/>
            <w:shd w:fill="CCEEFF" w:val="clear"/>
            <w:vAlign w:val="center"/>
          </w:tcPr>
          <w:p>
            <w:pPr>
              <w:pStyle w:val="TableContents"/>
              <w:spacing w:before="0" w:after="0"/>
              <w:ind w:left="0" w:right="0" w:hanging="0"/>
              <w:rPr/>
            </w:pPr>
            <w:r>
              <w:rPr/>
              <w:t>​</w:t>
            </w:r>
          </w:p>
        </w:tc>
        <w:tc>
          <w:tcPr>
            <w:tcW w:w="29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109" w:type="dxa"/>
            <w:tcBorders/>
            <w:shd w:fill="CCEEFF" w:val="clear"/>
            <w:vAlign w:val="center"/>
          </w:tcPr>
          <w:p>
            <w:pPr>
              <w:pStyle w:val="TableContents"/>
              <w:spacing w:before="0" w:after="0"/>
              <w:ind w:left="0" w:right="0" w:hanging="0"/>
              <w:rPr/>
            </w:pPr>
            <w:r>
              <w:rPr/>
              <w:t>​</w:t>
            </w:r>
          </w:p>
        </w:tc>
        <w:tc>
          <w:tcPr>
            <w:tcW w:w="20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109" w:type="dxa"/>
            <w:tcBorders/>
            <w:shd w:fill="CCEEFF" w:val="clear"/>
            <w:vAlign w:val="center"/>
          </w:tcPr>
          <w:p>
            <w:pPr>
              <w:pStyle w:val="TableContents"/>
              <w:spacing w:before="0" w:after="0"/>
              <w:ind w:left="0" w:right="0" w:hanging="0"/>
              <w:rPr/>
            </w:pPr>
            <w:r>
              <w:rPr/>
              <w:t>​</w:t>
            </w:r>
          </w:p>
        </w:tc>
        <w:tc>
          <w:tcPr>
            <w:tcW w:w="40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109"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354</w:t>
            </w:r>
          </w:p>
        </w:tc>
        <w:tc>
          <w:tcPr>
            <w:tcW w:w="214" w:type="dxa"/>
            <w:tcBorders/>
            <w:shd w:fill="CCEEFF" w:val="clear"/>
            <w:vAlign w:val="center"/>
          </w:tcPr>
          <w:p>
            <w:pPr>
              <w:pStyle w:val="TableContents"/>
              <w:spacing w:before="0" w:after="0"/>
              <w:ind w:left="0" w:right="0" w:hanging="0"/>
              <w:rPr/>
            </w:pPr>
            <w:r>
              <w:rPr/>
              <w:t>​</w:t>
            </w:r>
          </w:p>
        </w:tc>
        <w:tc>
          <w:tcPr>
            <w:tcW w:w="3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r>
      <w:tr>
        <w:trPr/>
        <w:tc>
          <w:tcPr>
            <w:tcW w:w="1123"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Net (loss) income</w:t>
            </w:r>
          </w:p>
        </w:tc>
        <w:tc>
          <w:tcPr>
            <w:tcW w:w="109" w:type="dxa"/>
            <w:tcBorders/>
            <w:shd w:fill="auto" w:val="clear"/>
            <w:vAlign w:val="center"/>
          </w:tcPr>
          <w:p>
            <w:pPr>
              <w:pStyle w:val="TableContents"/>
              <w:spacing w:before="0" w:after="0"/>
              <w:ind w:left="0" w:right="0" w:hanging="0"/>
              <w:rPr/>
            </w:pPr>
            <w:r>
              <w:rPr/>
              <w:t>​</w:t>
            </w:r>
          </w:p>
        </w:tc>
        <w:tc>
          <w:tcPr>
            <w:tcW w:w="29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87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(1,223)</w:t>
            </w:r>
          </w:p>
        </w:tc>
        <w:tc>
          <w:tcPr>
            <w:tcW w:w="109" w:type="dxa"/>
            <w:tcBorders/>
            <w:shd w:fill="auto" w:val="clear"/>
            <w:vAlign w:val="center"/>
          </w:tcPr>
          <w:p>
            <w:pPr>
              <w:pStyle w:val="TableContents"/>
              <w:spacing w:before="0" w:after="0"/>
              <w:ind w:left="0" w:right="0" w:hanging="0"/>
              <w:rPr/>
            </w:pPr>
            <w:r>
              <w:rPr/>
              <w:t>​</w:t>
            </w:r>
          </w:p>
        </w:tc>
        <w:tc>
          <w:tcPr>
            <w:tcW w:w="20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5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(27)</w:t>
            </w:r>
          </w:p>
        </w:tc>
        <w:tc>
          <w:tcPr>
            <w:tcW w:w="109" w:type="dxa"/>
            <w:tcBorders/>
            <w:shd w:fill="auto" w:val="clear"/>
            <w:vAlign w:val="center"/>
          </w:tcPr>
          <w:p>
            <w:pPr>
              <w:pStyle w:val="TableContents"/>
              <w:spacing w:before="0" w:after="0"/>
              <w:ind w:left="0" w:right="0" w:hanging="0"/>
              <w:rPr/>
            </w:pPr>
            <w:r>
              <w:rPr/>
              <w:t>​</w:t>
            </w:r>
          </w:p>
        </w:tc>
        <w:tc>
          <w:tcPr>
            <w:tcW w:w="40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723"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54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(149)</w:t>
            </w:r>
          </w:p>
        </w:tc>
        <w:tc>
          <w:tcPr>
            <w:tcW w:w="109"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w:t>
            </w:r>
          </w:p>
        </w:tc>
        <w:tc>
          <w:tcPr>
            <w:tcW w:w="387"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0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52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360</w:t>
            </w:r>
          </w:p>
        </w:tc>
        <w:tc>
          <w:tcPr>
            <w:tcW w:w="214" w:type="dxa"/>
            <w:tcBorders/>
            <w:shd w:fill="auto" w:val="clear"/>
            <w:vAlign w:val="center"/>
          </w:tcPr>
          <w:p>
            <w:pPr>
              <w:pStyle w:val="TableContents"/>
              <w:spacing w:before="0" w:after="0"/>
              <w:ind w:left="0" w:right="0" w:hanging="0"/>
              <w:rPr/>
            </w:pPr>
            <w:r>
              <w:rPr/>
              <w:t>​</w:t>
            </w:r>
          </w:p>
        </w:tc>
        <w:tc>
          <w:tcPr>
            <w:tcW w:w="35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34"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7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44</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65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(995)</w:t>
            </w:r>
          </w:p>
        </w:tc>
      </w:tr>
    </w:tbl>
    <w:tbl>
      <w:tblPr>
        <w:tblW w:w="9602" w:type="dxa"/>
        <w:jc w:val="left"/>
        <w:tblInd w:w="0" w:type="dxa"/>
        <w:tblCellMar>
          <w:top w:w="0" w:type="dxa"/>
          <w:left w:w="0" w:type="dxa"/>
          <w:bottom w:w="0" w:type="dxa"/>
          <w:right w:w="0" w:type="dxa"/>
        </w:tblCellMar>
      </w:tblPr>
      <w:tblGrid>
        <w:gridCol w:w="316"/>
        <w:gridCol w:w="9286"/>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28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The Latitude Margaritaville Watersound JV completed 18</w:t>
            </w:r>
            <w:r>
              <w:rPr>
                <w:caps w:val="false"/>
                <w:smallCaps w:val="false"/>
              </w:rPr>
              <w:t xml:space="preserve"> </w:t>
            </w:r>
            <w:r>
              <w:rPr>
                <w:rFonts w:ascii="Times New Roman;Times;serif" w:hAnsi="Times New Roman;Times;serif"/>
                <w:b w:val="false"/>
                <w:i w:val="false"/>
                <w:caps w:val="false"/>
                <w:smallCaps w:val="false"/>
                <w:sz w:val="18"/>
              </w:rPr>
              <w:t>home sale transactions during the three months ended March 31, 2022.</w:t>
            </w:r>
          </w:p>
        </w:tc>
      </w:tr>
    </w:tbl>
    <w:tbl>
      <w:tblPr>
        <w:tblW w:w="8372" w:type="dxa"/>
        <w:jc w:val="left"/>
        <w:tblInd w:w="0" w:type="dxa"/>
        <w:tblCellMar>
          <w:top w:w="0" w:type="dxa"/>
          <w:left w:w="0" w:type="dxa"/>
          <w:bottom w:w="0" w:type="dxa"/>
          <w:right w:w="0" w:type="dxa"/>
        </w:tblCellMar>
      </w:tblPr>
      <w:tblGrid>
        <w:gridCol w:w="331"/>
        <w:gridCol w:w="8041"/>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80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tbl>
      <w:tblPr>
        <w:tblW w:w="7802" w:type="dxa"/>
        <w:jc w:val="left"/>
        <w:tblInd w:w="0" w:type="dxa"/>
        <w:tblCellMar>
          <w:top w:w="0" w:type="dxa"/>
          <w:left w:w="0" w:type="dxa"/>
          <w:bottom w:w="0" w:type="dxa"/>
          <w:right w:w="0" w:type="dxa"/>
        </w:tblCellMar>
      </w:tblPr>
      <w:tblGrid>
        <w:gridCol w:w="316"/>
        <w:gridCol w:w="7486"/>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748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The project was under construction with no</w:t>
            </w:r>
            <w:r>
              <w:rPr>
                <w:caps w:val="false"/>
                <w:smallCaps w:val="false"/>
              </w:rPr>
              <w:t xml:space="preserve"> </w:t>
            </w:r>
            <w:r>
              <w:rPr>
                <w:rFonts w:ascii="Times New Roman;Times;serif" w:hAnsi="Times New Roman;Times;serif"/>
                <w:b w:val="false"/>
                <w:i w:val="false"/>
                <w:caps w:val="false"/>
                <w:smallCaps w:val="false"/>
                <w:sz w:val="18"/>
              </w:rPr>
              <w:t>income or loss for the three months ended March 31, 2022.</w:t>
            </w:r>
          </w:p>
        </w:tc>
      </w:tr>
    </w:tbl>
    <w:tbl>
      <w:tblPr>
        <w:tblW w:w="2897" w:type="dxa"/>
        <w:jc w:val="left"/>
        <w:tblInd w:w="0" w:type="dxa"/>
        <w:tblCellMar>
          <w:top w:w="0" w:type="dxa"/>
          <w:left w:w="0" w:type="dxa"/>
          <w:bottom w:w="0" w:type="dxa"/>
          <w:right w:w="0" w:type="dxa"/>
        </w:tblCellMar>
      </w:tblPr>
      <w:tblGrid>
        <w:gridCol w:w="331"/>
        <w:gridCol w:w="2566"/>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256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JV was formed in May 2022.</w:t>
            </w:r>
          </w:p>
        </w:tc>
      </w:tr>
    </w:tbl>
    <w:tbl>
      <w:tblPr>
        <w:tblW w:w="8252" w:type="dxa"/>
        <w:jc w:val="left"/>
        <w:tblInd w:w="0" w:type="dxa"/>
        <w:tblCellMar>
          <w:top w:w="0" w:type="dxa"/>
          <w:left w:w="0" w:type="dxa"/>
          <w:bottom w:w="0" w:type="dxa"/>
          <w:right w:w="0" w:type="dxa"/>
        </w:tblCellMar>
      </w:tblPr>
      <w:tblGrid>
        <w:gridCol w:w="316"/>
        <w:gridCol w:w="7936"/>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(e)</w:t>
            </w:r>
          </w:p>
        </w:tc>
        <w:tc>
          <w:tcPr>
            <w:tcW w:w="79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Latitude Margaritaville Watersound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LMWS, LLC (“Latitude Margaritaville Watersound JV”) was formed in 2019, when the Company entered into a JV agreement to develop a 55+ active adult residential community in Bay County, Florida. Construction is underway on customer homes and town center amenities. As of March 31, 2023, the Latitude Margaritaville Watersound JV had 679 homes under contract and has completed 512 home sale transactions of the total estimated 3,500 homes planned in the community. As of March 31, 2023 and December 31, 2022, the Company’s investment in the unconsolidated Latitude Margaritaville Watersound JV was $37.2 million and $33.2 million, respectively, which includes the net present value of the land contribution, cash contributions, additional completed infrastructure improvements and equity in income, less the pro-rata return of land contribution. The Company continues to have a performance obligation to provide agreed upon infrastructure improvements in the vicinity of the contributed land, which will be recognized over time as improvements are completed. As of March 31, 2023, the Company completed $7.7 million of the agreed upon infrastructure improvements. As of March 31, 2023 and December 31, 2022, the Company owned a 50.0% voting interest in the JV. The Company’s unimproved land contribution and agreed upon infrastructure improvements are being returned at an average of $10,000 per home, as each home is sold by the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Per the JV agreement, the Company, as lender, has provided interest-bearing financing in the form of a $10.0 million secured revolving promissory note (the “Latitude JV Note”) to the Latitude Margaritaville Watersound JV, as borrower, to finance the development of the pod-level, non-spine infrastructure. As of March 31, 2023 and December 31, 2022, there was no balance outstanding on the Latitude JV Note. Future advances, if any, will be repaid by the JV as each home is sold. See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the revolving promissory note. The day-to-day activities of the JV are being managed through a board of managers, with each JV partner having equal voting rights. The Company has determined that Latitude Margaritaville Watersound JV is a VIE, but that the Company is not the primary beneficiary since it does not have the power to direct the activities that most significantly impact the economic performance of the JV. The Company’s investment in the Latitude Margaritaville Watersound JV is accounted for using the equity method. See Note 18. </w:t>
      </w:r>
      <w:r>
        <w:rPr>
          <w:rFonts w:ascii="TimesNewRomanPS-ItalicMT" w:hAnsi="TimesNewRomanPS-ItalicMT"/>
          <w:i/>
          <w:sz w:val="20"/>
        </w:rPr>
        <w:t xml:space="preserve">Commitments and Contingencies </w:t>
      </w:r>
      <w:r>
        <w:rPr>
          <w:rFonts w:ascii="Times New Roman;Times;serif" w:hAnsi="Times New Roman;Times;serif"/>
          <w:sz w:val="20"/>
        </w:rPr>
        <w:t>for additional information related to the guaranty by the Company.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Sea Sound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FDSJ Eventide, LLC (“Sea Sound JV”) was formed in 2020. The Company entered into a JV agreement to develop, construct and manage a 300-unit apartment community near the Breakfast Point residential community in Panama City Beach, Florida. Construction of the community was completed in the first quarter of 2022. As of March 31, 2023 and December 31, 2022, the Company owned a 60.0% interest in the JV. In November 2022, the Sea Sound JV sold its assets to a third party and no longer has activity from operations. The Sea Sound JV has a contingent gain related to the sale for a $0.5 million indemnity holdback liability required through August 2023. The Company has determined that Sea Sound JV is a VIE, but that the Company is not the primary beneficiary since it does not have the power to direct the activities that most significantly impact the economic performance of the JV. The Company’s investment in Sea Sound JV is accounted for using the equity method.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Watersound Fountains Independent Living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WOSL, LLC (“Watersound Fountains Independent Living JV”) was formed in 2021. The Company entered into a JV agreement to develop, construct and manage a 148-unit independent senior living community near the Watersound Origins residential community. The three JV parties are working together to develop and construct the project. As of March 31, 2023 and December 31, 2022, the Company owned a 53.8% interest in the JV. The Company’s partners are responsible for the day-to-day activities of the JV. The Company has determined that Watersound Fountains Independent Living JV is a VIE, but that the Company is not the primary beneficiary since it does not have the power to direct the activities that most significantly impact the economic performance of the JV. The Company’s investment in Watersound Fountains Independent Living JV is accounted for using the equity method. See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Pier Park TPS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Pier Park TPS, LLC (“Pier Park TPS JV”) was formed in 2018. The Company entered into a JV agreement to develop and operate a 124-room hotel in Panama City Beach, Florida. As of March 31, 2023 and December 31, 2022, the Company owned a 50.0% interest in the JV. The Company’s partner is responsible for the day-to-day activities of the JV. The Company has determined that Pier Park TPS JV is a VIE, but that the Company is not the primary beneficiary since it does not have the power to direct the activities that most significantly impact the economic performance of the JV. The Company’s investment in Pier Park TPS JV is accounted for using the equity method. See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Pier Park RI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Pier Park RI, LLC (“Pier Park RI JV”) was formed in May 2022. The Company entered into a JV agreement to develop and operate a 121-room hotel in Panama City Beach, Florida. The JV parties are working together to develop and construct the project. The hotel is located on land that was contributed to the JV by the Company in September 2022, with a fair value of $1.8 million. In addition, as of March 31, 2023, the Company has contributed cash and impact fees of $4.4 million, and the JV partner contributed cash of $6.2 million. As of March 31, 2023 and December 31, 2022, the Company owned a 50.0% interest in the JV. The Company’s partner is responsible for the day-to-day activities of the JV. The Company has determined that Pier Park RI JV is a VIE, but that the Company is not the primary beneficiary since it does not have the power to direct the activities that most significantly impact the economic performance of the JV. The Company’s investment in Pier Park TPS JV is accounted for using the equity method. In September 2022, the JV entered into a $25.0 million loan (the “Pier Park RI JV Loan”). The Pier Park RI JV Loan bears interest at the Secured Overnight Financing Rate (“SOFR”) plus 2.5% and matures in August 2025. The Pier Park RI JV Loan includes an option for a fixed rate conversion and two options to extend the maturity date by twenty-four months each, upon satisfaction of certain terms and conditions. The loan is secured by real property and certain other security interests. The Company’s JV partner is the sole guarantor and receives a fee related to the guarantee from the Company based on the Company’s ownership percentage. As of March 31, 2023 and December 31, 2022, there was no principal balance outstanding on the Pier Park RI JV Loan.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Busy Bee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SJBB, LLC (“Busy Bee JV”) was formed in 2019, when the Company entered into a JV agreement to construct, own and manage a Busy Bee branded fuel station and convenience store in Panama City Beach, Florida. As of March 31, 2023 and December 31, 2022, the Company owned a 50.0% interest in the JV. The Company’s partner is responsible for the day-to-day activities of the JV. The Company has determined that Busy Bee JV is a VIE, but that the Company is not the primary beneficiary since it does not have the power to direct the activities that most significantly impact the economic performance of the JV. The Company’s investment in the Busy Bee JV is accounted for using the equity method. In 2019, the JV, entered into a $5.4 million construction loan (the “Busy Bee JV Construction Loan”) and a $1.2 million equipment loan (the “Busy Bee JV Equipment Loan”). The Busy Bee JV Construction Loan and the Busy Bee JV Equipment Loan bear interest at LIBOR plus 1.5%. The Busy Bee JV Construction Loan provides for monthly principal and interest payments with a final balloon payment at maturity in November 2035. The Busy Bee JV Equipment Loan provides for monthly principal and interest payments through maturity in November 2027. The loans are secured by real and personal property and certain other security interests. The Company’s JV partner is the sole guarantor and receives a fee related to the guarantee from the Company based on the Company’s ownership percentage. </w:t>
      </w:r>
      <w:r>
        <w:rPr>
          <w:rFonts w:ascii="TimesNewRomanPSMT" w:hAnsi="TimesNewRomanPSMT"/>
          <w:sz w:val="20"/>
        </w:rPr>
        <w:t>The Busy Bee JV entered into an interest rate swap to hedge cash flows tied to changes in the underlying floating interest rate tied to LIBOR for the Busy Bee JV Construction Loan and the Busy Bee JV Equipment Loan. The Busy Bee JV Construction Loan interest rate swap matures in November 2035 and fixed the variable rate debt, initially at $5.4</w:t>
      </w:r>
      <w:r>
        <w:rPr>
          <w:rFonts w:ascii="Times New Roman;Times;serif" w:hAnsi="Times New Roman;Times;serif"/>
          <w:sz w:val="20"/>
        </w:rPr>
        <w:t xml:space="preserve"> </w:t>
      </w:r>
      <w:r>
        <w:rPr>
          <w:rFonts w:ascii="TimesNewRomanPSMT" w:hAnsi="TimesNewRomanPSMT"/>
          <w:sz w:val="20"/>
        </w:rPr>
        <w:t>million amortizing to $2.8</w:t>
      </w:r>
      <w:r>
        <w:rPr>
          <w:rFonts w:ascii="Times New Roman;Times;serif" w:hAnsi="Times New Roman;Times;serif"/>
          <w:sz w:val="20"/>
        </w:rPr>
        <w:t xml:space="preserve"> </w:t>
      </w:r>
      <w:r>
        <w:rPr>
          <w:rFonts w:ascii="TimesNewRomanPSMT" w:hAnsi="TimesNewRomanPSMT"/>
          <w:sz w:val="20"/>
        </w:rPr>
        <w:t>million at swap maturity, to a rate of 2.7%. The Busy Bee JV Equipment Loan interest rate swap matures in November 2027 and fixed the variable rate debt, initially at $1.2</w:t>
      </w:r>
      <w:r>
        <w:rPr>
          <w:rFonts w:ascii="Times New Roman;Times;serif" w:hAnsi="Times New Roman;Times;serif"/>
          <w:sz w:val="20"/>
        </w:rPr>
        <w:t xml:space="preserve"> </w:t>
      </w:r>
      <w:r>
        <w:rPr>
          <w:rFonts w:ascii="TimesNewRomanPSMT" w:hAnsi="TimesNewRomanPSMT"/>
          <w:sz w:val="20"/>
        </w:rPr>
        <w:t xml:space="preserve">million to maturity, to a rate of 2.1%. </w:t>
      </w:r>
      <w:r>
        <w:rPr>
          <w:rFonts w:ascii="Times New Roman;Times;serif" w:hAnsi="Times New Roman;Times;serif"/>
          <w:sz w:val="20"/>
        </w:rPr>
        <w:t>As of both March 31, 2023 and December 31, 2022, $5.1 million, was outstanding on the Busy Bee JV Construction Loan. As of both March 31, 2023 and December 31, 2022, $0.9 million was outstanding on the Busy Bee JV Equipment Loan.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bookmarkStart w:id="1152" w:name="_6ffe4056_1b8d_4fde_ade0_33df17107538_3"/>
      <w:bookmarkStart w:id="1153" w:name="_6ffe4056_1b8d_4fde_ade0_33df17107538_2"/>
      <w:bookmarkStart w:id="1154" w:name="_6ffe4056_1b8d_4fde_ade0_33df17107538"/>
      <w:bookmarkStart w:id="1155" w:name="_Hlk101170773"/>
      <w:bookmarkEnd w:id="1152"/>
      <w:bookmarkEnd w:id="1153"/>
      <w:bookmarkEnd w:id="1154"/>
      <w:bookmarkEnd w:id="1155"/>
      <w:r>
        <w:rPr>
          <w:rFonts w:ascii="Times New Roman;Times;serif" w:hAnsi="Times New Roman;Times;serif"/>
          <w:i/>
          <w:sz w:val="20"/>
        </w:rPr>
        <w:t>Electric Cart Watersound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SJECC, LLC (“Electric Cart Watersound JV”) was formed in February 2022, when the Company entered into a JV agreement to develop, construct, lease, manage and operate a golf cart and low speed vehicle “LSV” business at the new Watersound West Bay Center adjacent to the Latitude Margaritaville Watersound residential community in Bay County, Florida. This land was contributed to the JV by the Company in February 2022, with a fair value of $0.5 million. In addition, during 2022 the Company contributed cash of $0.2 million and the JV partner contributed cash of $0.6 million. The Watersound West Bay Center location is currently under development. The JV is operating from temporary facilities. An additional sales showroom will be located at the Watersound Town Center near the Watersound Origins residential community on property leased to the JV by the Company. As of March 31, 2023 and December 31, 2022, the Company owned a 51% interest in the JV. The Company is currently responsible for the construction activities of the JV and the Company’s JV partner manages the day-to-day operations of the business. The Company has determined Electric Cart Watersound JV is a VIE, but that the Company is not the primary beneficiary since it does not have the power to direct the activities that most significantly impact the economic performance of the JV. The Company’s investment in Electric Cart Watersound JV is accounted for using the equity method. As of March 31, 2023 and December 31, 2022, the Electric Cart Watersound JV had $2.2 million and $1.7 million, respectively, of floorplan line of credit facilities to finance its golf cart and LSV inventory, which are secured by the JV. Borrowings under the line of credit facility bear interest at various rates based on the number of days outstanding after an interest free period ranging from three to six months. As of March 31, 2023 and December 31, 2022, the JV had an outstanding principal balance of $0.3 million and $0.1 million, respectively, on these line of credit facilities. See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Watersound Management JV</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Watersound Management, LLC was formed in 2021, when the Company entered into a JV agreement to lease, manage and operate multi-family housing developments for which the JV is the exclusive renting and management agent. As of March 31, 2023 and December 31, 2022, the Company owned a 50.0% interest in the JV. The day-to-day activities of the JV are being managed through a board of managers, with each JV partner having equal voting rights. The Company has determined that Watersound Management JV is a voting interest entity, but that the Company does not have a majority voting interest. The Company’s investment in Watersound Management JV is accounted for using the equity method.</w:t>
      </w:r>
    </w:p>
    <w:p>
      <w:pPr>
        <w:pStyle w:val="TextBody"/>
        <w:spacing w:before="0" w:after="240"/>
        <w:ind w:left="0" w:right="0" w:hanging="0"/>
        <w:rPr/>
      </w:pPr>
      <w:bookmarkStart w:id="1156" w:name="_Hlk78191118"/>
      <w:bookmarkStart w:id="1157" w:name="Tc_wn0BT4VT8Uyd3kBoRwslWw_5_11"/>
      <w:bookmarkStart w:id="1158" w:name="Tc_ZKwC-Vedd0O9vEGZ_Zv3bg_5_8"/>
      <w:bookmarkStart w:id="1159" w:name="Tc_ysrRO5cNC0aKD2ba8K2_Xw_5_6"/>
      <w:bookmarkStart w:id="1160" w:name="Tc_hkO9OvG36kCLllAWa9_wkQ_5_5"/>
      <w:bookmarkStart w:id="1161" w:name="Tc_x113dDTrNUaCTRqcWoxCTg_5_2"/>
      <w:bookmarkStart w:id="1162" w:name="Tc__VDbrbzgykqAlsodgzxf6A_5_0"/>
      <w:bookmarkStart w:id="1163" w:name="Tc_uvxGTwc7PUyBHbouE6q6rw_4_0"/>
      <w:bookmarkStart w:id="1164" w:name="Tc_GsQYlDl79kiAoJU99oqfTg_3_11"/>
      <w:bookmarkStart w:id="1165" w:name="Tc_gMA2meTfeEilhXH5uIKCvw_3_8"/>
      <w:bookmarkStart w:id="1166" w:name="Tc_NXeVMOX3LEG-WjBfyq9dsw_3_5"/>
      <w:bookmarkStart w:id="1167" w:name="Tc_i9JnInQF6ESxzCK4s1_FZw_3_2"/>
      <w:bookmarkStart w:id="1168" w:name="Tc_z_2XjPrcSkedxreJ8R7VxQ_2_8"/>
      <w:bookmarkStart w:id="1169" w:name="Tc_s_6422UsGk6ztUzdq7hwVA_2_5"/>
      <w:bookmarkStart w:id="1170" w:name="Tc_x6fXO2aBYEWnJ13gA5LT_w_1_2"/>
      <w:bookmarkStart w:id="1171" w:name="_99fb0e4f_83a1_4ddc_8893_decbce988eb1"/>
      <w:bookmarkStart w:id="1172" w:name="Tc_CK0lCGYPOEinK3-ERxnBAQ_5_11"/>
      <w:bookmarkStart w:id="1173" w:name="Tc_8DHIYhefpEWExG-bNxMdvw_5_8"/>
      <w:bookmarkStart w:id="1174" w:name="Tc_JxEbfriErEqAWOTi1arFCA_5_5"/>
      <w:bookmarkStart w:id="1175" w:name="Tc_GP9Glp2oUk2IfULBM_-trQ_5_2"/>
      <w:bookmarkStart w:id="1176" w:name="Tc_qANTKAOqak-9JUe8HZgphA_5_0"/>
      <w:bookmarkStart w:id="1177" w:name="Tc_P3bTnSFs8UCbr8lvfwX83Q_4_0"/>
      <w:bookmarkStart w:id="1178" w:name="Tc_yDlgdmL0u0-hTgCu1lqdpw_3_11"/>
      <w:bookmarkStart w:id="1179" w:name="Tc_IWbcQ6ZArEm5TIdBZr-qQw_3_8"/>
      <w:bookmarkStart w:id="1180" w:name="Tc_Prw2YUfSJUKShUpap3d_CA_3_5"/>
      <w:bookmarkStart w:id="1181" w:name="Tc_KeFJx3r0l0CfK-YkmGsG0A_3_2"/>
      <w:bookmarkStart w:id="1182" w:name="Tc_bN7XGsq_iUiqZp2-ln0t5g_2_8"/>
      <w:bookmarkStart w:id="1183" w:name="Tc_-t_5HyRbGEahCwNeEfo_Lw_2_5"/>
      <w:bookmarkStart w:id="1184" w:name="Tc_PzgG1KkahUidT9MTjCy1zQ_1_2"/>
      <w:bookmarkStart w:id="1185" w:name="_d5c71644_21b4_4aea_a398_571ce47dfb73"/>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5. Investments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Available-For-Sale Investments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Investments classified as available-for-sale securities were as follows:</w:t>
      </w:r>
    </w:p>
    <w:p>
      <w:pPr>
        <w:pStyle w:val="TextBody"/>
        <w:spacing w:before="0" w:after="0"/>
        <w:ind w:left="0" w:right="0" w:hanging="0"/>
        <w:rPr/>
      </w:pPr>
      <w:r>
        <w:rPr/>
        <w:t>​</w:t>
      </w:r>
    </w:p>
    <w:tbl>
      <w:tblPr>
        <w:tblW w:w="8780" w:type="dxa"/>
        <w:jc w:val="left"/>
        <w:tblInd w:w="0" w:type="dxa"/>
        <w:tblCellMar>
          <w:top w:w="0" w:type="dxa"/>
          <w:left w:w="0" w:type="dxa"/>
          <w:bottom w:w="0" w:type="dxa"/>
          <w:right w:w="0" w:type="dxa"/>
        </w:tblCellMar>
      </w:tblPr>
      <w:tblGrid>
        <w:gridCol w:w="2536"/>
        <w:gridCol w:w="326"/>
        <w:gridCol w:w="296"/>
        <w:gridCol w:w="950"/>
        <w:gridCol w:w="326"/>
        <w:gridCol w:w="675"/>
        <w:gridCol w:w="676"/>
        <w:gridCol w:w="326"/>
        <w:gridCol w:w="485"/>
        <w:gridCol w:w="866"/>
        <w:gridCol w:w="326"/>
        <w:gridCol w:w="211"/>
        <w:gridCol w:w="781"/>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10360" cy="175260"/>
                      <wp:effectExtent l="0" t="0" r="0" b="0"/>
                      <wp:wrapNone/>
                      <wp:docPr id="176" name="Frame176"/>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87960" cy="175260"/>
                      <wp:effectExtent l="0" t="0" r="0" b="0"/>
                      <wp:wrapNone/>
                      <wp:docPr id="178" name="Frame178"/>
                      <a:graphic xmlns:a="http://schemas.openxmlformats.org/drawingml/2006/main">
                        <a:graphicData uri="http://schemas.microsoft.com/office/word/2010/wordprocessingShape">
                          <wps:wsp>
                            <wps:cNvSpPr txBox="1"/>
                            <wps:spPr>
                              <a:xfrm>
                                <a:off x="0" y="0"/>
                                <a:ext cx="187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03250" cy="175260"/>
                      <wp:effectExtent l="0" t="0" r="0" b="0"/>
                      <wp:wrapNone/>
                      <wp:docPr id="179" name="Frame179"/>
                      <a:graphic xmlns:a="http://schemas.openxmlformats.org/drawingml/2006/main">
                        <a:graphicData uri="http://schemas.microsoft.com/office/word/2010/wordprocessingShape">
                          <wps:wsp>
                            <wps:cNvSpPr txBox="1"/>
                            <wps:spPr>
                              <a:xfrm>
                                <a:off x="0" y="0"/>
                                <a:ext cx="6032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28625" cy="175260"/>
                      <wp:effectExtent l="0" t="0" r="0" b="0"/>
                      <wp:wrapNone/>
                      <wp:docPr id="181" name="Frame181"/>
                      <a:graphic xmlns:a="http://schemas.openxmlformats.org/drawingml/2006/main">
                        <a:graphicData uri="http://schemas.microsoft.com/office/word/2010/wordprocessingShape">
                          <wps:wsp>
                            <wps:cNvSpPr txBox="1"/>
                            <wps:spPr>
                              <a:xfrm>
                                <a:off x="0" y="0"/>
                                <a:ext cx="4286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9260" cy="175260"/>
                      <wp:effectExtent l="0" t="0" r="0" b="0"/>
                      <wp:wrapNone/>
                      <wp:docPr id="182" name="Frame18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07975" cy="175260"/>
                      <wp:effectExtent l="0" t="0" r="0" b="0"/>
                      <wp:wrapNone/>
                      <wp:docPr id="184" name="Frame184"/>
                      <a:graphic xmlns:a="http://schemas.openxmlformats.org/drawingml/2006/main">
                        <a:graphicData uri="http://schemas.microsoft.com/office/word/2010/wordprocessingShape">
                          <wps:wsp>
                            <wps:cNvSpPr txBox="1"/>
                            <wps:spPr>
                              <a:xfrm>
                                <a:off x="0" y="0"/>
                                <a:ext cx="307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49910" cy="175260"/>
                      <wp:effectExtent l="0" t="0" r="0" b="0"/>
                      <wp:wrapNone/>
                      <wp:docPr id="185" name="Frame185"/>
                      <a:graphic xmlns:a="http://schemas.openxmlformats.org/drawingml/2006/main">
                        <a:graphicData uri="http://schemas.microsoft.com/office/word/2010/wordprocessingShape">
                          <wps:wsp>
                            <wps:cNvSpPr txBox="1"/>
                            <wps:spPr>
                              <a:xfrm>
                                <a:off x="0" y="0"/>
                                <a:ext cx="549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95935" cy="175260"/>
                      <wp:effectExtent l="0" t="0" r="0" b="0"/>
                      <wp:wrapNone/>
                      <wp:docPr id="188" name="Frame18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918"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2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96" w:type="dxa"/>
            <w:tcBorders/>
            <w:shd w:fill="auto" w:val="clear"/>
            <w:vAlign w:val="center"/>
          </w:tcPr>
          <w:p>
            <w:pPr>
              <w:pStyle w:val="TableContents"/>
              <w:spacing w:before="0" w:after="1"/>
              <w:ind w:left="0" w:right="0" w:hanging="0"/>
              <w:rPr/>
            </w:pPr>
            <w:r>
              <w:rPr/>
              <w:t>​</w:t>
            </w:r>
          </w:p>
        </w:tc>
        <w:tc>
          <w:tcPr>
            <w:tcW w:w="95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shd w:fill="auto" w:val="clear"/>
            <w:vAlign w:val="center"/>
          </w:tcPr>
          <w:p>
            <w:pPr>
              <w:pStyle w:val="TableContents"/>
              <w:spacing w:before="0" w:after="1"/>
              <w:ind w:left="0" w:right="0" w:hanging="0"/>
              <w:jc w:val="center"/>
              <w:rPr/>
            </w:pPr>
            <w:r>
              <w:rPr/>
              <w:t>    </w:t>
            </w:r>
          </w:p>
        </w:tc>
        <w:tc>
          <w:tcPr>
            <w:tcW w:w="13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r>
      <w:tr>
        <w:trPr/>
        <w:tc>
          <w:tcPr>
            <w:tcW w:w="2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shd w:fill="auto" w:val="clear"/>
            <w:vAlign w:val="center"/>
          </w:tcPr>
          <w:p>
            <w:pPr>
              <w:pStyle w:val="TableContents"/>
              <w:spacing w:before="0" w:after="1"/>
              <w:ind w:left="0" w:right="0" w:hanging="0"/>
              <w:jc w:val="center"/>
              <w:rPr/>
            </w:pPr>
            <w:r>
              <w:rPr/>
              <w:t>​</w:t>
            </w:r>
          </w:p>
        </w:tc>
        <w:tc>
          <w:tcPr>
            <w:tcW w:w="13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1"/>
              <w:ind w:left="0" w:right="0" w:hanging="0"/>
              <w:jc w:val="center"/>
              <w:rPr/>
            </w:pPr>
            <w:r>
              <w:rPr/>
              <w:t>​</w:t>
            </w:r>
          </w:p>
        </w:tc>
        <w:tc>
          <w:tcPr>
            <w:tcW w:w="13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Investments - debt securities:</w:t>
            </w:r>
          </w:p>
        </w:tc>
        <w:tc>
          <w:tcPr>
            <w:tcW w:w="326" w:type="dxa"/>
            <w:tcBorders/>
            <w:shd w:fill="CCEEFF" w:val="clear"/>
            <w:vAlign w:val="center"/>
          </w:tcPr>
          <w:p>
            <w:pPr>
              <w:pStyle w:val="TableContents"/>
              <w:spacing w:before="0" w:after="1"/>
              <w:ind w:left="0" w:right="0" w:hanging="0"/>
              <w:rPr/>
            </w:pPr>
            <w:r>
              <w:rPr/>
              <w:t> </w:t>
            </w:r>
          </w:p>
        </w:tc>
        <w:tc>
          <w:tcPr>
            <w:tcW w:w="296" w:type="dxa"/>
            <w:tcBorders/>
            <w:shd w:fill="CCEEFF" w:val="clear"/>
            <w:vAlign w:val="center"/>
          </w:tcPr>
          <w:p>
            <w:pPr>
              <w:pStyle w:val="TableContents"/>
              <w:spacing w:before="0" w:after="1"/>
              <w:ind w:left="0" w:right="0" w:hanging="0"/>
              <w:rPr/>
            </w:pPr>
            <w:r>
              <w:rPr/>
              <w:t>​</w:t>
            </w:r>
          </w:p>
        </w:tc>
        <w:tc>
          <w:tcPr>
            <w:tcW w:w="95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75"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485" w:type="dxa"/>
            <w:tcBorders/>
            <w:shd w:fill="CCEEFF" w:val="clear"/>
            <w:vAlign w:val="center"/>
          </w:tcPr>
          <w:p>
            <w:pPr>
              <w:pStyle w:val="TableContents"/>
              <w:spacing w:before="0" w:after="1"/>
              <w:ind w:left="0" w:right="0" w:hanging="0"/>
              <w:rPr/>
            </w:pPr>
            <w:r>
              <w:rPr/>
              <w:t>​</w:t>
            </w:r>
          </w:p>
        </w:tc>
        <w:tc>
          <w:tcPr>
            <w:tcW w:w="86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  </w:t>
            </w:r>
          </w:p>
        </w:tc>
      </w:tr>
      <w:tr>
        <w:trPr/>
        <w:tc>
          <w:tcPr>
            <w:tcW w:w="25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Bills</w:t>
            </w:r>
          </w:p>
        </w:tc>
        <w:tc>
          <w:tcPr>
            <w:tcW w:w="326" w:type="dxa"/>
            <w:tcBorders/>
            <w:shd w:fill="auto" w:val="clear"/>
            <w:vAlign w:val="center"/>
          </w:tcPr>
          <w:p>
            <w:pPr>
              <w:pStyle w:val="TableContents"/>
              <w:spacing w:before="0" w:after="1"/>
              <w:ind w:left="0" w:right="0" w:hanging="0"/>
              <w:rPr/>
            </w:pPr>
            <w:r>
              <w:rPr/>
              <w:t>​</w:t>
            </w:r>
          </w:p>
        </w:tc>
        <w:tc>
          <w:tcPr>
            <w:tcW w:w="2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22,832</w:t>
            </w:r>
          </w:p>
        </w:tc>
        <w:tc>
          <w:tcPr>
            <w:tcW w:w="326" w:type="dxa"/>
            <w:tcBorders/>
            <w:shd w:fill="auto" w:val="clear"/>
            <w:vAlign w:val="center"/>
          </w:tcPr>
          <w:p>
            <w:pPr>
              <w:pStyle w:val="TableContents"/>
              <w:spacing w:before="0" w:after="1"/>
              <w:ind w:left="0" w:right="0" w:hanging="0"/>
              <w:rPr/>
            </w:pPr>
            <w:r>
              <w:rPr/>
              <w:t>​</w:t>
            </w:r>
          </w:p>
        </w:tc>
        <w:tc>
          <w:tcPr>
            <w:tcW w:w="67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26" w:type="dxa"/>
            <w:tcBorders/>
            <w:shd w:fill="auto" w:val="clear"/>
            <w:vAlign w:val="center"/>
          </w:tcPr>
          <w:p>
            <w:pPr>
              <w:pStyle w:val="TableContents"/>
              <w:spacing w:before="0" w:after="1"/>
              <w:ind w:left="0" w:right="0" w:hanging="0"/>
              <w:rPr/>
            </w:pPr>
            <w:r>
              <w:rPr/>
              <w:t>​</w:t>
            </w:r>
          </w:p>
        </w:tc>
        <w:tc>
          <w:tcPr>
            <w:tcW w:w="48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8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22,814</w:t>
            </w:r>
          </w:p>
        </w:tc>
      </w:tr>
    </w:tbl>
    <w:p>
      <w:pPr>
        <w:pStyle w:val="TextBody"/>
        <w:spacing w:before="0" w:after="240"/>
        <w:ind w:left="0" w:right="0" w:hanging="0"/>
        <w:rPr/>
      </w:pPr>
      <w:r>
        <w:rPr/>
        <w:t>​</w:t>
      </w:r>
    </w:p>
    <w:tbl>
      <w:tblPr>
        <w:tblW w:w="8780" w:type="dxa"/>
        <w:jc w:val="left"/>
        <w:tblInd w:w="0" w:type="dxa"/>
        <w:tblCellMar>
          <w:top w:w="0" w:type="dxa"/>
          <w:left w:w="0" w:type="dxa"/>
          <w:bottom w:w="0" w:type="dxa"/>
          <w:right w:w="0" w:type="dxa"/>
        </w:tblCellMar>
      </w:tblPr>
      <w:tblGrid>
        <w:gridCol w:w="2536"/>
        <w:gridCol w:w="326"/>
        <w:gridCol w:w="296"/>
        <w:gridCol w:w="950"/>
        <w:gridCol w:w="326"/>
        <w:gridCol w:w="511"/>
        <w:gridCol w:w="840"/>
        <w:gridCol w:w="326"/>
        <w:gridCol w:w="411"/>
        <w:gridCol w:w="940"/>
        <w:gridCol w:w="326"/>
        <w:gridCol w:w="211"/>
        <w:gridCol w:w="781"/>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610360" cy="175260"/>
                      <wp:effectExtent l="0" t="0" r="0" b="0"/>
                      <wp:wrapNone/>
                      <wp:docPr id="189" name="Frame189"/>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87960" cy="175260"/>
                      <wp:effectExtent l="0" t="0" r="0" b="0"/>
                      <wp:wrapNone/>
                      <wp:docPr id="191" name="Frame191"/>
                      <a:graphic xmlns:a="http://schemas.openxmlformats.org/drawingml/2006/main">
                        <a:graphicData uri="http://schemas.microsoft.com/office/word/2010/wordprocessingShape">
                          <wps:wsp>
                            <wps:cNvSpPr txBox="1"/>
                            <wps:spPr>
                              <a:xfrm>
                                <a:off x="0" y="0"/>
                                <a:ext cx="187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03250" cy="175260"/>
                      <wp:effectExtent l="0" t="0" r="0" b="0"/>
                      <wp:wrapNone/>
                      <wp:docPr id="192" name="Frame192"/>
                      <a:graphic xmlns:a="http://schemas.openxmlformats.org/drawingml/2006/main">
                        <a:graphicData uri="http://schemas.microsoft.com/office/word/2010/wordprocessingShape">
                          <wps:wsp>
                            <wps:cNvSpPr txBox="1"/>
                            <wps:spPr>
                              <a:xfrm>
                                <a:off x="0" y="0"/>
                                <a:ext cx="603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24485" cy="175260"/>
                      <wp:effectExtent l="0" t="0" r="0" b="0"/>
                      <wp:wrapNone/>
                      <wp:docPr id="194" name="Frame194"/>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33400" cy="175260"/>
                      <wp:effectExtent l="0" t="0" r="0" b="0"/>
                      <wp:wrapNone/>
                      <wp:docPr id="195" name="Frame195"/>
                      <a:graphic xmlns:a="http://schemas.openxmlformats.org/drawingml/2006/main">
                        <a:graphicData uri="http://schemas.microsoft.com/office/word/2010/wordprocessingShape">
                          <wps:wsp>
                            <wps:cNvSpPr txBox="1"/>
                            <wps:spPr>
                              <a:xfrm>
                                <a:off x="0" y="0"/>
                                <a:ext cx="533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60985" cy="175260"/>
                      <wp:effectExtent l="0" t="0" r="0" b="0"/>
                      <wp:wrapNone/>
                      <wp:docPr id="197" name="Frame197"/>
                      <a:graphic xmlns:a="http://schemas.openxmlformats.org/drawingml/2006/main">
                        <a:graphicData uri="http://schemas.microsoft.com/office/word/2010/wordprocessingShape">
                          <wps:wsp>
                            <wps:cNvSpPr txBox="1"/>
                            <wps:spPr>
                              <a:xfrm>
                                <a:off x="0" y="0"/>
                                <a:ext cx="260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6900" cy="175260"/>
                      <wp:effectExtent l="0" t="0" r="0" b="0"/>
                      <wp:wrapNone/>
                      <wp:docPr id="198" name="Frame198"/>
                      <a:graphic xmlns:a="http://schemas.openxmlformats.org/drawingml/2006/main">
                        <a:graphicData uri="http://schemas.microsoft.com/office/word/2010/wordprocessingShape">
                          <wps:wsp>
                            <wps:cNvSpPr txBox="1"/>
                            <wps:spPr>
                              <a:xfrm>
                                <a:off x="0" y="0"/>
                                <a:ext cx="596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95935" cy="175260"/>
                      <wp:effectExtent l="0" t="0" r="0" b="0"/>
                      <wp:wrapNone/>
                      <wp:docPr id="201" name="Frame20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918"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96" w:type="dxa"/>
            <w:tcBorders/>
            <w:shd w:fill="auto" w:val="clear"/>
            <w:vAlign w:val="center"/>
          </w:tcPr>
          <w:p>
            <w:pPr>
              <w:pStyle w:val="TableContents"/>
              <w:spacing w:before="0" w:after="0"/>
              <w:ind w:left="0" w:right="0" w:hanging="0"/>
              <w:rPr/>
            </w:pPr>
            <w:r>
              <w:rPr/>
              <w:t>​</w:t>
            </w:r>
          </w:p>
        </w:tc>
        <w:tc>
          <w:tcPr>
            <w:tcW w:w="9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shd w:fill="auto" w:val="clear"/>
            <w:vAlign w:val="center"/>
          </w:tcPr>
          <w:p>
            <w:pPr>
              <w:pStyle w:val="TableContents"/>
              <w:spacing w:before="0" w:after="0"/>
              <w:ind w:left="0" w:right="0" w:hanging="0"/>
              <w:jc w:val="center"/>
              <w:rPr/>
            </w:pPr>
            <w:r>
              <w:rPr/>
              <w:t>    </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shd w:fill="auto" w:val="clear"/>
            <w:vAlign w:val="center"/>
          </w:tcPr>
          <w:p>
            <w:pPr>
              <w:pStyle w:val="TableContents"/>
              <w:spacing w:before="0" w:after="0"/>
              <w:ind w:left="0" w:right="0" w:hanging="0"/>
              <w:jc w:val="center"/>
              <w:rPr/>
            </w:pPr>
            <w:r>
              <w:rPr/>
              <w:t>​</w:t>
            </w:r>
          </w:p>
        </w:tc>
        <w:tc>
          <w:tcPr>
            <w:tcW w:w="13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0"/>
              <w:ind w:left="0" w:right="0" w:hanging="0"/>
              <w:jc w:val="center"/>
              <w:rPr/>
            </w:pPr>
            <w:r>
              <w:rPr/>
              <w:t>​</w:t>
            </w:r>
          </w:p>
        </w:tc>
        <w:tc>
          <w:tcPr>
            <w:tcW w:w="13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Investments - debt securities:</w:t>
            </w:r>
          </w:p>
        </w:tc>
        <w:tc>
          <w:tcPr>
            <w:tcW w:w="326" w:type="dxa"/>
            <w:tcBorders/>
            <w:shd w:fill="CCEEFF" w:val="clear"/>
            <w:vAlign w:val="center"/>
          </w:tcPr>
          <w:p>
            <w:pPr>
              <w:pStyle w:val="TableContents"/>
              <w:spacing w:before="0" w:after="0"/>
              <w:ind w:left="0" w:right="0" w:hanging="0"/>
              <w:rPr/>
            </w:pPr>
            <w:r>
              <w:rPr/>
              <w:t> </w:t>
            </w:r>
          </w:p>
        </w:tc>
        <w:tc>
          <w:tcPr>
            <w:tcW w:w="296" w:type="dxa"/>
            <w:tcBorders/>
            <w:shd w:fill="CCEEFF" w:val="clear"/>
            <w:vAlign w:val="center"/>
          </w:tcPr>
          <w:p>
            <w:pPr>
              <w:pStyle w:val="TableContents"/>
              <w:spacing w:before="0" w:after="0"/>
              <w:ind w:left="0" w:right="0" w:hanging="0"/>
              <w:rPr/>
            </w:pPr>
            <w:r>
              <w:rPr/>
              <w:t>​</w:t>
            </w:r>
          </w:p>
        </w:tc>
        <w:tc>
          <w:tcPr>
            <w:tcW w:w="95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rPr/>
            </w:pPr>
            <w:r>
              <w:rPr/>
              <w:t>​</w:t>
            </w:r>
          </w:p>
        </w:tc>
        <w:tc>
          <w:tcPr>
            <w:tcW w:w="84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411"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Treasury Bills</w:t>
            </w:r>
          </w:p>
        </w:tc>
        <w:tc>
          <w:tcPr>
            <w:tcW w:w="326" w:type="dxa"/>
            <w:tcBorders/>
            <w:shd w:fill="auto" w:val="clear"/>
            <w:vAlign w:val="center"/>
          </w:tcPr>
          <w:p>
            <w:pPr>
              <w:pStyle w:val="TableContents"/>
              <w:spacing w:before="0" w:after="0"/>
              <w:ind w:left="0" w:right="0" w:hanging="0"/>
              <w:rPr/>
            </w:pPr>
            <w:r>
              <w:rPr/>
              <w:t>​</w:t>
            </w:r>
          </w:p>
        </w:tc>
        <w:tc>
          <w:tcPr>
            <w:tcW w:w="2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40,820</w:t>
            </w:r>
          </w:p>
        </w:tc>
        <w:tc>
          <w:tcPr>
            <w:tcW w:w="326" w:type="dxa"/>
            <w:tcBorders/>
            <w:shd w:fill="auto" w:val="clear"/>
            <w:vAlign w:val="center"/>
          </w:tcPr>
          <w:p>
            <w:pPr>
              <w:pStyle w:val="TableContents"/>
              <w:spacing w:before="0" w:after="0"/>
              <w:ind w:left="0" w:right="0" w:hanging="0"/>
              <w:rPr/>
            </w:pPr>
            <w:r>
              <w:rPr/>
              <w:t>​</w:t>
            </w:r>
          </w:p>
        </w:tc>
        <w:tc>
          <w:tcPr>
            <w:tcW w:w="5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40"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40,576</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During the three months ended March 31, 2023, the Company did not have any realized gains or losses or </w:t>
      </w:r>
      <w:r>
        <w:rPr>
          <w:rFonts w:ascii="Times New Roman;Times;serif" w:hAnsi="Times New Roman;Times;serif"/>
          <w:b w:val="false"/>
          <w:i w:val="false"/>
          <w:caps w:val="false"/>
          <w:smallCaps w:val="false"/>
          <w:sz w:val="20"/>
        </w:rPr>
        <w:t>proceeds</w:t>
      </w:r>
      <w:r>
        <w:rPr>
          <w:rFonts w:ascii="Times New Roman;Times;serif" w:hAnsi="Times New Roman;Times;serif"/>
          <w:sz w:val="20"/>
        </w:rPr>
        <w:t xml:space="preserve"> from the sale of available-for-sale securities. During the three months ended March 31, 2023, maturities of available-for-sale securities were $28.0 million and purchases of available-for-sale securities were $9.8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186" w:name="Tc_rZnJw729bUOoIB4jut5T6g_3_5"/>
      <w:bookmarkStart w:id="1187" w:name="Tc_q7xAY6yxFkWzQFu1VXZLLg_3_2"/>
      <w:bookmarkStart w:id="1188" w:name="Tc_iIJTOoED50Sw7LNHV290eg_3_0"/>
      <w:bookmarkStart w:id="1189" w:name="Tc_uEyamDZkkUeoBCrIngRwuA_2_5"/>
      <w:bookmarkStart w:id="1190" w:name="Tc_4BDL8PQ3AUCJTT16ZfnsBg_2_2"/>
      <w:bookmarkStart w:id="1191" w:name="Tc_9XZGQ_rXkUy5dCh_diKKKg_1_2"/>
      <w:bookmarkStart w:id="1192" w:name="Tc_c7fd3c737Uy0u-fRIBA5Ig_6_24"/>
      <w:bookmarkStart w:id="1193" w:name="Tc_moQ4QkMF60igsdGCtLKY2A_6_23"/>
      <w:bookmarkStart w:id="1194" w:name="Tc_rpHiMWYaMU-dpn988H9M6A_6_21"/>
      <w:bookmarkStart w:id="1195" w:name="Tc_kkq8r-bBfUqGVb_G4du-ow_6_20"/>
      <w:bookmarkStart w:id="1196" w:name="Tc_sqwaWpzxDUu3zfvAUWCB7g_6_17"/>
      <w:bookmarkStart w:id="1197" w:name="Tc_lmpTzWvhjEivIINqubiaBQ_6_14"/>
      <w:bookmarkStart w:id="1198" w:name="Tc_GuKXS0CnCkeSfiH9nvlEjw_6_12"/>
      <w:bookmarkStart w:id="1199" w:name="Tc_DPS7wfA6_EqJR7UMRl3hTw_6_11"/>
      <w:bookmarkStart w:id="1200" w:name="Tc_eagaut0d6k6PItkJVoyglQ_6_9"/>
      <w:bookmarkStart w:id="1201" w:name="Tc_EXmC1llMwkCvNWvN4nMIeA_6_8"/>
      <w:bookmarkStart w:id="1202" w:name="Tc_8JDOT-mzVUewonrGKPhlNg_6_5"/>
      <w:bookmarkStart w:id="1203" w:name="Tc_Fr6Ow-sj9ES61fkOqhgc8g_6_2"/>
      <w:bookmarkStart w:id="1204" w:name="Tc_Lp8QOcbqxk6gHR9DrQvlDw_6_0"/>
      <w:bookmarkStart w:id="1205" w:name="Tc_0kCwv4wiQ0W1Wo6S8js_5g_5_0"/>
      <w:bookmarkStart w:id="1206" w:name="Tc_n8iuTKlGUkC3pIH1oL3zxg_4_23"/>
      <w:bookmarkStart w:id="1207" w:name="Tc_8-gDyjhKjEigPS6mEw0fFQ_4_20"/>
      <w:bookmarkStart w:id="1208" w:name="Tc_5X2-tXxwTUOIk87PA4y28A_4_17"/>
      <w:bookmarkStart w:id="1209" w:name="Tc_5_w15Cx9dkO2plt18OPfdw_4_14"/>
      <w:bookmarkStart w:id="1210" w:name="Tc_LN2ytd6BpES6FELSUu5BSA_4_11"/>
      <w:bookmarkStart w:id="1211" w:name="Tc__5YY0XQQo0q5YMr87NSGKA_4_8"/>
      <w:bookmarkStart w:id="1212" w:name="Tc_OzC3CPWNNkWp8Xuj76R2TQ_4_5"/>
      <w:bookmarkStart w:id="1213" w:name="Tc_3mofBGO-c0KAS4R1iE-Jvg_4_2"/>
      <w:bookmarkStart w:id="1214" w:name="Tc_kEUYygKT9UGkzeMg2Bc_fw_3_23"/>
      <w:bookmarkStart w:id="1215" w:name="Tc_kGbtQUJ-PUSKYr3sTAtfGQ_3_17"/>
      <w:bookmarkStart w:id="1216" w:name="Tc_kPKz_86EokCaVFVowtj_9g_3_11"/>
      <w:bookmarkStart w:id="1217" w:name="Tc_zPVxOlmx6UmoMm07iuiL6Q_3_5"/>
      <w:bookmarkStart w:id="1218" w:name="Tc_y-BvssQxgEeEEP4FD9F5BA_2_20"/>
      <w:bookmarkStart w:id="1219" w:name="Tc_RXOwMczw_EiHDTIt1H6pvg_2_14"/>
      <w:bookmarkStart w:id="1220" w:name="Tc_Ll5vL_5MUEu31316Xhs-og_2_8"/>
      <w:bookmarkStart w:id="1221" w:name="Tc_e2i1nuNa2EWxpEyMrLg0kw_2_2"/>
      <w:bookmarkStart w:id="1222" w:name="Tc_cyo5gybPJ0eCpCSvkyDXcw_1_14"/>
      <w:bookmarkStart w:id="1223" w:name="Tc_JPbW60Bmh0GO_rCkEf2xLQ_1_2"/>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r>
        <w:rPr>
          <w:rFonts w:ascii="Times New Roman;Times;serif" w:hAnsi="Times New Roman;Times;serif"/>
          <w:sz w:val="20"/>
        </w:rPr>
        <w:t xml:space="preserve">During the three months ended March 31, 2022, the Company did not have any realized gains or losses or </w:t>
      </w:r>
      <w:r>
        <w:rPr>
          <w:rFonts w:ascii="Times New Roman;Times;serif" w:hAnsi="Times New Roman;Times;serif"/>
          <w:b w:val="false"/>
          <w:i w:val="false"/>
          <w:caps w:val="false"/>
          <w:smallCaps w:val="false"/>
          <w:sz w:val="20"/>
        </w:rPr>
        <w:t>proceeds</w:t>
      </w:r>
      <w:r>
        <w:rPr>
          <w:rFonts w:ascii="Times New Roman;Times;serif" w:hAnsi="Times New Roman;Times;serif"/>
          <w:sz w:val="20"/>
        </w:rPr>
        <w:t xml:space="preserve"> from the sale of available-for-sale securities. During the three months ended March 31, 2022, maturities of available-for-sale securities were $45.0 million and purchases of available-for sale securities were $74.5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following table provides the available-for-sale investments with an unrealized loss position and their related fair values: </w:t>
      </w:r>
    </w:p>
    <w:p>
      <w:pPr>
        <w:pStyle w:val="TextBody"/>
        <w:spacing w:before="0" w:after="0"/>
        <w:ind w:left="0" w:right="0" w:hanging="0"/>
        <w:rPr/>
      </w:pPr>
      <w:r>
        <w:rPr/>
        <w:t>​</w:t>
      </w:r>
    </w:p>
    <w:tbl>
      <w:tblPr>
        <w:tblW w:w="10944" w:type="dxa"/>
        <w:jc w:val="left"/>
        <w:tblInd w:w="0" w:type="dxa"/>
        <w:tblCellMar>
          <w:top w:w="0" w:type="dxa"/>
          <w:left w:w="0" w:type="dxa"/>
          <w:bottom w:w="0" w:type="dxa"/>
          <w:right w:w="0" w:type="dxa"/>
        </w:tblCellMar>
      </w:tblPr>
      <w:tblGrid>
        <w:gridCol w:w="1096"/>
        <w:gridCol w:w="326"/>
        <w:gridCol w:w="211"/>
        <w:gridCol w:w="676"/>
        <w:gridCol w:w="326"/>
        <w:gridCol w:w="354"/>
        <w:gridCol w:w="532"/>
        <w:gridCol w:w="326"/>
        <w:gridCol w:w="335"/>
        <w:gridCol w:w="551"/>
        <w:gridCol w:w="387"/>
        <w:gridCol w:w="334"/>
        <w:gridCol w:w="552"/>
        <w:gridCol w:w="326"/>
        <w:gridCol w:w="211"/>
        <w:gridCol w:w="676"/>
        <w:gridCol w:w="326"/>
        <w:gridCol w:w="295"/>
        <w:gridCol w:w="591"/>
        <w:gridCol w:w="326"/>
        <w:gridCol w:w="335"/>
        <w:gridCol w:w="551"/>
        <w:gridCol w:w="370"/>
        <w:gridCol w:w="295"/>
        <w:gridCol w:w="636"/>
      </w:tblGrid>
      <w:tr>
        <w:trPr/>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5960" cy="175260"/>
                      <wp:effectExtent l="0" t="0" r="0" b="0"/>
                      <wp:wrapNone/>
                      <wp:docPr id="202" name="Frame202"/>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9260" cy="175260"/>
                      <wp:effectExtent l="0" t="0" r="0" b="0"/>
                      <wp:wrapNone/>
                      <wp:docPr id="205" name="Frame20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24790" cy="175260"/>
                      <wp:effectExtent l="0" t="0" r="0" b="0"/>
                      <wp:wrapNone/>
                      <wp:docPr id="207" name="Frame207"/>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37820" cy="175260"/>
                      <wp:effectExtent l="0" t="0" r="0" b="0"/>
                      <wp:wrapNone/>
                      <wp:docPr id="208" name="Frame208"/>
                      <a:graphic xmlns:a="http://schemas.openxmlformats.org/drawingml/2006/main">
                        <a:graphicData uri="http://schemas.microsoft.com/office/word/2010/wordprocessingShape">
                          <wps:wsp>
                            <wps:cNvSpPr txBox="1"/>
                            <wps:spPr>
                              <a:xfrm>
                                <a:off x="0" y="0"/>
                                <a:ext cx="337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2725" cy="175260"/>
                      <wp:effectExtent l="0" t="0" r="0" b="0"/>
                      <wp:wrapNone/>
                      <wp:docPr id="210" name="Frame210"/>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49885" cy="175260"/>
                      <wp:effectExtent l="0" t="0" r="0" b="0"/>
                      <wp:wrapNone/>
                      <wp:docPr id="211" name="Frame211"/>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45745" cy="175260"/>
                      <wp:effectExtent l="0" t="0" r="0" b="0"/>
                      <wp:wrapNone/>
                      <wp:docPr id="212" name="Frame212"/>
                      <a:graphic xmlns:a="http://schemas.openxmlformats.org/drawingml/2006/main">
                        <a:graphicData uri="http://schemas.microsoft.com/office/word/2010/wordprocessingShape">
                          <wps:wsp>
                            <wps:cNvSpPr txBox="1"/>
                            <wps:spPr>
                              <a:xfrm>
                                <a:off x="0" y="0"/>
                                <a:ext cx="2457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2090" cy="175260"/>
                      <wp:effectExtent l="0" t="0" r="0" b="0"/>
                      <wp:wrapNone/>
                      <wp:docPr id="213" name="Frame213"/>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50520" cy="175260"/>
                      <wp:effectExtent l="0" t="0" r="0" b="0"/>
                      <wp:wrapNone/>
                      <wp:docPr id="214" name="Frame214"/>
                      <a:graphic xmlns:a="http://schemas.openxmlformats.org/drawingml/2006/main">
                        <a:graphicData uri="http://schemas.microsoft.com/office/word/2010/wordprocessingShape">
                          <wps:wsp>
                            <wps:cNvSpPr txBox="1"/>
                            <wps:spPr>
                              <a:xfrm>
                                <a:off x="0" y="0"/>
                                <a:ext cx="350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7" name="Frame21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87325" cy="175260"/>
                      <wp:effectExtent l="0" t="0" r="0" b="0"/>
                      <wp:wrapNone/>
                      <wp:docPr id="219" name="Frame219"/>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75285" cy="175260"/>
                      <wp:effectExtent l="0" t="0" r="0" b="0"/>
                      <wp:wrapNone/>
                      <wp:docPr id="220" name="Frame220"/>
                      <a:graphic xmlns:a="http://schemas.openxmlformats.org/drawingml/2006/main">
                        <a:graphicData uri="http://schemas.microsoft.com/office/word/2010/wordprocessingShape">
                          <wps:wsp>
                            <wps:cNvSpPr txBox="1"/>
                            <wps:spPr>
                              <a:xfrm>
                                <a:off x="0" y="0"/>
                                <a:ext cx="375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2725" cy="175260"/>
                      <wp:effectExtent l="0" t="0" r="0" b="0"/>
                      <wp:wrapNone/>
                      <wp:docPr id="222" name="Frame222"/>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49885" cy="175260"/>
                      <wp:effectExtent l="0" t="0" r="0" b="0"/>
                      <wp:wrapNone/>
                      <wp:docPr id="223" name="Frame223"/>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34950" cy="175260"/>
                      <wp:effectExtent l="0" t="0" r="0" b="0"/>
                      <wp:wrapNone/>
                      <wp:docPr id="224" name="Frame224"/>
                      <a:graphic xmlns:a="http://schemas.openxmlformats.org/drawingml/2006/main">
                        <a:graphicData uri="http://schemas.microsoft.com/office/word/2010/wordprocessingShape">
                          <wps:wsp>
                            <wps:cNvSpPr txBox="1"/>
                            <wps:spPr>
                              <a:xfrm>
                                <a:off x="0" y="0"/>
                                <a:ext cx="234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7325" cy="175260"/>
                      <wp:effectExtent l="0" t="0" r="0" b="0"/>
                      <wp:wrapNone/>
                      <wp:docPr id="225" name="Frame225"/>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03860" cy="175260"/>
                      <wp:effectExtent l="0" t="0" r="0" b="0"/>
                      <wp:wrapNone/>
                      <wp:docPr id="226" name="Frame226"/>
                      <a:graphic xmlns:a="http://schemas.openxmlformats.org/drawingml/2006/main">
                        <a:graphicData uri="http://schemas.microsoft.com/office/word/2010/wordprocessingShape">
                          <wps:wsp>
                            <wps:cNvSpPr txBox="1"/>
                            <wps:spPr>
                              <a:xfrm>
                                <a:off x="0" y="0"/>
                                <a:ext cx="403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84"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1"/>
              <w:ind w:left="0" w:right="0" w:hanging="0"/>
              <w:jc w:val="center"/>
              <w:rPr/>
            </w:pPr>
            <w:r>
              <w:rPr/>
              <w:t>​</w:t>
            </w:r>
          </w:p>
        </w:tc>
        <w:tc>
          <w:tcPr>
            <w:tcW w:w="4612"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9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shd w:fill="auto" w:val="clear"/>
            <w:vAlign w:val="center"/>
          </w:tcPr>
          <w:p>
            <w:pPr>
              <w:pStyle w:val="TableContents"/>
              <w:spacing w:before="0" w:after="1"/>
              <w:ind w:left="0" w:right="0" w:hanging="0"/>
              <w:jc w:val="center"/>
              <w:rPr/>
            </w:pPr>
            <w:r>
              <w:rPr/>
              <w:t>​</w:t>
            </w:r>
          </w:p>
        </w:tc>
        <w:tc>
          <w:tcPr>
            <w:tcW w:w="215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 or Greater</w:t>
            </w:r>
          </w:p>
        </w:tc>
        <w:tc>
          <w:tcPr>
            <w:tcW w:w="326" w:type="dxa"/>
            <w:tcBorders/>
            <w:shd w:fill="auto" w:val="clear"/>
            <w:vAlign w:val="center"/>
          </w:tcPr>
          <w:p>
            <w:pPr>
              <w:pStyle w:val="TableContents"/>
              <w:spacing w:before="0" w:after="1"/>
              <w:ind w:left="0" w:right="0" w:hanging="0"/>
              <w:jc w:val="center"/>
              <w:rPr/>
            </w:pPr>
            <w:r>
              <w:rPr/>
              <w:t>​</w:t>
            </w:r>
          </w:p>
        </w:tc>
        <w:tc>
          <w:tcPr>
            <w:tcW w:w="209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shd w:fill="auto" w:val="clear"/>
            <w:vAlign w:val="center"/>
          </w:tcPr>
          <w:p>
            <w:pPr>
              <w:pStyle w:val="TableContents"/>
              <w:spacing w:before="0" w:after="1"/>
              <w:ind w:left="0" w:right="0" w:hanging="0"/>
              <w:jc w:val="center"/>
              <w:rPr/>
            </w:pPr>
            <w:r>
              <w:rPr/>
              <w:t>​</w:t>
            </w:r>
          </w:p>
        </w:tc>
        <w:tc>
          <w:tcPr>
            <w:tcW w:w="218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 or Greater</w:t>
            </w:r>
          </w:p>
        </w:tc>
      </w:tr>
      <w:tr>
        <w:trPr/>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jc w:val="center"/>
              <w:rPr/>
            </w:pPr>
            <w:r>
              <w:rPr/>
              <w:t>​</w:t>
            </w:r>
          </w:p>
        </w:tc>
        <w:tc>
          <w:tcPr>
            <w:tcW w:w="335" w:type="dxa"/>
            <w:tcBorders/>
            <w:shd w:fill="auto" w:val="clear"/>
            <w:vAlign w:val="center"/>
          </w:tcPr>
          <w:p>
            <w:pPr>
              <w:pStyle w:val="TableContents"/>
              <w:spacing w:before="0" w:after="1"/>
              <w:ind w:left="0" w:right="0" w:hanging="0"/>
              <w:rPr/>
            </w:pPr>
            <w:r>
              <w:rPr/>
              <w:t>​</w:t>
            </w:r>
          </w:p>
        </w:tc>
        <w:tc>
          <w:tcPr>
            <w:tcW w:w="551" w:type="dxa"/>
            <w:tcBorders/>
            <w:shd w:fill="auto" w:val="clear"/>
            <w:vAlign w:val="center"/>
          </w:tcPr>
          <w:p>
            <w:pPr>
              <w:pStyle w:val="TableContents"/>
              <w:spacing w:before="0" w:after="1"/>
              <w:ind w:left="0" w:right="0" w:hanging="0"/>
              <w:jc w:val="center"/>
              <w:rPr/>
            </w:pPr>
            <w:r>
              <w:rPr/>
              <w:t>​</w:t>
            </w:r>
          </w:p>
        </w:tc>
        <w:tc>
          <w:tcPr>
            <w:tcW w:w="387" w:type="dxa"/>
            <w:tcBorders/>
            <w:shd w:fill="auto" w:val="clear"/>
            <w:vAlign w:val="center"/>
          </w:tcPr>
          <w:p>
            <w:pPr>
              <w:pStyle w:val="TableContents"/>
              <w:spacing w:before="0" w:after="1"/>
              <w:ind w:left="0" w:right="0" w:hanging="0"/>
              <w:jc w:val="center"/>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jc w:val="center"/>
              <w:rPr/>
            </w:pPr>
            <w:r>
              <w:rPr/>
              <w:t>​</w:t>
            </w:r>
          </w:p>
        </w:tc>
        <w:tc>
          <w:tcPr>
            <w:tcW w:w="335" w:type="dxa"/>
            <w:tcBorders/>
            <w:shd w:fill="auto" w:val="clear"/>
            <w:vAlign w:val="center"/>
          </w:tcPr>
          <w:p>
            <w:pPr>
              <w:pStyle w:val="TableContents"/>
              <w:spacing w:before="0" w:after="1"/>
              <w:ind w:left="0" w:right="0" w:hanging="0"/>
              <w:rPr/>
            </w:pPr>
            <w:r>
              <w:rPr/>
              <w:t>​</w:t>
            </w:r>
          </w:p>
        </w:tc>
        <w:tc>
          <w:tcPr>
            <w:tcW w:w="551" w:type="dxa"/>
            <w:tcBorders/>
            <w:shd w:fill="auto" w:val="clear"/>
            <w:vAlign w:val="center"/>
          </w:tcPr>
          <w:p>
            <w:pPr>
              <w:pStyle w:val="TableContents"/>
              <w:spacing w:before="0" w:after="1"/>
              <w:ind w:left="0" w:right="0" w:hanging="0"/>
              <w:jc w:val="center"/>
              <w:rPr/>
            </w:pPr>
            <w:r>
              <w:rPr/>
              <w:t>​</w:t>
            </w:r>
          </w:p>
        </w:tc>
        <w:tc>
          <w:tcPr>
            <w:tcW w:w="370" w:type="dxa"/>
            <w:tcBorders/>
            <w:shd w:fill="auto" w:val="clear"/>
            <w:vAlign w:val="center"/>
          </w:tcPr>
          <w:p>
            <w:pPr>
              <w:pStyle w:val="TableContents"/>
              <w:spacing w:before="0" w:after="1"/>
              <w:ind w:left="0" w:right="0" w:hanging="0"/>
              <w:jc w:val="center"/>
              <w:rPr/>
            </w:pPr>
            <w:r>
              <w:rPr/>
              <w:t>​</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jc w:val="center"/>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jc w:val="center"/>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87" w:type="dxa"/>
            <w:tcBorders/>
            <w:shd w:fill="auto" w:val="clear"/>
            <w:vAlign w:val="center"/>
          </w:tcPr>
          <w:p>
            <w:pPr>
              <w:pStyle w:val="TableContents"/>
              <w:spacing w:before="0" w:after="1"/>
              <w:ind w:left="0" w:right="0" w:hanging="0"/>
              <w:jc w:val="center"/>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jc w:val="center"/>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jc w:val="center"/>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70" w:type="dxa"/>
            <w:tcBorders/>
            <w:shd w:fill="auto" w:val="clear"/>
            <w:vAlign w:val="center"/>
          </w:tcPr>
          <w:p>
            <w:pPr>
              <w:pStyle w:val="TableContents"/>
              <w:spacing w:before="0" w:after="1"/>
              <w:ind w:left="0" w:right="0" w:hanging="0"/>
              <w:jc w:val="center"/>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10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Investments - debt securities: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354" w:type="dxa"/>
            <w:tcBorders/>
            <w:shd w:fill="CCEEFF" w:val="clear"/>
            <w:vAlign w:val="center"/>
          </w:tcPr>
          <w:p>
            <w:pPr>
              <w:pStyle w:val="TableContents"/>
              <w:spacing w:before="0" w:after="1"/>
              <w:ind w:left="0" w:right="0" w:hanging="0"/>
              <w:rPr/>
            </w:pPr>
            <w:r>
              <w:rPr/>
              <w:t>​</w:t>
            </w:r>
          </w:p>
        </w:tc>
        <w:tc>
          <w:tcPr>
            <w:tcW w:w="53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335" w:type="dxa"/>
            <w:tcBorders/>
            <w:shd w:fill="CCEEFF" w:val="clear"/>
            <w:vAlign w:val="center"/>
          </w:tcPr>
          <w:p>
            <w:pPr>
              <w:pStyle w:val="TableContents"/>
              <w:spacing w:before="0" w:after="1"/>
              <w:ind w:left="0" w:right="0" w:hanging="0"/>
              <w:rPr/>
            </w:pPr>
            <w:r>
              <w:rPr/>
              <w:t>​</w:t>
            </w:r>
          </w:p>
        </w:tc>
        <w:tc>
          <w:tcPr>
            <w:tcW w:w="551" w:type="dxa"/>
            <w:tcBorders/>
            <w:shd w:fill="CCEEFF" w:val="clear"/>
            <w:vAlign w:val="center"/>
          </w:tcPr>
          <w:p>
            <w:pPr>
              <w:pStyle w:val="TableContents"/>
              <w:spacing w:before="0" w:after="1"/>
              <w:ind w:left="0" w:right="0" w:hanging="0"/>
              <w:jc w:val="right"/>
              <w:rPr/>
            </w:pPr>
            <w:r>
              <w:rPr/>
              <w:t>  </w:t>
            </w:r>
          </w:p>
        </w:tc>
        <w:tc>
          <w:tcPr>
            <w:tcW w:w="387" w:type="dxa"/>
            <w:tcBorders/>
            <w:shd w:fill="CCEEFF" w:val="clear"/>
            <w:vAlign w:val="center"/>
          </w:tcPr>
          <w:p>
            <w:pPr>
              <w:pStyle w:val="TableContents"/>
              <w:spacing w:before="0" w:after="1"/>
              <w:ind w:left="0" w:right="0" w:hanging="0"/>
              <w:rPr/>
            </w:pPr>
            <w:r>
              <w:rPr/>
              <w:t> </w:t>
            </w:r>
          </w:p>
        </w:tc>
        <w:tc>
          <w:tcPr>
            <w:tcW w:w="334" w:type="dxa"/>
            <w:tcBorders/>
            <w:shd w:fill="CCEEFF" w:val="clear"/>
            <w:vAlign w:val="center"/>
          </w:tcPr>
          <w:p>
            <w:pPr>
              <w:pStyle w:val="TableContents"/>
              <w:spacing w:before="0" w:after="1"/>
              <w:ind w:left="0" w:right="0" w:hanging="0"/>
              <w:rPr/>
            </w:pPr>
            <w:r>
              <w:rPr/>
              <w:t>​</w:t>
            </w:r>
          </w:p>
        </w:tc>
        <w:tc>
          <w:tcPr>
            <w:tcW w:w="55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pPr>
            <w:r>
              <w:rPr/>
              <w:t>​</w:t>
            </w:r>
          </w:p>
        </w:tc>
        <w:tc>
          <w:tcPr>
            <w:tcW w:w="5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335" w:type="dxa"/>
            <w:tcBorders/>
            <w:shd w:fill="CCEEFF" w:val="clear"/>
            <w:vAlign w:val="center"/>
          </w:tcPr>
          <w:p>
            <w:pPr>
              <w:pStyle w:val="TableContents"/>
              <w:spacing w:before="0" w:after="1"/>
              <w:ind w:left="0" w:right="0" w:hanging="0"/>
              <w:rPr/>
            </w:pPr>
            <w:r>
              <w:rPr/>
              <w:t>​</w:t>
            </w:r>
          </w:p>
        </w:tc>
        <w:tc>
          <w:tcPr>
            <w:tcW w:w="551" w:type="dxa"/>
            <w:tcBorders/>
            <w:shd w:fill="CCEEFF" w:val="clear"/>
            <w:vAlign w:val="center"/>
          </w:tcPr>
          <w:p>
            <w:pPr>
              <w:pStyle w:val="TableContents"/>
              <w:spacing w:before="0" w:after="1"/>
              <w:ind w:left="0" w:right="0" w:hanging="0"/>
              <w:jc w:val="right"/>
              <w:rPr/>
            </w:pPr>
            <w:r>
              <w:rPr/>
              <w:t>  </w:t>
            </w:r>
          </w:p>
        </w:tc>
        <w:tc>
          <w:tcPr>
            <w:tcW w:w="370"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pPr>
            <w:r>
              <w:rPr/>
              <w:t>​</w:t>
            </w:r>
          </w:p>
        </w:tc>
        <w:tc>
          <w:tcPr>
            <w:tcW w:w="636" w:type="dxa"/>
            <w:tcBorders/>
            <w:shd w:fill="CCEEFF" w:val="clear"/>
            <w:vAlign w:val="center"/>
          </w:tcPr>
          <w:p>
            <w:pPr>
              <w:pStyle w:val="TableContents"/>
              <w:spacing w:before="0" w:after="1"/>
              <w:ind w:left="0" w:right="0" w:hanging="0"/>
              <w:jc w:val="right"/>
              <w:rPr/>
            </w:pPr>
            <w:r>
              <w:rPr/>
              <w:t>  </w:t>
            </w:r>
          </w:p>
        </w:tc>
      </w:tr>
      <w:tr>
        <w:trPr/>
        <w:tc>
          <w:tcPr>
            <w:tcW w:w="10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Bills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12,953</w:t>
            </w:r>
          </w:p>
        </w:tc>
        <w:tc>
          <w:tcPr>
            <w:tcW w:w="326" w:type="dxa"/>
            <w:tcBorders/>
            <w:shd w:fill="auto" w:val="clear"/>
            <w:vAlign w:val="center"/>
          </w:tcPr>
          <w:p>
            <w:pPr>
              <w:pStyle w:val="TableContents"/>
              <w:spacing w:before="0" w:after="1"/>
              <w:ind w:left="0" w:right="0" w:hanging="0"/>
              <w:rPr/>
            </w:pPr>
            <w:r>
              <w:rPr/>
              <w:t>​</w:t>
            </w:r>
          </w:p>
        </w:tc>
        <w:tc>
          <w:tcPr>
            <w:tcW w:w="35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w:t>
            </w:r>
          </w:p>
        </w:tc>
        <w:tc>
          <w:tcPr>
            <w:tcW w:w="3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87" w:type="dxa"/>
            <w:tcBorders/>
            <w:shd w:fill="auto" w:val="clear"/>
            <w:vAlign w:val="center"/>
          </w:tcPr>
          <w:p>
            <w:pPr>
              <w:pStyle w:val="TableContents"/>
              <w:spacing w:before="0" w:after="1"/>
              <w:ind w:left="0" w:right="0" w:hanging="0"/>
              <w:rPr/>
            </w:pPr>
            <w:r>
              <w:rPr/>
              <w:t>​</w:t>
            </w:r>
          </w:p>
        </w:tc>
        <w:tc>
          <w:tcPr>
            <w:tcW w:w="33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37,578</w:t>
            </w:r>
          </w:p>
        </w:tc>
        <w:tc>
          <w:tcPr>
            <w:tcW w:w="326" w:type="dxa"/>
            <w:tcBorders/>
            <w:shd w:fill="auto" w:val="clear"/>
            <w:vAlign w:val="center"/>
          </w:tcPr>
          <w:p>
            <w:pPr>
              <w:pStyle w:val="TableContents"/>
              <w:spacing w:before="0" w:after="1"/>
              <w:ind w:left="0" w:right="0" w:hanging="0"/>
              <w:rPr/>
            </w:pPr>
            <w:r>
              <w:rPr/>
              <w:t>​</w:t>
            </w:r>
          </w:p>
        </w:tc>
        <w:tc>
          <w:tcPr>
            <w:tcW w:w="29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auto" w:val="clear"/>
            <w:vAlign w:val="center"/>
          </w:tcPr>
          <w:p>
            <w:pPr>
              <w:pStyle w:val="TableContents"/>
              <w:spacing w:before="0" w:after="1"/>
              <w:ind w:left="0" w:right="0" w:hanging="0"/>
              <w:rPr/>
            </w:pPr>
            <w:r>
              <w:rPr/>
              <w:t>​</w:t>
            </w:r>
          </w:p>
        </w:tc>
        <w:tc>
          <w:tcPr>
            <w:tcW w:w="3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70" w:type="dxa"/>
            <w:tcBorders/>
            <w:shd w:fill="auto" w:val="clear"/>
            <w:vAlign w:val="center"/>
          </w:tcPr>
          <w:p>
            <w:pPr>
              <w:pStyle w:val="TableContents"/>
              <w:spacing w:before="0" w:after="1"/>
              <w:ind w:left="0" w:right="0" w:hanging="0"/>
              <w:rPr/>
            </w:pPr>
            <w:r>
              <w:rPr/>
              <w:t>​</w:t>
            </w:r>
          </w:p>
        </w:tc>
        <w:tc>
          <w:tcPr>
            <w:tcW w:w="29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auto" w:val="clear"/>
            <w:tcMar>
              <w:bottom w:w="28" w:type="dxa"/>
            </w:tcMar>
            <w:vAlign w:val="center"/>
          </w:tcPr>
          <w:p>
            <w:pPr>
              <w:pStyle w:val="TableContents"/>
              <w:spacing w:before="0" w:after="1"/>
              <w:ind w:left="0" w:right="60" w:hanging="0"/>
              <w:jc w:val="right"/>
              <w:rPr/>
            </w:pPr>
            <w:r>
              <w:rPr/>
              <w:t>—</w:t>
            </w:r>
          </w:p>
        </w:tc>
      </w:tr>
    </w:tbl>
    <w:p>
      <w:pPr>
        <w:pStyle w:val="TextBody"/>
        <w:spacing w:before="0" w:after="0"/>
        <w:ind w:left="0" w:right="0" w:hanging="0"/>
        <w:rPr/>
      </w:pPr>
      <w:r>
        <w:rPr/>
        <w:t>​</w:t>
      </w:r>
    </w:p>
    <w:p>
      <w:pPr>
        <w:pStyle w:val="TextBody"/>
        <w:spacing w:before="240" w:after="240"/>
        <w:ind w:left="0" w:right="0" w:firstLine="360"/>
        <w:rPr>
          <w:rFonts w:ascii="Times New Roman;Times;serif" w:hAnsi="Times New Roman;Times;serif"/>
          <w:sz w:val="20"/>
        </w:rPr>
      </w:pPr>
      <w:r>
        <w:rPr>
          <w:rFonts w:ascii="Times New Roman;Times;serif" w:hAnsi="Times New Roman;Times;serif"/>
          <w:sz w:val="20"/>
        </w:rPr>
        <w:t>As of March 31, 2023 and December 31, 2022, the Company had unrealized losses of less than $0.1 million and $0.2 million, respectively, related to U.S. Treasury Bills. As of March 31, 2023 and December 31, 2022, the Company determined the unrealized losses related to U.S. Treasury Bills were not due to credit impairment and did not record an allowance for credit losses related to available-for-sale debt securities. In addition, the Company did not intend to sell the investments with a material unrealized loss and it is more likely than not that the Company will not be required to sell any of these securities prior to their anticipated recovery.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amortized cost and estimated fair value of investments - debt securities classified as available-for-sale, by contractual maturity are shown in the following table.</w:t>
      </w:r>
    </w:p>
    <w:p>
      <w:pPr>
        <w:pStyle w:val="TextBody"/>
        <w:spacing w:before="0" w:after="0"/>
        <w:ind w:left="0" w:right="0" w:hanging="0"/>
        <w:rPr/>
      </w:pPr>
      <w:r>
        <w:rPr/>
        <w:t>​</w:t>
      </w:r>
    </w:p>
    <w:tbl>
      <w:tblPr>
        <w:tblW w:w="4841" w:type="dxa"/>
        <w:jc w:val="left"/>
        <w:tblInd w:w="0" w:type="dxa"/>
        <w:tblCellMar>
          <w:top w:w="0" w:type="dxa"/>
          <w:left w:w="0" w:type="dxa"/>
          <w:bottom w:w="0" w:type="dxa"/>
          <w:right w:w="0" w:type="dxa"/>
        </w:tblCellMar>
      </w:tblPr>
      <w:tblGrid>
        <w:gridCol w:w="1951"/>
        <w:gridCol w:w="326"/>
        <w:gridCol w:w="296"/>
        <w:gridCol w:w="950"/>
        <w:gridCol w:w="326"/>
        <w:gridCol w:w="211"/>
        <w:gridCol w:w="781"/>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238885" cy="175260"/>
                      <wp:effectExtent l="0" t="0" r="0" b="0"/>
                      <wp:wrapNone/>
                      <wp:docPr id="227" name="Frame227"/>
                      <a:graphic xmlns:a="http://schemas.openxmlformats.org/drawingml/2006/main">
                        <a:graphicData uri="http://schemas.microsoft.com/office/word/2010/wordprocessingShape">
                          <wps:wsp>
                            <wps:cNvSpPr txBox="1"/>
                            <wps:spPr>
                              <a:xfrm>
                                <a:off x="0" y="0"/>
                                <a:ext cx="1238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87960" cy="175260"/>
                      <wp:effectExtent l="0" t="0" r="0" b="0"/>
                      <wp:wrapNone/>
                      <wp:docPr id="229" name="Frame229"/>
                      <a:graphic xmlns:a="http://schemas.openxmlformats.org/drawingml/2006/main">
                        <a:graphicData uri="http://schemas.microsoft.com/office/word/2010/wordprocessingShape">
                          <wps:wsp>
                            <wps:cNvSpPr txBox="1"/>
                            <wps:spPr>
                              <a:xfrm>
                                <a:off x="0" y="0"/>
                                <a:ext cx="187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03250" cy="175260"/>
                      <wp:effectExtent l="0" t="0" r="0" b="0"/>
                      <wp:wrapNone/>
                      <wp:docPr id="230" name="Frame230"/>
                      <a:graphic xmlns:a="http://schemas.openxmlformats.org/drawingml/2006/main">
                        <a:graphicData uri="http://schemas.microsoft.com/office/word/2010/wordprocessingShape">
                          <wps:wsp>
                            <wps:cNvSpPr txBox="1"/>
                            <wps:spPr>
                              <a:xfrm>
                                <a:off x="0" y="0"/>
                                <a:ext cx="603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95935" cy="175260"/>
                      <wp:effectExtent l="0" t="0" r="0" b="0"/>
                      <wp:wrapNone/>
                      <wp:docPr id="233" name="Frame23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1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in one year or less</w:t>
            </w:r>
          </w:p>
        </w:tc>
        <w:tc>
          <w:tcPr>
            <w:tcW w:w="326" w:type="dxa"/>
            <w:tcBorders/>
            <w:shd w:fill="CCEEFF" w:val="clear"/>
            <w:vAlign w:val="center"/>
          </w:tcPr>
          <w:p>
            <w:pPr>
              <w:pStyle w:val="TableContents"/>
              <w:spacing w:before="0" w:after="0"/>
              <w:ind w:left="0" w:right="0" w:hanging="0"/>
              <w:rPr/>
            </w:pPr>
            <w:r>
              <w:rPr/>
              <w:t>​</w:t>
            </w:r>
          </w:p>
        </w:tc>
        <w:tc>
          <w:tcPr>
            <w:tcW w:w="2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22,832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22,814</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 Management Agreement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Mr. Bruce R. Berkowitz is the Chairman of the Company’s Board of Directors (the “Board”). He is the Manager of, and controls entities that own and control, Fairholme Holdings, LLC, which wholly owns Fairholme Capital Management, L.L.C. (“FCM”), an investment advisor registered with the SEC. Mr. Berkowitz is the Chief Investment Officer of FCM, which has provided investment advisory services to the Company since April 2013. FCM does not receive any compensation for services as the Company’s investment advisor. As of March 31, 2023, clients of FCM, including Mr. Berkowitz, beneficially owned approximately 41.4% of the Company’s common stock. FCM and its client, The Fairholme Fund, (“Fairholme”) a series of investments originating from the Fairholme Funds, Inc., may be deemed affiliates of the Company.</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20"/>
        </w:rPr>
        <w:t>Pursuant to the terms of an Investment Management Agreement, as amended, (the “Investment Management Agreement”) with the Company, FCM agreed to supervise and direct the Company’s investment accounts in accordance with the investment guidelines and restrictions approved by the Company. The investment guidelines are set forth in the Investment Management Agreement and require that any new securities for purchase must be issues of the U.S. Treasury or U.S. Treasury Money Market Funds</w:t>
      </w:r>
      <w:r>
        <w:rPr>
          <w:rFonts w:ascii="TimesNewRomanPSMT" w:hAnsi="TimesNewRomanPSMT"/>
          <w:sz w:val="20"/>
        </w:rPr>
        <w:t>.</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224" w:name="Tc_ob3WPG260Ua824ln88yhcA_6_17"/>
      <w:bookmarkStart w:id="1225" w:name="Tc_hC7jq8Zh60qhxdb5XWLCKQ_6_14"/>
      <w:bookmarkStart w:id="1226" w:name="Tc_ei9yHQ5NiECWGolAayAAeQ_6_11"/>
      <w:bookmarkStart w:id="1227" w:name="Tc_yZgpw--wbkeDSk_o9efBng_6_8"/>
      <w:bookmarkStart w:id="1228" w:name="Tc_riTQD9kem0Co9aKgvrOA8A_6_4"/>
      <w:bookmarkStart w:id="1229" w:name="Tc_R7EwPtwBVkeUmRlneGUskw_6_2"/>
      <w:bookmarkStart w:id="1230" w:name="Tc_H807HiiL-EKsa1zbz1zrUg_6_0"/>
      <w:bookmarkStart w:id="1231" w:name="Tc_AvjCDJPTZkCh9WQ7p70b6g_5_17"/>
      <w:bookmarkStart w:id="1232" w:name="Tc_Jh9Sfk7MZU6xhq6mRi8m6g_5_14"/>
      <w:bookmarkStart w:id="1233" w:name="Tc_lEOzXSO2tk-Ouncnu4WaOA_5_11"/>
      <w:bookmarkStart w:id="1234" w:name="Tc_NkGDnx3pE0iLBA_gC3NIEA_5_8"/>
      <w:bookmarkStart w:id="1235" w:name="Tc_GoTCXO-zkkiLawCFW3YPxg_5_4"/>
      <w:bookmarkStart w:id="1236" w:name="Tc_GuCO0uNDn0mucR7rFPYhtg_5_2"/>
      <w:bookmarkStart w:id="1237" w:name="Tc_klXNOnx_6UKEQTZjBfmq_w_5_0"/>
      <w:bookmarkStart w:id="1238" w:name="Tc_Df4UunRdzkaggZxnuTBWOg_4_11"/>
      <w:bookmarkStart w:id="1239" w:name="Tc_JuXddQMvlUS5OXt0Xycv9Q_4_9"/>
      <w:bookmarkStart w:id="1240" w:name="Tc_QCN6gHqy2kiJssRVTEBVVg_3_19"/>
      <w:bookmarkStart w:id="1241" w:name="Tc_LX5dMnRNbEmWmyyEn9OkgQ_3_17"/>
      <w:bookmarkStart w:id="1242" w:name="Tc_Hed2Jh_jgkG13uZe8nisPw_3_14"/>
      <w:bookmarkStart w:id="1243" w:name="Tc_weGxScpb9kCsFuTdpTmsuQ_3_11"/>
      <w:bookmarkStart w:id="1244" w:name="Tc_o0N7Qrtne0WU3B1g-zNfOw_3_8"/>
      <w:bookmarkStart w:id="1245" w:name="Tc_5gIB_gCQMkefWLgD7BSsrQ_3_6"/>
      <w:bookmarkStart w:id="1246" w:name="Tc_hixiU0hxN0CztlsTQOVa1w_3_4"/>
      <w:bookmarkStart w:id="1247" w:name="Tc_kOxRXdEVrkiUJ1YiaSCqwQ_3_2"/>
      <w:bookmarkStart w:id="1248" w:name="Tc_QT3VH40R-UW0PcFnbPF9Rw_3_0"/>
      <w:bookmarkStart w:id="1249" w:name="Tc_ArIFec_7NU-KeV0qLkXfQg_2_19"/>
      <w:bookmarkStart w:id="1250" w:name="Tc_XVRFENzvb0uaiJU0i6ZUOg_2_17"/>
      <w:bookmarkStart w:id="1251" w:name="Tc_yfmSN_DKAUm6i2zhvfH9bw_2_11"/>
      <w:bookmarkStart w:id="1252" w:name="Tc_uB-y1x6c7Ui1ASYg7BtadA_2_8"/>
      <w:bookmarkStart w:id="1253" w:name="Tc_oEdf5QfH1UOJZbDfRIfdWw_2_6"/>
      <w:bookmarkStart w:id="1254" w:name="Tc_SRvGt88tv0e4iJ9Us6S5Og_2_4"/>
      <w:bookmarkStart w:id="1255" w:name="Tc_a4I9cU4-6UCee9hqs-4NKQ_2_2"/>
      <w:bookmarkStart w:id="1256" w:name="Tc_9coTKGLV_UmfUN4mQ6e6Kw_1_19"/>
      <w:bookmarkStart w:id="1257" w:name="Tc_ojvANSMlBUCV3uTWVz-7Ow_1_17"/>
      <w:bookmarkStart w:id="1258" w:name="Tc_pgi5HIOQ1Ear4p7GustsAQ_1_8"/>
      <w:bookmarkStart w:id="1259" w:name="Tc_kw-ewX0kC0Sunf8QQKNckA_1_6"/>
      <w:bookmarkStart w:id="1260" w:name="_e854f87e_4115_4887_92e1_6f4c4b7d9fae"/>
      <w:bookmarkStart w:id="1261" w:name="_Hlk77576792"/>
      <w:bookmarkStart w:id="1262" w:name="Tc_9QpUpcv8tkW-wp3lAo9XpQ_9_11"/>
      <w:bookmarkStart w:id="1263" w:name="Tc_O0kbwDzbDEa3-iCaxOtbng_9_9"/>
      <w:bookmarkStart w:id="1264" w:name="Tc__MfcnxrHt0emGbzwwMeJaQ_9_8"/>
      <w:bookmarkStart w:id="1265" w:name="Tc_hWoqscdWVUGhb4H-D8uJUA_9_6"/>
      <w:bookmarkStart w:id="1266" w:name="Tc_FGGriRXJOE25CARxdWw9ag_9_5"/>
      <w:bookmarkStart w:id="1267" w:name="Tc_j8qJPuNk60y52iqM4tOUmw_9_2"/>
      <w:bookmarkStart w:id="1268" w:name="Tc_zAV9y3q6dkG4kL068DXXzg_8_9"/>
      <w:bookmarkStart w:id="1269" w:name="Tc_OMYhaVUAjE2UfZHNKqnWZQ_8_6"/>
      <w:bookmarkStart w:id="1270" w:name="Tc_Z-wcLbadi0yMxWIAQhQLrQ_8_0"/>
      <w:bookmarkStart w:id="1271" w:name="Tc_7UmbjXIdC0KISOiI4WmOYQ_7_0"/>
      <w:bookmarkStart w:id="1272" w:name="Tc_jctUe2NDqEWslHPW9ZKqbw_5_11"/>
      <w:bookmarkStart w:id="1273" w:name="Tc_7rrTWsOgmUK1eko9q6WJQA_5_9"/>
      <w:bookmarkStart w:id="1274" w:name="Tc_wR5lfwiFmU-bGYQsZVIlng_5_8"/>
      <w:bookmarkStart w:id="1275" w:name="Tc_tQNbDHTi_EaCz15QhGK7Hw_5_6"/>
      <w:bookmarkStart w:id="1276" w:name="Tc_bVPNzf7XMkKR3Xyid8mhQQ_5_5"/>
      <w:bookmarkStart w:id="1277" w:name="Tc_2xbW2mPhzEi-qve4OMCLgw_5_2"/>
      <w:bookmarkStart w:id="1278" w:name="Tc_o54HvHygHkWDdE8d3ytlrA_5_0"/>
      <w:bookmarkStart w:id="1279" w:name="Tc_3mZRJBBM3Em4vqDU7HemEA_4_0"/>
      <w:bookmarkStart w:id="1280" w:name="Tc_7vKjxLr9MkmmcmrB8VN1Uw_3_11"/>
      <w:bookmarkStart w:id="1281" w:name="Tc_245ld3xOb0mOem3Ru0p4Zw_3_8"/>
      <w:bookmarkStart w:id="1282" w:name="Tc_1VfRsV2do0iengCMTYHuTw_3_5"/>
      <w:bookmarkStart w:id="1283" w:name="Tc_EWlSulBEsU-Ceww-nlVdrA_3_2"/>
      <w:bookmarkStart w:id="1284" w:name="Tc_KEDr5mPx7k-WnCiMwygj2w_2_11"/>
      <w:bookmarkStart w:id="1285" w:name="Tc_pVmBBBtYtkqMZLAckxXFFg_1_2"/>
      <w:bookmarkStart w:id="1286" w:name="_0a69c73d_8a75_4e13_9e9f_3bef6f36cf65"/>
      <w:bookmarkStart w:id="1287" w:name="Tc_2W82mawJmkWJOlMFlox-kw_11_11"/>
      <w:bookmarkStart w:id="1288" w:name="Tc_EVguX7ZtH06eDsm5Jg4aJg_11_9"/>
      <w:bookmarkStart w:id="1289" w:name="Tc_gUrE9KQiqkq7ez_kIw3SAw_11_8"/>
      <w:bookmarkStart w:id="1290" w:name="Tc_IQSoQxzAR06rptNBkuwEMw_11_6"/>
      <w:bookmarkStart w:id="1291" w:name="Tc_W5Zr_L25JUehQjDim1tMBg_11_5"/>
      <w:bookmarkStart w:id="1292" w:name="Tc_BWf7elzEf0C2kwAdmJ9Wvw_11_2"/>
      <w:bookmarkStart w:id="1293" w:name="Tc_8LRe5yurekOB3RJbu5_hiQ_10_9"/>
      <w:bookmarkStart w:id="1294" w:name="Tc_G4OKVFIpS06gCzfyeSgPRg_10_6"/>
      <w:bookmarkStart w:id="1295" w:name="Tc_yzu3zyQ4ckGe_4rpL7QZ7A_10_0"/>
      <w:bookmarkStart w:id="1296" w:name="Tc_UdbZkh42KEWT-ozr78hblA_9_0"/>
      <w:bookmarkStart w:id="1297" w:name="Tc_dQGAmeIkt0WBo7sZh16LUA_7_9"/>
      <w:bookmarkStart w:id="1298" w:name="Tc_rGoFnRNFDUqjaeHGL3_3gw_7_6"/>
      <w:bookmarkStart w:id="1299" w:name="Tc_wIyG_-gyDkOa1hsUbjAd6g_6_9"/>
      <w:bookmarkStart w:id="1300" w:name="Tc_9lz8yGIWcUCtHgtFFgtHbw_6_6"/>
      <w:bookmarkStart w:id="1301" w:name="Tc_S_gvK8ThNUGKruR_wSw6Pw_6_0"/>
      <w:bookmarkStart w:id="1302" w:name="Tc_zwdT_nf1v0miJG4mQWMyXw_5_11"/>
      <w:bookmarkStart w:id="1303" w:name="Tc_totgNoFiPkyGi2m4z47FqA_5_9"/>
      <w:bookmarkStart w:id="1304" w:name="Tc_nY7h0KpuSke80kl_QYPx2A_5_8"/>
      <w:bookmarkStart w:id="1305" w:name="Tc_yTVSNwyF202UWiQDsP2jbA_5_6"/>
      <w:bookmarkStart w:id="1306" w:name="Tc_-ZE_NyJ24kidWh6smGgOAA_5_5"/>
      <w:bookmarkStart w:id="1307" w:name="Tc_TjulKYuc7UyhiI7oc3SJ9g_5_2"/>
      <w:bookmarkStart w:id="1308" w:name="Tc_iCA4efoOakKm8ujbIuigcQ_5_0"/>
      <w:bookmarkStart w:id="1309" w:name="Tc_8IMBzDmFzUKfli1xU3SQoA_4_0"/>
      <w:bookmarkStart w:id="1310" w:name="Tc_sJejv23lKUW9XZN2wRUwEw_3_11"/>
      <w:bookmarkStart w:id="1311" w:name="Tc_DXoRGM69nUW02jgBw97xBg_3_8"/>
      <w:bookmarkStart w:id="1312" w:name="Tc_eK2-cpdW40u7zXZoi6szRw_3_5"/>
      <w:bookmarkStart w:id="1313" w:name="Tc_ywwkdpFigEmbsjT0rvd3Vw_3_2"/>
      <w:bookmarkStart w:id="1314" w:name="Tc_LkIXYb3WuEGf1aU4f2uMog_2_11"/>
      <w:bookmarkStart w:id="1315" w:name="Tc_uaJWVE4JHU-YxSmGPNfgBQ_1_2"/>
      <w:bookmarkStart w:id="1316" w:name="_1ade0f02_5789_4f1d_96c9_f96373e2d22f"/>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Fonts w:ascii="Times New Roman;Times;serif" w:hAnsi="Times New Roman;Times;serif"/>
          <w:b/>
          <w:sz w:val="20"/>
        </w:rPr>
        <w:t>6. Financial Instruments and Fair Value Measurements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Measurements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financial instruments measured at fair value on a recurring basis are as follows:</w:t>
      </w:r>
    </w:p>
    <w:p>
      <w:pPr>
        <w:pStyle w:val="TextBody"/>
        <w:spacing w:before="0" w:after="0"/>
        <w:ind w:left="0" w:right="0" w:hanging="0"/>
        <w:rPr/>
      </w:pPr>
      <w:r>
        <w:rPr/>
        <w:t>​</w:t>
      </w:r>
    </w:p>
    <w:tbl>
      <w:tblPr>
        <w:tblW w:w="6981" w:type="dxa"/>
        <w:jc w:val="left"/>
        <w:tblInd w:w="0" w:type="dxa"/>
        <w:tblCellMar>
          <w:top w:w="0" w:type="dxa"/>
          <w:left w:w="0" w:type="dxa"/>
          <w:bottom w:w="0" w:type="dxa"/>
          <w:right w:w="0" w:type="dxa"/>
        </w:tblCellMar>
      </w:tblPr>
      <w:tblGrid>
        <w:gridCol w:w="2536"/>
        <w:gridCol w:w="326"/>
        <w:gridCol w:w="211"/>
        <w:gridCol w:w="676"/>
        <w:gridCol w:w="326"/>
        <w:gridCol w:w="239"/>
        <w:gridCol w:w="392"/>
        <w:gridCol w:w="326"/>
        <w:gridCol w:w="239"/>
        <w:gridCol w:w="392"/>
        <w:gridCol w:w="326"/>
        <w:gridCol w:w="211"/>
        <w:gridCol w:w="781"/>
      </w:tblGrid>
      <w:tr>
        <w:trPr/>
        <w:tc>
          <w:tcPr>
            <w:tcW w:w="2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r>
      <w:tr>
        <w:trPr/>
        <w:tc>
          <w:tcPr>
            <w:tcW w:w="2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19"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2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39"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39"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2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rPr/>
            </w:pPr>
            <w:r>
              <w:rPr/>
              <w:t>​</w:t>
            </w:r>
          </w:p>
        </w:tc>
        <w:tc>
          <w:tcPr>
            <w:tcW w:w="6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rPr/>
            </w:pPr>
            <w:r>
              <w:rPr/>
              <w:t>​</w:t>
            </w:r>
          </w:p>
        </w:tc>
        <w:tc>
          <w:tcPr>
            <w:tcW w:w="6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5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39" w:type="dxa"/>
            <w:tcBorders/>
            <w:shd w:fill="CCEEFF" w:val="clear"/>
            <w:vAlign w:val="center"/>
          </w:tcPr>
          <w:p>
            <w:pPr>
              <w:pStyle w:val="TableContents"/>
              <w:spacing w:before="0" w:after="1"/>
              <w:ind w:left="0" w:right="0" w:hanging="0"/>
              <w:rPr/>
            </w:pPr>
            <w:r>
              <w:rPr/>
              <w:t>​</w:t>
            </w:r>
          </w:p>
        </w:tc>
        <w:tc>
          <w:tcPr>
            <w:tcW w:w="39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39" w:type="dxa"/>
            <w:tcBorders/>
            <w:shd w:fill="CCEEFF" w:val="clear"/>
            <w:vAlign w:val="center"/>
          </w:tcPr>
          <w:p>
            <w:pPr>
              <w:pStyle w:val="TableContents"/>
              <w:spacing w:before="0" w:after="1"/>
              <w:ind w:left="0" w:right="0" w:hanging="0"/>
              <w:rPr/>
            </w:pPr>
            <w:r>
              <w:rPr/>
              <w:t>​</w:t>
            </w:r>
          </w:p>
        </w:tc>
        <w:tc>
          <w:tcPr>
            <w:tcW w:w="39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  </w:t>
            </w:r>
          </w:p>
        </w:tc>
      </w:tr>
      <w:tr>
        <w:trPr/>
        <w:tc>
          <w:tcPr>
            <w:tcW w:w="25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6,275</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6,275</w:t>
            </w:r>
          </w:p>
        </w:tc>
      </w:tr>
      <w:tr>
        <w:trPr/>
        <w:tc>
          <w:tcPr>
            <w:tcW w:w="25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Bills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29,776</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29,776</w:t>
            </w:r>
          </w:p>
        </w:tc>
      </w:tr>
      <w:tr>
        <w:trPr/>
        <w:tc>
          <w:tcPr>
            <w:tcW w:w="2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36,051</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 </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 </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36,051</w:t>
            </w:r>
          </w:p>
        </w:tc>
      </w:tr>
      <w:tr>
        <w:trPr/>
        <w:tc>
          <w:tcPr>
            <w:tcW w:w="25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w:t>
            </w:r>
          </w:p>
        </w:tc>
        <w:tc>
          <w:tcPr>
            <w:tcW w:w="3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w:t>
            </w:r>
          </w:p>
        </w:tc>
        <w:tc>
          <w:tcPr>
            <w:tcW w:w="3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r>
      <w:tr>
        <w:trPr/>
        <w:tc>
          <w:tcPr>
            <w:tcW w:w="253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Investments - debt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r>
      <w:tr>
        <w:trPr/>
        <w:tc>
          <w:tcPr>
            <w:tcW w:w="25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Bills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22,814</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22,814</w:t>
            </w:r>
          </w:p>
        </w:tc>
      </w:tr>
      <w:tr>
        <w:trPr/>
        <w:tc>
          <w:tcPr>
            <w:tcW w:w="2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58,865</w:t>
            </w:r>
          </w:p>
        </w:tc>
        <w:tc>
          <w:tcPr>
            <w:tcW w:w="326" w:type="dxa"/>
            <w:tcBorders/>
            <w:shd w:fill="auto" w:val="clear"/>
            <w:vAlign w:val="center"/>
          </w:tcPr>
          <w:p>
            <w:pPr>
              <w:pStyle w:val="TableContents"/>
              <w:spacing w:before="0" w:after="1"/>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58,865</w:t>
            </w:r>
          </w:p>
        </w:tc>
      </w:tr>
    </w:tbl>
    <w:p>
      <w:pPr>
        <w:pStyle w:val="TextBody"/>
        <w:spacing w:before="0" w:after="240"/>
        <w:ind w:left="0" w:right="0" w:firstLine="360"/>
        <w:rPr/>
      </w:pPr>
      <w:r>
        <w:rPr/>
        <w:t>​</w:t>
      </w:r>
    </w:p>
    <w:tbl>
      <w:tblPr>
        <w:tblW w:w="6981" w:type="dxa"/>
        <w:jc w:val="left"/>
        <w:tblInd w:w="0" w:type="dxa"/>
        <w:tblCellMar>
          <w:top w:w="0" w:type="dxa"/>
          <w:left w:w="0" w:type="dxa"/>
          <w:bottom w:w="0" w:type="dxa"/>
          <w:right w:w="0" w:type="dxa"/>
        </w:tblCellMar>
      </w:tblPr>
      <w:tblGrid>
        <w:gridCol w:w="2536"/>
        <w:gridCol w:w="326"/>
        <w:gridCol w:w="211"/>
        <w:gridCol w:w="676"/>
        <w:gridCol w:w="326"/>
        <w:gridCol w:w="239"/>
        <w:gridCol w:w="392"/>
        <w:gridCol w:w="326"/>
        <w:gridCol w:w="239"/>
        <w:gridCol w:w="392"/>
        <w:gridCol w:w="326"/>
        <w:gridCol w:w="211"/>
        <w:gridCol w:w="781"/>
      </w:tblGrid>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1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jc w:val="center"/>
              <w:rPr/>
            </w:pPr>
            <w:r>
              <w:rPr/>
              <w:t>​</w:t>
            </w:r>
          </w:p>
        </w:tc>
        <w:tc>
          <w:tcPr>
            <w:tcW w:w="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jc w:val="center"/>
              <w:rPr/>
            </w:pPr>
            <w:r>
              <w:rPr/>
              <w:t>​</w:t>
            </w:r>
          </w:p>
        </w:tc>
        <w:tc>
          <w:tcPr>
            <w:tcW w:w="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jc w:val="center"/>
              <w:rPr/>
            </w:pPr>
            <w:r>
              <w:rPr/>
              <w:t>​</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jc w:val="center"/>
              <w:rPr/>
            </w:pPr>
            <w:r>
              <w:rPr/>
              <w:t>​</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19,233</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19,233</w:t>
            </w:r>
          </w:p>
        </w:tc>
      </w:tr>
      <w:tr>
        <w:trPr/>
        <w:tc>
          <w:tcPr>
            <w:tcW w:w="25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Investments - debt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Treasury Bills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40,576</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40,576</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59,809</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59,809</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Money market funds and U.S. Treasury Bills are measured based on quoted market prices in an active market and categorized within Level 1 of the fair value hierarchy. Money market funds and short-term U.S. Treasury Bills with a maturity date of 90 days or less from the date of purchase are classified as cash equivalents in the Company’s condensed consolidated balance sheets.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Assets and liabilities measured at fair value on a recurring basis related to interest rate swap agreements designated as cash flow hedges are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389"/>
        <w:gridCol w:w="109"/>
        <w:gridCol w:w="951"/>
        <w:gridCol w:w="109"/>
        <w:gridCol w:w="786"/>
        <w:gridCol w:w="109"/>
        <w:gridCol w:w="571"/>
        <w:gridCol w:w="109"/>
        <w:gridCol w:w="254"/>
        <w:gridCol w:w="782"/>
        <w:gridCol w:w="109"/>
        <w:gridCol w:w="287"/>
        <w:gridCol w:w="749"/>
        <w:gridCol w:w="114"/>
        <w:gridCol w:w="337"/>
        <w:gridCol w:w="879"/>
        <w:gridCol w:w="109"/>
        <w:gridCol w:w="451"/>
        <w:gridCol w:w="109"/>
        <w:gridCol w:w="1892"/>
      </w:tblGrid>
      <w:tr>
        <w:trPr/>
        <w:tc>
          <w:tcPr>
            <w:tcW w:w="13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82015" cy="175260"/>
                      <wp:effectExtent l="0" t="0" r="0" b="0"/>
                      <wp:wrapNone/>
                      <wp:docPr id="234" name="Frame234"/>
                      <a:graphic xmlns:a="http://schemas.openxmlformats.org/drawingml/2006/main">
                        <a:graphicData uri="http://schemas.microsoft.com/office/word/2010/wordprocessingShape">
                          <wps:wsp>
                            <wps:cNvSpPr txBox="1"/>
                            <wps:spPr>
                              <a:xfrm>
                                <a:off x="0" y="0"/>
                                <a:ext cx="8820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03885" cy="175260"/>
                      <wp:effectExtent l="0" t="0" r="0" b="0"/>
                      <wp:wrapNone/>
                      <wp:docPr id="236" name="Frame236"/>
                      <a:graphic xmlns:a="http://schemas.openxmlformats.org/drawingml/2006/main">
                        <a:graphicData uri="http://schemas.microsoft.com/office/word/2010/wordprocessingShape">
                          <wps:wsp>
                            <wps:cNvSpPr txBox="1"/>
                            <wps:spPr>
                              <a:xfrm>
                                <a:off x="0" y="0"/>
                                <a:ext cx="603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99110" cy="175260"/>
                      <wp:effectExtent l="0" t="0" r="0" b="0"/>
                      <wp:wrapNone/>
                      <wp:docPr id="238" name="Frame238"/>
                      <a:graphic xmlns:a="http://schemas.openxmlformats.org/drawingml/2006/main">
                        <a:graphicData uri="http://schemas.microsoft.com/office/word/2010/wordprocessingShape">
                          <wps:wsp>
                            <wps:cNvSpPr txBox="1"/>
                            <wps:spPr>
                              <a:xfrm>
                                <a:off x="0" y="0"/>
                                <a:ext cx="499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62585" cy="175260"/>
                      <wp:effectExtent l="0" t="0" r="0" b="0"/>
                      <wp:wrapNone/>
                      <wp:docPr id="240" name="Frame24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61290" cy="175260"/>
                      <wp:effectExtent l="0" t="0" r="0" b="0"/>
                      <wp:wrapNone/>
                      <wp:docPr id="242" name="Frame242"/>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96570" cy="175260"/>
                      <wp:effectExtent l="0" t="0" r="0" b="0"/>
                      <wp:wrapNone/>
                      <wp:docPr id="243" name="Frame243"/>
                      <a:graphic xmlns:a="http://schemas.openxmlformats.org/drawingml/2006/main">
                        <a:graphicData uri="http://schemas.microsoft.com/office/word/2010/wordprocessingShape">
                          <wps:wsp>
                            <wps:cNvSpPr txBox="1"/>
                            <wps:spPr>
                              <a:xfrm>
                                <a:off x="0" y="0"/>
                                <a:ext cx="496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82245" cy="175260"/>
                      <wp:effectExtent l="0" t="0" r="0" b="0"/>
                      <wp:wrapNone/>
                      <wp:docPr id="245" name="Frame245"/>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75615" cy="175260"/>
                      <wp:effectExtent l="0" t="0" r="0" b="0"/>
                      <wp:wrapNone/>
                      <wp:docPr id="246" name="Frame246"/>
                      <a:graphic xmlns:a="http://schemas.openxmlformats.org/drawingml/2006/main">
                        <a:graphicData uri="http://schemas.microsoft.com/office/word/2010/wordprocessingShape">
                          <wps:wsp>
                            <wps:cNvSpPr txBox="1"/>
                            <wps:spPr>
                              <a:xfrm>
                                <a:off x="0" y="0"/>
                                <a:ext cx="4756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72390" cy="175260"/>
                      <wp:effectExtent l="0" t="0" r="0" b="0"/>
                      <wp:wrapNone/>
                      <wp:docPr id="247" name="Frame247"/>
                      <a:graphic xmlns:a="http://schemas.openxmlformats.org/drawingml/2006/main">
                        <a:graphicData uri="http://schemas.microsoft.com/office/word/2010/wordprocessingShape">
                          <wps:wsp>
                            <wps:cNvSpPr txBox="1"/>
                            <wps:spPr>
                              <a:xfrm>
                                <a:off x="0" y="0"/>
                                <a:ext cx="723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3995" cy="175260"/>
                      <wp:effectExtent l="0" t="0" r="0" b="0"/>
                      <wp:wrapNone/>
                      <wp:docPr id="248" name="Frame248"/>
                      <a:graphic xmlns:a="http://schemas.openxmlformats.org/drawingml/2006/main">
                        <a:graphicData uri="http://schemas.microsoft.com/office/word/2010/wordprocessingShape">
                          <wps:wsp>
                            <wps:cNvSpPr txBox="1"/>
                            <wps:spPr>
                              <a:xfrm>
                                <a:off x="0" y="0"/>
                                <a:ext cx="213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58165" cy="175260"/>
                      <wp:effectExtent l="0" t="0" r="0" b="0"/>
                      <wp:wrapNone/>
                      <wp:docPr id="249" name="Frame249"/>
                      <a:graphic xmlns:a="http://schemas.openxmlformats.org/drawingml/2006/main">
                        <a:graphicData uri="http://schemas.microsoft.com/office/word/2010/wordprocessingShape">
                          <wps:wsp>
                            <wps:cNvSpPr txBox="1"/>
                            <wps:spPr>
                              <a:xfrm>
                                <a:off x="0" y="0"/>
                                <a:ext cx="558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86385" cy="175260"/>
                      <wp:effectExtent l="0" t="0" r="0" b="0"/>
                      <wp:wrapNone/>
                      <wp:docPr id="251" name="Frame251"/>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01420" cy="175260"/>
                      <wp:effectExtent l="0" t="0" r="0" b="0"/>
                      <wp:wrapNone/>
                      <wp:docPr id="253" name="Frame253"/>
                      <a:graphic xmlns:a="http://schemas.openxmlformats.org/drawingml/2006/main">
                        <a:graphicData uri="http://schemas.microsoft.com/office/word/2010/wordprocessingShape">
                          <wps:wsp>
                            <wps:cNvSpPr txBox="1"/>
                            <wps:spPr>
                              <a:xfrm>
                                <a:off x="0" y="0"/>
                                <a:ext cx="12014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8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5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Fixed</w:t>
            </w:r>
          </w:p>
        </w:tc>
        <w:tc>
          <w:tcPr>
            <w:tcW w:w="109" w:type="dxa"/>
            <w:tcBorders/>
            <w:shd w:fill="auto" w:val="clear"/>
            <w:vAlign w:val="center"/>
          </w:tcPr>
          <w:p>
            <w:pPr>
              <w:pStyle w:val="TableContents"/>
              <w:spacing w:before="0" w:after="1"/>
              <w:ind w:left="0" w:right="0" w:hanging="0"/>
              <w:rPr/>
            </w:pPr>
            <w:r>
              <w:rPr/>
              <w:t>​</w:t>
            </w:r>
          </w:p>
        </w:tc>
        <w:tc>
          <w:tcPr>
            <w:tcW w:w="103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Notional</w:t>
            </w:r>
          </w:p>
        </w:tc>
        <w:tc>
          <w:tcPr>
            <w:tcW w:w="109" w:type="dxa"/>
            <w:tcBorders/>
            <w:shd w:fill="auto" w:val="clear"/>
            <w:vAlign w:val="center"/>
          </w:tcPr>
          <w:p>
            <w:pPr>
              <w:pStyle w:val="TableContents"/>
              <w:spacing w:before="0" w:after="1"/>
              <w:ind w:left="0" w:right="0" w:hanging="0"/>
              <w:rPr/>
            </w:pPr>
            <w:r>
              <w:rPr/>
              <w:t>​</w:t>
            </w:r>
          </w:p>
        </w:tc>
        <w:tc>
          <w:tcPr>
            <w:tcW w:w="287" w:type="dxa"/>
            <w:tcBorders/>
            <w:shd w:fill="auto" w:val="clear"/>
            <w:vAlign w:val="center"/>
          </w:tcPr>
          <w:p>
            <w:pPr>
              <w:pStyle w:val="TableContents"/>
              <w:spacing w:before="0" w:after="1"/>
              <w:ind w:left="0" w:right="0" w:hanging="0"/>
              <w:jc w:val="right"/>
              <w:rPr/>
            </w:pPr>
            <w:r>
              <w:rPr/>
              <w:t>​</w:t>
            </w:r>
          </w:p>
        </w:tc>
        <w:tc>
          <w:tcPr>
            <w:tcW w:w="749" w:type="dxa"/>
            <w:tcBorders/>
            <w:shd w:fill="auto" w:val="clear"/>
            <w:vAlign w:val="center"/>
          </w:tcPr>
          <w:p>
            <w:pPr>
              <w:pStyle w:val="TableContents"/>
              <w:spacing w:before="0" w:after="1"/>
              <w:ind w:left="0" w:right="0" w:hanging="0"/>
              <w:rPr/>
            </w:pPr>
            <w:r>
              <w:rPr/>
              <w:t>​</w:t>
            </w:r>
          </w:p>
        </w:tc>
        <w:tc>
          <w:tcPr>
            <w:tcW w:w="114" w:type="dxa"/>
            <w:tcBorders/>
            <w:shd w:fill="auto" w:val="clear"/>
            <w:vAlign w:val="center"/>
          </w:tcPr>
          <w:p>
            <w:pPr>
              <w:pStyle w:val="TableContents"/>
              <w:spacing w:before="0" w:after="1"/>
              <w:ind w:left="0" w:right="0" w:hanging="0"/>
              <w:rPr/>
            </w:pPr>
            <w:r>
              <w:rPr/>
              <w:t>​</w:t>
            </w:r>
          </w:p>
        </w:tc>
        <w:tc>
          <w:tcPr>
            <w:tcW w:w="337" w:type="dxa"/>
            <w:tcBorders/>
            <w:shd w:fill="auto" w:val="clear"/>
            <w:vAlign w:val="center"/>
          </w:tcPr>
          <w:p>
            <w:pPr>
              <w:pStyle w:val="TableContents"/>
              <w:spacing w:before="0" w:after="1"/>
              <w:ind w:left="0" w:right="0" w:hanging="0"/>
              <w:jc w:val="right"/>
              <w:rPr/>
            </w:pPr>
            <w:r>
              <w:rPr/>
              <w:t>​</w:t>
            </w:r>
          </w:p>
        </w:tc>
        <w:tc>
          <w:tcPr>
            <w:tcW w:w="87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Fair</w:t>
            </w:r>
          </w:p>
        </w:tc>
        <w:tc>
          <w:tcPr>
            <w:tcW w:w="109" w:type="dxa"/>
            <w:tcBorders/>
            <w:shd w:fill="auto" w:val="clear"/>
            <w:vAlign w:val="center"/>
          </w:tcPr>
          <w:p>
            <w:pPr>
              <w:pStyle w:val="TableContents"/>
              <w:spacing w:before="0" w:after="1"/>
              <w:ind w:left="0" w:right="0" w:hanging="0"/>
              <w:rPr/>
            </w:pPr>
            <w:r>
              <w:rPr/>
              <w:t>​</w:t>
            </w:r>
          </w:p>
        </w:tc>
        <w:tc>
          <w:tcPr>
            <w:tcW w:w="1892"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 in</w:t>
            </w:r>
          </w:p>
        </w:tc>
      </w:tr>
      <w:tr>
        <w:trPr/>
        <w:tc>
          <w:tcPr>
            <w:tcW w:w="1389"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95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Effective</w:t>
            </w:r>
          </w:p>
        </w:tc>
        <w:tc>
          <w:tcPr>
            <w:tcW w:w="109" w:type="dxa"/>
            <w:tcBorders/>
            <w:shd w:fill="auto" w:val="clear"/>
            <w:vAlign w:val="center"/>
          </w:tcPr>
          <w:p>
            <w:pPr>
              <w:pStyle w:val="TableContents"/>
              <w:spacing w:before="0" w:after="1"/>
              <w:ind w:left="0" w:right="0" w:hanging="0"/>
              <w:jc w:val="center"/>
              <w:rPr/>
            </w:pPr>
            <w:r>
              <w:rPr/>
              <w:t>​</w:t>
            </w:r>
          </w:p>
        </w:tc>
        <w:tc>
          <w:tcPr>
            <w:tcW w:w="7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09" w:type="dxa"/>
            <w:tcBorders/>
            <w:shd w:fill="auto" w:val="clear"/>
            <w:vAlign w:val="center"/>
          </w:tcPr>
          <w:p>
            <w:pPr>
              <w:pStyle w:val="TableContents"/>
              <w:spacing w:before="0" w:after="1"/>
              <w:ind w:left="0" w:right="0" w:hanging="0"/>
              <w:jc w:val="center"/>
              <w:rPr/>
            </w:pPr>
            <w:r>
              <w:rPr/>
              <w:t>​</w:t>
            </w:r>
          </w:p>
        </w:tc>
        <w:tc>
          <w:tcPr>
            <w:tcW w:w="103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 as of</w:t>
            </w:r>
          </w:p>
        </w:tc>
        <w:tc>
          <w:tcPr>
            <w:tcW w:w="109" w:type="dxa"/>
            <w:tcBorders/>
            <w:shd w:fill="auto" w:val="clear"/>
            <w:vAlign w:val="center"/>
          </w:tcPr>
          <w:p>
            <w:pPr>
              <w:pStyle w:val="TableContents"/>
              <w:spacing w:before="0" w:after="1"/>
              <w:ind w:left="0" w:right="0" w:hanging="0"/>
              <w:jc w:val="center"/>
              <w:rPr/>
            </w:pPr>
            <w:r>
              <w:rPr/>
              <w:t>​</w:t>
            </w:r>
          </w:p>
        </w:tc>
        <w:tc>
          <w:tcPr>
            <w:tcW w:w="236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Derivative Asset Fair Value</w:t>
            </w:r>
          </w:p>
        </w:tc>
        <w:tc>
          <w:tcPr>
            <w:tcW w:w="109"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109" w:type="dxa"/>
            <w:tcBorders/>
            <w:shd w:fill="auto" w:val="clear"/>
            <w:vAlign w:val="center"/>
          </w:tcPr>
          <w:p>
            <w:pPr>
              <w:pStyle w:val="TableContents"/>
              <w:spacing w:before="0" w:after="1"/>
              <w:ind w:left="0" w:right="0" w:hanging="0"/>
              <w:jc w:val="center"/>
              <w:rPr/>
            </w:pPr>
            <w:r>
              <w:rPr/>
              <w:t>​</w:t>
            </w:r>
          </w:p>
        </w:tc>
        <w:tc>
          <w:tcPr>
            <w:tcW w:w="1892"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Consolidated </w:t>
            </w:r>
          </w:p>
        </w:tc>
      </w:tr>
      <w:tr>
        <w:trPr/>
        <w:tc>
          <w:tcPr>
            <w:tcW w:w="138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Description</w:t>
            </w:r>
          </w:p>
        </w:tc>
        <w:tc>
          <w:tcPr>
            <w:tcW w:w="109" w:type="dxa"/>
            <w:tcBorders/>
            <w:shd w:fill="auto" w:val="clear"/>
            <w:vAlign w:val="center"/>
          </w:tcPr>
          <w:p>
            <w:pPr>
              <w:pStyle w:val="TableContents"/>
              <w:spacing w:before="0" w:after="1"/>
              <w:ind w:left="0" w:right="0" w:hanging="0"/>
              <w:jc w:val="center"/>
              <w:rPr/>
            </w:pPr>
            <w:r>
              <w:rPr/>
              <w:t>​</w:t>
            </w:r>
          </w:p>
        </w:tc>
        <w:tc>
          <w:tcPr>
            <w:tcW w:w="9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shd w:fill="auto" w:val="clear"/>
            <w:vAlign w:val="center"/>
          </w:tcPr>
          <w:p>
            <w:pPr>
              <w:pStyle w:val="TableContents"/>
              <w:spacing w:before="0" w:after="1"/>
              <w:ind w:left="0" w:right="0" w:hanging="0"/>
              <w:jc w:val="center"/>
              <w:rPr/>
            </w:pPr>
            <w:r>
              <w:rPr/>
              <w:t>​</w:t>
            </w:r>
          </w:p>
        </w:tc>
        <w:tc>
          <w:tcPr>
            <w:tcW w:w="7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109" w:type="dxa"/>
            <w:tcBorders/>
            <w:shd w:fill="auto" w:val="clear"/>
            <w:vAlign w:val="center"/>
          </w:tcPr>
          <w:p>
            <w:pPr>
              <w:pStyle w:val="TableContents"/>
              <w:spacing w:before="0" w:after="1"/>
              <w:ind w:left="0" w:right="0" w:hanging="0"/>
              <w:jc w:val="center"/>
              <w:rPr/>
            </w:pPr>
            <w:r>
              <w:rPr/>
              <w:t>​</w:t>
            </w:r>
          </w:p>
        </w:tc>
        <w:tc>
          <w:tcPr>
            <w:tcW w:w="103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 2023</w:t>
            </w:r>
          </w:p>
        </w:tc>
        <w:tc>
          <w:tcPr>
            <w:tcW w:w="109" w:type="dxa"/>
            <w:tcBorders/>
            <w:shd w:fill="auto" w:val="clear"/>
            <w:vAlign w:val="center"/>
          </w:tcPr>
          <w:p>
            <w:pPr>
              <w:pStyle w:val="TableContents"/>
              <w:spacing w:before="0" w:after="1"/>
              <w:ind w:left="0" w:right="0" w:hanging="0"/>
              <w:jc w:val="center"/>
              <w:rPr/>
            </w:pPr>
            <w:r>
              <w:rPr/>
              <w:t>​</w:t>
            </w:r>
          </w:p>
        </w:tc>
        <w:tc>
          <w:tcPr>
            <w:tcW w:w="103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 2023</w:t>
            </w:r>
          </w:p>
        </w:tc>
        <w:tc>
          <w:tcPr>
            <w:tcW w:w="114" w:type="dxa"/>
            <w:tcBorders/>
            <w:shd w:fill="auto" w:val="clear"/>
            <w:vAlign w:val="center"/>
          </w:tcPr>
          <w:p>
            <w:pPr>
              <w:pStyle w:val="TableContents"/>
              <w:spacing w:before="0" w:after="1"/>
              <w:ind w:left="0" w:right="0" w:hanging="0"/>
              <w:jc w:val="center"/>
              <w:rPr/>
            </w:pPr>
            <w:r>
              <w:rPr/>
              <w:t>​</w:t>
            </w:r>
          </w:p>
        </w:tc>
        <w:tc>
          <w:tcPr>
            <w:tcW w:w="12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2022</w:t>
            </w:r>
          </w:p>
        </w:tc>
        <w:tc>
          <w:tcPr>
            <w:tcW w:w="109" w:type="dxa"/>
            <w:tcBorders/>
            <w:shd w:fill="auto" w:val="clear"/>
            <w:vAlign w:val="center"/>
          </w:tcPr>
          <w:p>
            <w:pPr>
              <w:pStyle w:val="TableContents"/>
              <w:spacing w:before="0" w:after="1"/>
              <w:ind w:left="0" w:right="0" w:hanging="0"/>
              <w:jc w:val="center"/>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Level</w:t>
            </w:r>
          </w:p>
        </w:tc>
        <w:tc>
          <w:tcPr>
            <w:tcW w:w="109" w:type="dxa"/>
            <w:tcBorders/>
            <w:shd w:fill="auto" w:val="clear"/>
            <w:vAlign w:val="center"/>
          </w:tcPr>
          <w:p>
            <w:pPr>
              <w:pStyle w:val="TableContents"/>
              <w:spacing w:before="0" w:after="1"/>
              <w:ind w:left="0" w:right="0" w:hanging="0"/>
              <w:jc w:val="center"/>
              <w:rPr/>
            </w:pPr>
            <w:r>
              <w:rPr/>
              <w:t>​</w:t>
            </w:r>
          </w:p>
        </w:tc>
        <w:tc>
          <w:tcPr>
            <w:tcW w:w="189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Sheets</w:t>
            </w:r>
          </w:p>
        </w:tc>
      </w:tr>
      <w:tr>
        <w:trPr/>
        <w:tc>
          <w:tcPr>
            <w:tcW w:w="10205" w:type="dxa"/>
            <w:gridSpan w:val="20"/>
            <w:tcBorders/>
            <w:shd w:fill="auto" w:val="clear"/>
            <w:vAlign w:val="center"/>
          </w:tcPr>
          <w:p>
            <w:pPr>
              <w:pStyle w:val="TableContents"/>
              <w:spacing w:before="0" w:after="283"/>
              <w:ind w:left="0" w:right="0" w:hanging="0"/>
              <w:rPr>
                <w:sz w:val="4"/>
                <w:szCs w:val="4"/>
              </w:rPr>
            </w:pPr>
            <w:r>
              <w:rPr>
                <w:sz w:val="4"/>
                <w:szCs w:val="4"/>
              </w:rPr>
            </w:r>
          </w:p>
        </w:tc>
      </w:tr>
      <w:tr>
        <w:trPr/>
        <w:tc>
          <w:tcPr>
            <w:tcW w:w="1389"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9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8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54" w:type="dxa"/>
            <w:tcBorders/>
            <w:shd w:fill="auto" w:val="clear"/>
            <w:vAlign w:val="center"/>
          </w:tcPr>
          <w:p>
            <w:pPr>
              <w:pStyle w:val="TableContents"/>
              <w:spacing w:before="0" w:after="1"/>
              <w:ind w:left="0" w:right="0" w:hanging="0"/>
              <w:jc w:val="right"/>
              <w:rPr/>
            </w:pPr>
            <w:r>
              <w:rPr/>
              <w:t>​</w:t>
            </w:r>
          </w:p>
        </w:tc>
        <w:tc>
          <w:tcPr>
            <w:tcW w:w="782" w:type="dxa"/>
            <w:tcBorders/>
            <w:shd w:fill="auto" w:val="clear"/>
            <w:vAlign w:val="center"/>
          </w:tcPr>
          <w:p>
            <w:pPr>
              <w:pStyle w:val="TableContents"/>
              <w:spacing w:before="0" w:after="1"/>
              <w:ind w:left="0" w:right="0" w:hanging="0"/>
              <w:jc w:val="center"/>
              <w:rPr>
                <w:rFonts w:ascii="Times New Roman;Times;serif" w:hAnsi="Times New Roman;Times;serif"/>
                <w:i/>
                <w:sz w:val="14"/>
              </w:rPr>
            </w:pPr>
            <w:r>
              <w:rPr>
                <w:rFonts w:ascii="Times New Roman;Times;serif" w:hAnsi="Times New Roman;Times;serif"/>
                <w:i/>
                <w:sz w:val="14"/>
              </w:rPr>
              <w:t>In Millions</w:t>
            </w:r>
          </w:p>
        </w:tc>
        <w:tc>
          <w:tcPr>
            <w:tcW w:w="109" w:type="dxa"/>
            <w:tcBorders/>
            <w:shd w:fill="auto" w:val="clear"/>
            <w:vAlign w:val="center"/>
          </w:tcPr>
          <w:p>
            <w:pPr>
              <w:pStyle w:val="TableContents"/>
              <w:spacing w:before="0" w:after="1"/>
              <w:ind w:left="0" w:right="0" w:hanging="0"/>
              <w:jc w:val="center"/>
              <w:rPr/>
            </w:pPr>
            <w:r>
              <w:rPr/>
              <w:t>​</w:t>
            </w:r>
          </w:p>
        </w:tc>
        <w:tc>
          <w:tcPr>
            <w:tcW w:w="2366" w:type="dxa"/>
            <w:gridSpan w:val="5"/>
            <w:tcBorders/>
            <w:shd w:fill="auto" w:val="clear"/>
            <w:vAlign w:val="center"/>
          </w:tcPr>
          <w:p>
            <w:pPr>
              <w:pStyle w:val="TableContents"/>
              <w:spacing w:before="0" w:after="1"/>
              <w:ind w:left="0" w:right="0" w:hanging="0"/>
              <w:jc w:val="center"/>
              <w:rPr>
                <w:rFonts w:ascii="Times New Roman;Times;serif" w:hAnsi="Times New Roman;Times;serif"/>
                <w:i/>
                <w:sz w:val="14"/>
              </w:rPr>
            </w:pPr>
            <w:r>
              <w:rPr>
                <w:rFonts w:ascii="Times New Roman;Times;serif" w:hAnsi="Times New Roman;Times;serif"/>
                <w:i/>
                <w:sz w:val="14"/>
              </w:rPr>
              <w:t>In Thousands</w:t>
            </w:r>
          </w:p>
        </w:tc>
        <w:tc>
          <w:tcPr>
            <w:tcW w:w="109"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892" w:type="dxa"/>
            <w:tcBorders/>
            <w:shd w:fill="auto" w:val="clear"/>
            <w:vAlign w:val="center"/>
          </w:tcPr>
          <w:p>
            <w:pPr>
              <w:pStyle w:val="TableContents"/>
              <w:spacing w:before="0" w:after="1"/>
              <w:ind w:left="0" w:right="0" w:hanging="0"/>
              <w:jc w:val="center"/>
              <w:rPr/>
            </w:pPr>
            <w:r>
              <w:rPr/>
              <w:t>​</w:t>
            </w:r>
          </w:p>
        </w:tc>
      </w:tr>
      <w:tr>
        <w:trPr/>
        <w:tc>
          <w:tcPr>
            <w:tcW w:w="1389" w:type="dxa"/>
            <w:tcBorders/>
            <w:shd w:fill="CCEEFF"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7"/>
              </w:rPr>
              <w:t>Pier Park Resort Hotel JV Loan</w:t>
            </w:r>
            <w:r>
              <w:rPr>
                <w:rFonts w:ascii="Times New Roman;Times;serif" w:hAnsi="Times New Roman;Times;serif"/>
                <w:sz w:val="16"/>
              </w:rPr>
              <w:t xml:space="preserve"> </w:t>
            </w:r>
            <w:r>
              <w:rPr>
                <w:rFonts w:ascii="Times New Roman;Times;serif" w:hAnsi="Times New Roman;Times;serif"/>
                <w:sz w:val="13"/>
              </w:rPr>
              <w:t>(a)</w:t>
            </w:r>
          </w:p>
        </w:tc>
        <w:tc>
          <w:tcPr>
            <w:tcW w:w="109" w:type="dxa"/>
            <w:tcBorders/>
            <w:shd w:fill="CCEEFF" w:val="clear"/>
            <w:vAlign w:val="center"/>
          </w:tcPr>
          <w:p>
            <w:pPr>
              <w:pStyle w:val="TableContents"/>
              <w:spacing w:before="0" w:after="1"/>
              <w:ind w:left="0" w:right="0" w:hanging="0"/>
              <w:rPr/>
            </w:pPr>
            <w:r>
              <w:rPr/>
              <w:t>​</w:t>
            </w:r>
          </w:p>
        </w:tc>
        <w:tc>
          <w:tcPr>
            <w:tcW w:w="951" w:type="dxa"/>
            <w:tcBorders/>
            <w:shd w:fill="CCEEFF" w:val="clear"/>
            <w:vAlign w:val="center"/>
          </w:tcPr>
          <w:p>
            <w:pPr>
              <w:pStyle w:val="TableContents"/>
              <w:spacing w:before="0" w:after="1"/>
              <w:ind w:left="0" w:right="0" w:hanging="0"/>
              <w:jc w:val="center"/>
              <w:rPr>
                <w:rFonts w:ascii="Times New Roman;Times;serif" w:hAnsi="Times New Roman;Times;serif"/>
                <w:sz w:val="17"/>
              </w:rPr>
            </w:pPr>
            <w:r>
              <w:rPr>
                <w:rFonts w:ascii="Times New Roman;Times;serif" w:hAnsi="Times New Roman;Times;serif"/>
                <w:sz w:val="17"/>
              </w:rPr>
              <w:t>December 2022</w:t>
            </w:r>
          </w:p>
        </w:tc>
        <w:tc>
          <w:tcPr>
            <w:tcW w:w="109" w:type="dxa"/>
            <w:tcBorders/>
            <w:shd w:fill="CCEEFF" w:val="clear"/>
            <w:vAlign w:val="center"/>
          </w:tcPr>
          <w:p>
            <w:pPr>
              <w:pStyle w:val="TableContents"/>
              <w:spacing w:before="0" w:after="1"/>
              <w:ind w:left="0" w:right="0" w:hanging="0"/>
              <w:jc w:val="center"/>
              <w:rPr/>
            </w:pPr>
            <w:r>
              <w:rPr/>
              <w:t>​</w:t>
            </w:r>
          </w:p>
        </w:tc>
        <w:tc>
          <w:tcPr>
            <w:tcW w:w="786" w:type="dxa"/>
            <w:tcBorders/>
            <w:shd w:fill="CCEEFF" w:val="clear"/>
            <w:vAlign w:val="center"/>
          </w:tcPr>
          <w:p>
            <w:pPr>
              <w:pStyle w:val="TableContents"/>
              <w:spacing w:before="0" w:after="1"/>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3.3%</w:t>
            </w:r>
          </w:p>
        </w:tc>
        <w:tc>
          <w:tcPr>
            <w:tcW w:w="109"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t>
            </w:r>
          </w:p>
        </w:tc>
        <w:tc>
          <w:tcPr>
            <w:tcW w:w="782"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42.0</w:t>
            </w:r>
          </w:p>
        </w:tc>
        <w:tc>
          <w:tcPr>
            <w:tcW w:w="109" w:type="dxa"/>
            <w:tcBorders/>
            <w:shd w:fill="CCEEFF" w:val="clear"/>
            <w:vAlign w:val="center"/>
          </w:tcPr>
          <w:p>
            <w:pPr>
              <w:pStyle w:val="TableContents"/>
              <w:spacing w:before="0" w:after="1"/>
              <w:ind w:left="0" w:right="0" w:hanging="0"/>
              <w:rPr/>
            </w:pPr>
            <w:r>
              <w:rPr/>
              <w:t>​</w:t>
            </w:r>
          </w:p>
        </w:tc>
        <w:tc>
          <w:tcPr>
            <w:tcW w:w="28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t>
            </w:r>
          </w:p>
        </w:tc>
        <w:tc>
          <w:tcPr>
            <w:tcW w:w="749"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3,697</w:t>
            </w:r>
          </w:p>
        </w:tc>
        <w:tc>
          <w:tcPr>
            <w:tcW w:w="114" w:type="dxa"/>
            <w:tcBorders/>
            <w:shd w:fill="CCEEFF" w:val="clear"/>
            <w:vAlign w:val="center"/>
          </w:tcPr>
          <w:p>
            <w:pPr>
              <w:pStyle w:val="TableContents"/>
              <w:spacing w:before="0" w:after="1"/>
              <w:ind w:left="0" w:right="0" w:hanging="0"/>
              <w:jc w:val="right"/>
              <w:rPr/>
            </w:pPr>
            <w:r>
              <w:rPr/>
              <w:t>​</w:t>
            </w:r>
          </w:p>
        </w:tc>
        <w:tc>
          <w:tcPr>
            <w:tcW w:w="33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t>
            </w:r>
          </w:p>
        </w:tc>
        <w:tc>
          <w:tcPr>
            <w:tcW w:w="879"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4,609</w:t>
            </w:r>
          </w:p>
        </w:tc>
        <w:tc>
          <w:tcPr>
            <w:tcW w:w="109"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17"/>
              </w:rPr>
            </w:pPr>
            <w:r>
              <w:rPr>
                <w:rFonts w:ascii="Times New Roman;Times;serif" w:hAnsi="Times New Roman;Times;serif"/>
                <w:sz w:val="17"/>
              </w:rPr>
              <w:t>2</w:t>
            </w:r>
          </w:p>
        </w:tc>
        <w:tc>
          <w:tcPr>
            <w:tcW w:w="109" w:type="dxa"/>
            <w:tcBorders/>
            <w:shd w:fill="CCEEFF" w:val="clear"/>
            <w:vAlign w:val="center"/>
          </w:tcPr>
          <w:p>
            <w:pPr>
              <w:pStyle w:val="TableContents"/>
              <w:spacing w:before="0" w:after="1"/>
              <w:ind w:left="0" w:right="0" w:hanging="0"/>
              <w:rPr/>
            </w:pPr>
            <w:r>
              <w:rPr/>
              <w:t>​</w:t>
            </w:r>
          </w:p>
        </w:tc>
        <w:tc>
          <w:tcPr>
            <w:tcW w:w="1892"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Other assets</w:t>
            </w:r>
          </w:p>
        </w:tc>
      </w:tr>
      <w:tr>
        <w:trPr/>
        <w:tc>
          <w:tcPr>
            <w:tcW w:w="1389"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7"/>
              </w:rPr>
              <w:t>Pier Park TPS JV Loan</w:t>
            </w:r>
            <w:r>
              <w:rPr>
                <w:rFonts w:ascii="Times New Roman;Times;serif" w:hAnsi="Times New Roman;Times;serif"/>
                <w:sz w:val="16"/>
              </w:rPr>
              <w:t xml:space="preserve"> </w:t>
            </w:r>
            <w:r>
              <w:rPr>
                <w:rFonts w:ascii="Times New Roman;Times;serif" w:hAnsi="Times New Roman;Times;serif"/>
                <w:sz w:val="13"/>
              </w:rPr>
              <w:t>(b)</w:t>
            </w:r>
          </w:p>
        </w:tc>
        <w:tc>
          <w:tcPr>
            <w:tcW w:w="109" w:type="dxa"/>
            <w:tcBorders/>
            <w:shd w:fill="auto" w:val="clear"/>
            <w:vAlign w:val="center"/>
          </w:tcPr>
          <w:p>
            <w:pPr>
              <w:pStyle w:val="TableContents"/>
              <w:spacing w:before="0" w:after="1"/>
              <w:ind w:left="0" w:right="0" w:hanging="0"/>
              <w:rPr/>
            </w:pPr>
            <w:r>
              <w:rPr/>
              <w:t>​</w:t>
            </w:r>
          </w:p>
        </w:tc>
        <w:tc>
          <w:tcPr>
            <w:tcW w:w="951" w:type="dxa"/>
            <w:tcBorders/>
            <w:shd w:fill="auto" w:val="clear"/>
            <w:vAlign w:val="center"/>
          </w:tcPr>
          <w:p>
            <w:pPr>
              <w:pStyle w:val="TableContents"/>
              <w:spacing w:before="0" w:after="1"/>
              <w:ind w:left="0" w:right="0" w:hanging="0"/>
              <w:jc w:val="center"/>
              <w:rPr>
                <w:rFonts w:ascii="Times New Roman;Times;serif" w:hAnsi="Times New Roman;Times;serif"/>
                <w:sz w:val="17"/>
              </w:rPr>
            </w:pPr>
            <w:r>
              <w:rPr>
                <w:rFonts w:ascii="Times New Roman;Times;serif" w:hAnsi="Times New Roman;Times;serif"/>
                <w:sz w:val="17"/>
              </w:rPr>
              <w:t>January 2021</w:t>
            </w:r>
          </w:p>
        </w:tc>
        <w:tc>
          <w:tcPr>
            <w:tcW w:w="109" w:type="dxa"/>
            <w:tcBorders/>
            <w:shd w:fill="auto" w:val="clear"/>
            <w:vAlign w:val="center"/>
          </w:tcPr>
          <w:p>
            <w:pPr>
              <w:pStyle w:val="TableContents"/>
              <w:spacing w:before="0" w:after="1"/>
              <w:ind w:left="0" w:right="0" w:hanging="0"/>
              <w:jc w:val="center"/>
              <w:rPr/>
            </w:pPr>
            <w:r>
              <w:rPr/>
              <w:t>​</w:t>
            </w:r>
          </w:p>
        </w:tc>
        <w:tc>
          <w:tcPr>
            <w:tcW w:w="786" w:type="dxa"/>
            <w:tcBorders/>
            <w:shd w:fill="auto" w:val="clear"/>
            <w:vAlign w:val="center"/>
          </w:tcPr>
          <w:p>
            <w:pPr>
              <w:pStyle w:val="TableContents"/>
              <w:spacing w:before="0" w:after="1"/>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5.2%</w:t>
            </w:r>
          </w:p>
        </w:tc>
        <w:tc>
          <w:tcPr>
            <w:tcW w:w="109"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t>
            </w:r>
          </w:p>
        </w:tc>
        <w:tc>
          <w:tcPr>
            <w:tcW w:w="782"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13.7</w:t>
            </w:r>
          </w:p>
        </w:tc>
        <w:tc>
          <w:tcPr>
            <w:tcW w:w="109" w:type="dxa"/>
            <w:tcBorders/>
            <w:shd w:fill="auto" w:val="clear"/>
            <w:vAlign w:val="center"/>
          </w:tcPr>
          <w:p>
            <w:pPr>
              <w:pStyle w:val="TableContents"/>
              <w:spacing w:before="0" w:after="1"/>
              <w:ind w:left="0" w:right="0" w:hanging="0"/>
              <w:rPr/>
            </w:pPr>
            <w:r>
              <w:rPr/>
              <w:t>​</w:t>
            </w:r>
          </w:p>
        </w:tc>
        <w:tc>
          <w:tcPr>
            <w:tcW w:w="28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t>
            </w:r>
          </w:p>
        </w:tc>
        <w:tc>
          <w:tcPr>
            <w:tcW w:w="749"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206</w:t>
            </w:r>
          </w:p>
        </w:tc>
        <w:tc>
          <w:tcPr>
            <w:tcW w:w="114" w:type="dxa"/>
            <w:tcBorders/>
            <w:shd w:fill="auto" w:val="clear"/>
            <w:vAlign w:val="center"/>
          </w:tcPr>
          <w:p>
            <w:pPr>
              <w:pStyle w:val="TableContents"/>
              <w:spacing w:before="0" w:after="1"/>
              <w:ind w:left="0" w:right="0" w:hanging="0"/>
              <w:jc w:val="right"/>
              <w:rPr/>
            </w:pPr>
            <w:r>
              <w:rPr/>
              <w:t>​</w:t>
            </w:r>
          </w:p>
        </w:tc>
        <w:tc>
          <w:tcPr>
            <w:tcW w:w="33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t>
            </w:r>
          </w:p>
        </w:tc>
        <w:tc>
          <w:tcPr>
            <w:tcW w:w="879"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273</w:t>
            </w:r>
          </w:p>
        </w:tc>
        <w:tc>
          <w:tcPr>
            <w:tcW w:w="109"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17"/>
              </w:rPr>
            </w:pPr>
            <w:r>
              <w:rPr>
                <w:rFonts w:ascii="Times New Roman;Times;serif" w:hAnsi="Times New Roman;Times;serif"/>
                <w:sz w:val="17"/>
              </w:rPr>
              <w:t>2</w:t>
            </w:r>
          </w:p>
        </w:tc>
        <w:tc>
          <w:tcPr>
            <w:tcW w:w="109" w:type="dxa"/>
            <w:tcBorders/>
            <w:shd w:fill="auto" w:val="clear"/>
            <w:vAlign w:val="center"/>
          </w:tcPr>
          <w:p>
            <w:pPr>
              <w:pStyle w:val="TableContents"/>
              <w:spacing w:before="0" w:after="1"/>
              <w:ind w:left="0" w:right="0" w:hanging="0"/>
              <w:rPr/>
            </w:pPr>
            <w:r>
              <w:rPr/>
              <w:t>​</w:t>
            </w:r>
          </w:p>
        </w:tc>
        <w:tc>
          <w:tcPr>
            <w:tcW w:w="1892" w:type="dxa"/>
            <w:tcBorders/>
            <w:shd w:fill="auto" w:val="clear"/>
            <w:vAlign w:val="center"/>
          </w:tcPr>
          <w:p>
            <w:pPr>
              <w:pStyle w:val="TableContents"/>
              <w:spacing w:before="0" w:after="1"/>
              <w:ind w:left="0" w:right="0" w:hanging="0"/>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Investment in unconsolidated joint ventures</w:t>
            </w:r>
          </w:p>
        </w:tc>
      </w:tr>
    </w:tbl>
    <w:tbl>
      <w:tblPr>
        <w:tblW w:w="3977" w:type="dxa"/>
        <w:jc w:val="left"/>
        <w:tblInd w:w="0" w:type="dxa"/>
        <w:tblCellMar>
          <w:top w:w="0" w:type="dxa"/>
          <w:left w:w="0" w:type="dxa"/>
          <w:bottom w:w="0" w:type="dxa"/>
          <w:right w:w="0" w:type="dxa"/>
        </w:tblCellMar>
      </w:tblPr>
      <w:tblGrid>
        <w:gridCol w:w="316"/>
        <w:gridCol w:w="366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366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 xml:space="preserve">See Note 9. </w:t>
            </w:r>
            <w:r>
              <w:rPr>
                <w:rFonts w:ascii="Times New Roman;Times;serif" w:hAnsi="Times New Roman;Times;serif"/>
                <w:b w:val="false"/>
                <w:i/>
                <w:sz w:val="18"/>
              </w:rPr>
              <w:t>Debt, Net</w:t>
            </w:r>
            <w:r>
              <w:rPr>
                <w:caps w:val="false"/>
                <w:smallCaps w:val="false"/>
              </w:rPr>
              <w:t xml:space="preserve"> </w:t>
            </w:r>
            <w:r>
              <w:rPr>
                <w:rFonts w:ascii="Times New Roman;Times;serif" w:hAnsi="Times New Roman;Times;serif"/>
                <w:b w:val="false"/>
                <w:i w:val="false"/>
                <w:caps w:val="false"/>
                <w:smallCaps w:val="false"/>
                <w:sz w:val="18"/>
              </w:rPr>
              <w:t xml:space="preserve">for additional information.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923"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 xml:space="preserve">Interest rate swap was entered into by the Pier Park TPS JV, which is unconsolidated and accounted for using the equity method. The derivative asset has been recorded at the Company’s proportionate share of its estimated fair value. The Company’s proportionate share of the gain or loss on the derivative instrument is reported as a component of other comprehensive (loss) income and reclassified into equity in income (loss) from unconsolidated joint ventures in the period during which the hedged transaction affects earnings.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 xml:space="preserve">and Note 18. </w:t>
            </w:r>
            <w:r>
              <w:rPr>
                <w:rFonts w:ascii="Times New Roman;Times;serif" w:hAnsi="Times New Roman;Times;serif"/>
                <w:b w:val="false"/>
                <w:i/>
                <w:sz w:val="18"/>
              </w:rPr>
              <w:t>Commitments and Contingencies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317" w:name="Tc_e7WT87yRhU2iwT8u4z5dxw_6_6"/>
      <w:bookmarkStart w:id="1318" w:name="Tc_4kEOQGz-LUG072OM9xDH_g_6_3"/>
      <w:bookmarkStart w:id="1319" w:name="Tc__rf1nu2yJ061QAFxLttGjw_6_0"/>
      <w:bookmarkStart w:id="1320" w:name="Tc_P2pWMGteqEiJN_8df9d8ZQ_5_6"/>
      <w:bookmarkStart w:id="1321" w:name="Tc_7kdrAHoalkaH7qXPLv1QaQ_5_3"/>
      <w:bookmarkStart w:id="1322" w:name="Tc_T295YNzKzk6TOfVwIa9GgQ_5_0"/>
      <w:bookmarkStart w:id="1323" w:name="Tc_fJzzl7_Mp0GqpDZA9Mo5bg_4_6"/>
      <w:bookmarkStart w:id="1324" w:name="Tc_vjKu2hW5rkCm_B3wHqr55Q_4_3"/>
      <w:bookmarkStart w:id="1325" w:name="Tc_4aijHXVYyE6qOe3g8LGqAQ_4_0"/>
      <w:bookmarkStart w:id="1326" w:name="Tc_toY3aq1CVEqT66iu4JBF-w_2_6"/>
      <w:bookmarkStart w:id="1327" w:name="Tc_Z_Vy-vGllk2hr59AZWTZfQ_2_3"/>
      <w:bookmarkStart w:id="1328" w:name="Tc_HJU9tgo_X0CWyOmT_7ZhVQ_1_3"/>
      <w:bookmarkEnd w:id="1317"/>
      <w:bookmarkEnd w:id="1318"/>
      <w:bookmarkEnd w:id="1319"/>
      <w:bookmarkEnd w:id="1320"/>
      <w:bookmarkEnd w:id="1321"/>
      <w:bookmarkEnd w:id="1322"/>
      <w:bookmarkEnd w:id="1323"/>
      <w:bookmarkEnd w:id="1324"/>
      <w:bookmarkEnd w:id="1325"/>
      <w:bookmarkEnd w:id="1326"/>
      <w:bookmarkEnd w:id="1327"/>
      <w:bookmarkEnd w:id="1328"/>
      <w:r>
        <w:rPr>
          <w:rFonts w:ascii="Times New Roman;Times;serif" w:hAnsi="Times New Roman;Times;serif"/>
          <w:sz w:val="20"/>
        </w:rPr>
        <w:t>The following is a summary of the effect of derivative instruments on the Company’s condensed consolidated statements of income and condensed consolidated statements of comprehensive income: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587"/>
        <w:gridCol w:w="109"/>
        <w:gridCol w:w="109"/>
        <w:gridCol w:w="300"/>
        <w:gridCol w:w="764"/>
        <w:gridCol w:w="154"/>
        <w:gridCol w:w="300"/>
        <w:gridCol w:w="882"/>
      </w:tblGrid>
      <w:tr>
        <w:trPr/>
        <w:tc>
          <w:tcPr>
            <w:tcW w:w="75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817745" cy="175260"/>
                      <wp:effectExtent l="0" t="0" r="0" b="0"/>
                      <wp:wrapNone/>
                      <wp:docPr id="254" name="Frame254"/>
                      <a:graphic xmlns:a="http://schemas.openxmlformats.org/drawingml/2006/main">
                        <a:graphicData uri="http://schemas.microsoft.com/office/word/2010/wordprocessingShape">
                          <wps:wsp>
                            <wps:cNvSpPr txBox="1"/>
                            <wps:spPr>
                              <a:xfrm>
                                <a:off x="0" y="0"/>
                                <a:ext cx="4817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90500" cy="175260"/>
                      <wp:effectExtent l="0" t="0" r="0" b="0"/>
                      <wp:wrapNone/>
                      <wp:docPr id="257" name="Frame257"/>
                      <a:graphic xmlns:a="http://schemas.openxmlformats.org/drawingml/2006/main">
                        <a:graphicData uri="http://schemas.microsoft.com/office/word/2010/wordprocessingShape">
                          <wps:wsp>
                            <wps:cNvSpPr txBox="1"/>
                            <wps:spPr>
                              <a:xfrm>
                                <a:off x="0" y="0"/>
                                <a:ext cx="190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85140" cy="175260"/>
                      <wp:effectExtent l="0" t="0" r="0" b="0"/>
                      <wp:wrapNone/>
                      <wp:docPr id="258" name="Frame258"/>
                      <a:graphic xmlns:a="http://schemas.openxmlformats.org/drawingml/2006/main">
                        <a:graphicData uri="http://schemas.microsoft.com/office/word/2010/wordprocessingShape">
                          <wps:wsp>
                            <wps:cNvSpPr txBox="1"/>
                            <wps:spPr>
                              <a:xfrm>
                                <a:off x="0" y="0"/>
                                <a:ext cx="485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97790" cy="175260"/>
                      <wp:effectExtent l="0" t="0" r="0" b="0"/>
                      <wp:wrapNone/>
                      <wp:docPr id="259" name="Frame25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90500" cy="175260"/>
                      <wp:effectExtent l="0" t="0" r="0" b="0"/>
                      <wp:wrapNone/>
                      <wp:docPr id="260" name="Frame260"/>
                      <a:graphic xmlns:a="http://schemas.openxmlformats.org/drawingml/2006/main">
                        <a:graphicData uri="http://schemas.microsoft.com/office/word/2010/wordprocessingShape">
                          <wps:wsp>
                            <wps:cNvSpPr txBox="1"/>
                            <wps:spPr>
                              <a:xfrm>
                                <a:off x="0" y="0"/>
                                <a:ext cx="190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60070" cy="175260"/>
                      <wp:effectExtent l="0" t="0" r="0" b="0"/>
                      <wp:wrapNone/>
                      <wp:docPr id="261" name="Frame261"/>
                      <a:graphic xmlns:a="http://schemas.openxmlformats.org/drawingml/2006/main">
                        <a:graphicData uri="http://schemas.microsoft.com/office/word/2010/wordprocessingShape">
                          <wps:wsp>
                            <wps:cNvSpPr txBox="1"/>
                            <wps:spPr>
                              <a:xfrm>
                                <a:off x="0" y="0"/>
                                <a:ext cx="560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8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58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shd w:fill="auto" w:val="clear"/>
            <w:vAlign w:val="center"/>
          </w:tcPr>
          <w:p>
            <w:pPr>
              <w:pStyle w:val="TableContents"/>
              <w:spacing w:before="0" w:after="0"/>
              <w:ind w:left="0" w:right="0" w:hanging="0"/>
              <w:rPr/>
            </w:pPr>
            <w:r>
              <w:rPr/>
              <w:t>​</w:t>
            </w:r>
          </w:p>
        </w:tc>
        <w:tc>
          <w:tcPr>
            <w:tcW w:w="11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58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00" w:type="dxa"/>
            <w:tcBorders/>
            <w:shd w:fill="auto" w:val="clear"/>
            <w:vAlign w:val="center"/>
          </w:tcPr>
          <w:p>
            <w:pPr>
              <w:pStyle w:val="TableContents"/>
              <w:spacing w:before="0" w:after="0"/>
              <w:ind w:left="0" w:right="0" w:hanging="0"/>
              <w:rPr/>
            </w:pPr>
            <w:r>
              <w:rPr/>
              <w:t>​</w:t>
            </w:r>
          </w:p>
        </w:tc>
        <w:tc>
          <w:tcPr>
            <w:tcW w:w="764"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c>
          <w:tcPr>
            <w:tcW w:w="300"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center"/>
              <w:rPr/>
            </w:pPr>
            <w:r>
              <w:rPr/>
              <w:t>​</w:t>
            </w:r>
          </w:p>
        </w:tc>
      </w:tr>
      <w:tr>
        <w:trPr/>
        <w:tc>
          <w:tcPr>
            <w:tcW w:w="75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 of net (loss) gain recognized in other comprehensive (loss) income on derivatives</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154" w:type="dxa"/>
            <w:tcBorders/>
            <w:shd w:fill="CCEEFF" w:val="clear"/>
            <w:vAlign w:val="center"/>
          </w:tcPr>
          <w:p>
            <w:pPr>
              <w:pStyle w:val="TableContents"/>
              <w:spacing w:before="0" w:after="0"/>
              <w:ind w:left="0" w:right="0" w:hanging="0"/>
              <w:jc w:val="right"/>
              <w:rPr/>
            </w:pPr>
            <w:r>
              <w:rPr/>
              <w:t>​</w:t>
            </w:r>
          </w:p>
        </w:tc>
        <w:tc>
          <w:tcPr>
            <w:tcW w:w="3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2,621</w:t>
            </w:r>
          </w:p>
        </w:tc>
      </w:tr>
      <w:tr>
        <w:trPr/>
        <w:tc>
          <w:tcPr>
            <w:tcW w:w="75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 of net (gain) loss reclassified into interest expense</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0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154" w:type="dxa"/>
            <w:tcBorders/>
            <w:shd w:fill="auto" w:val="clear"/>
            <w:vAlign w:val="center"/>
          </w:tcPr>
          <w:p>
            <w:pPr>
              <w:pStyle w:val="TableContents"/>
              <w:spacing w:before="0" w:after="0"/>
              <w:ind w:left="0" w:right="0" w:hanging="0"/>
              <w:jc w:val="right"/>
              <w:rPr/>
            </w:pPr>
            <w:r>
              <w:rPr/>
              <w:t>​</w:t>
            </w:r>
          </w:p>
        </w:tc>
        <w:tc>
          <w:tcPr>
            <w:tcW w:w="30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75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 of net (gain) loss reclassified into equity in income (loss) from unconsolidated joint ventures</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54" w:type="dxa"/>
            <w:tcBorders/>
            <w:shd w:fill="CCEEFF" w:val="clear"/>
            <w:vAlign w:val="center"/>
          </w:tcPr>
          <w:p>
            <w:pPr>
              <w:pStyle w:val="TableContents"/>
              <w:spacing w:before="0" w:after="0"/>
              <w:ind w:left="0" w:right="0" w:hanging="0"/>
              <w:jc w:val="right"/>
              <w:rPr/>
            </w:pPr>
            <w:r>
              <w:rPr/>
              <w:t>​</w:t>
            </w:r>
          </w:p>
        </w:tc>
        <w:tc>
          <w:tcPr>
            <w:tcW w:w="3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46</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of March 31, 2023, based on current value, the Company expects to reclassify $1.6 million of derivative instruments from accumulated other comprehensive income to earnings during the next twelve months. See Note 13. </w:t>
      </w:r>
      <w:r>
        <w:rPr>
          <w:rFonts w:ascii="Times New Roman;Times;serif" w:hAnsi="Times New Roman;Times;serif"/>
          <w:i/>
          <w:sz w:val="20"/>
        </w:rPr>
        <w:t>Accumulated Other Comprehensive Income</w:t>
      </w:r>
      <w:r>
        <w:rPr>
          <w:rFonts w:ascii="Times New Roman;Times;serif" w:hAnsi="Times New Roman;Times;serif"/>
          <w:sz w:val="20"/>
        </w:rPr>
        <w:t xml:space="preserve"> for additional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 in Unconsolidated Joint Ventures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evaluates its investment in unconsolidated JVs for impairment during each reporting period. A series of operating losses of an investee or other factors may indicate that a decrease in the value of the Company’s investment in the unconsolidated JV has occurred. The amount of impairment recognized is the excess of the investment’s carrying value over its estimated fair value. The fair value of the Company’s investment in unconsolidated JVs is determined primarily using a discounted cash flow model to value the underlying net assets or cash flows of the respective JV. The fair value of investment in unconsolidated JVs required to be assessed for impairment is determined using Level 3 inputs in the fair value hierarchy. No impairment for unconsolidated JVs was recorded during the three months ended March 31, 2023 and 2022.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20"/>
        </w:rPr>
        <w:t>The Company uses the following methods and assumptions in estimating fair value for financial instruments: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investments held by SPEs - time deposit is based on the present value of future cash flows at the current market rate.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investments held by SPEs - U.S. Treasury Bills are measured based on quoted market prices in an active market.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NewRomanPSMT" w:hAnsi="TimesNewRomanPSMT"/>
                <w:b w:val="false"/>
                <w:i w:val="false"/>
                <w:caps w:val="false"/>
                <w:smallCaps w:val="false"/>
                <w:sz w:val="20"/>
              </w:rPr>
              <w:t>The fair value of debt is based on discounted future expected cash flows based on current market rates for</w:t>
            </w:r>
            <w:r>
              <w:rPr>
                <w:caps w:val="false"/>
                <w:smallCaps w:val="false"/>
              </w:rPr>
              <w:t xml:space="preserve"> </w:t>
            </w:r>
            <w:r>
              <w:rPr>
                <w:rFonts w:ascii="TimesNewRomanPSMT" w:hAnsi="TimesNewRomanPSMT"/>
                <w:b w:val="false"/>
                <w:i w:val="false"/>
                <w:caps w:val="false"/>
                <w:smallCaps w:val="false"/>
                <w:sz w:val="20"/>
              </w:rPr>
              <w:t>financial instruments with similar risks, terms and maturities.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senior notes held by SPE is based on the present value of future cash flows at the current market rate.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329" w:name="Tc_iO1mLbuwCE-OdflpNDlKDA_13_13"/>
      <w:bookmarkStart w:id="1330" w:name="Tc_6Ulq5Hm_uESDylOxQ5H2hQ_13_10"/>
      <w:bookmarkStart w:id="1331" w:name="Tc_wI4YsJdmrEyI3FC8jVxCqA_13_5"/>
      <w:bookmarkStart w:id="1332" w:name="Tc_CKzWp3p_u0Cn-NG3cRYZEA_13_2"/>
      <w:bookmarkStart w:id="1333" w:name="Tc_ASX5gQBUQUKA5r8vfY_QyQ_13_0"/>
      <w:bookmarkStart w:id="1334" w:name="Tc_ghebgGoCKk-k9xB0p3mUEQ_12_16"/>
      <w:bookmarkStart w:id="1335" w:name="Tc_lCreq8zgPk2fb4LPlUyyMA_12_8"/>
      <w:bookmarkStart w:id="1336" w:name="Tc_TN5o5I8JAkKvjUjy3RSEFA_12_0"/>
      <w:bookmarkStart w:id="1337" w:name="Tc_wCH5xvlFCkuq_pZ8JredFg_11_16"/>
      <w:bookmarkStart w:id="1338" w:name="Tc_d7Q3LKTKY06AgStjlMUgNA_11_13"/>
      <w:bookmarkStart w:id="1339" w:name="Tc_gCSk2oltVUWzyRLxMOLxpQ_11_10"/>
      <w:bookmarkStart w:id="1340" w:name="Tc_myvD-CjcEUS94R_E9vnR9g_11_8"/>
      <w:bookmarkStart w:id="1341" w:name="Tc_kNbImgLOdE-YLn1Io_vd7Q_11_5"/>
      <w:bookmarkStart w:id="1342" w:name="Tc_aMbdxLZTskm5bP4alu8jjw_11_2"/>
      <w:bookmarkStart w:id="1343" w:name="Tc_wX2Hz58iFkO1xxXCJkMAwQ_11_0"/>
      <w:bookmarkStart w:id="1344" w:name="Tc_l69rDt2950OQ695rKY76eQ_10_0"/>
      <w:bookmarkStart w:id="1345" w:name="Tc_u__bWxilvEiMJckIUJLrxQ_8_16"/>
      <w:bookmarkStart w:id="1346" w:name="Tc_5LIcR5YhT0KqZ2f6SO4x1A_8_13"/>
      <w:bookmarkStart w:id="1347" w:name="Tc_Uewy7W1yxkywBs4-YCdx6Q_8_10"/>
      <w:bookmarkStart w:id="1348" w:name="Tc_ArgJwtgE7kqOAYFEoayO0Q_8_8"/>
      <w:bookmarkStart w:id="1349" w:name="Tc_qUnbdrtUtUC7dBbmRuqWbA_8_5"/>
      <w:bookmarkStart w:id="1350" w:name="Tc_inB8LvUSuUWH0dpFxjaQxA_8_2"/>
      <w:bookmarkStart w:id="1351" w:name="Tc_x-aHlozg6EObrDaiz_KBJA_8_0"/>
      <w:bookmarkStart w:id="1352" w:name="Tc_1Fm0jYUUTkCaXygP68WrAg_6_16"/>
      <w:bookmarkStart w:id="1353" w:name="Tc_425kYKb8xkWJofgiyE790A_6_13"/>
      <w:bookmarkStart w:id="1354" w:name="Tc_Np0he97_KUqbT0kQabrPlA_6_10"/>
      <w:bookmarkStart w:id="1355" w:name="Tc_nvRxWugJp0K0jXx51OWZvQ_6_8"/>
      <w:bookmarkStart w:id="1356" w:name="Tc_ynFu3MwmR0SHiyq-fVy40A_6_5"/>
      <w:bookmarkStart w:id="1357" w:name="Tc_CJaEj_FizEaFbo-Apxm70w_6_2"/>
      <w:bookmarkStart w:id="1358" w:name="Tc_I54XgfoXjkaRDSmRONyLww_6_0"/>
      <w:bookmarkStart w:id="1359" w:name="Tc_nVJtn-EL4EKlXiuw1lhLQQ_5_16"/>
      <w:bookmarkStart w:id="1360" w:name="Tc_LhxVuhZpY0u-WkPnS0VPXA_5_13"/>
      <w:bookmarkStart w:id="1361" w:name="Tc_johFxN4NxkydRefsF9olag_5_10"/>
      <w:bookmarkStart w:id="1362" w:name="Tc_uCq6TCk_WUSMEfwLu1KIcQ_5_8"/>
      <w:bookmarkStart w:id="1363" w:name="Tc_78pfq2Fv4UCrAzrXDJ5JWw_5_5"/>
      <w:bookmarkStart w:id="1364" w:name="Tc_DE_cR1eff0-_6AyMFO5BNw_5_2"/>
      <w:bookmarkStart w:id="1365" w:name="Tc_L1LN3M6SJEi5hJr_OwNAzw_5_0"/>
      <w:bookmarkStart w:id="1366" w:name="Tc_tY6WTNS7dEKJSP_lhfq3xA_4_0"/>
      <w:bookmarkStart w:id="1367" w:name="Tc_Wt6R1HUEJ0GinZUnGzNIjw_3_16"/>
      <w:bookmarkStart w:id="1368" w:name="Tc_BOGkrIVKnEmyw8wp3XGVWA_3_13"/>
      <w:bookmarkStart w:id="1369" w:name="Tc_F-nZN_d2006Z96nxKdK-LA_3_10"/>
      <w:bookmarkStart w:id="1370" w:name="Tc_4fJO5Z6IaEecicvymPidiQ_3_8"/>
      <w:bookmarkStart w:id="1371" w:name="Tc_pR8wEn_2oEuh0hV2TrhQ6g_3_5"/>
      <w:bookmarkStart w:id="1372" w:name="Tc_vu65RTJhE0Cuzk8mmXI6HA_3_2"/>
      <w:bookmarkStart w:id="1373" w:name="Tc_NB1v7k8YikGljWE3fMhI4Q_2_13"/>
      <w:bookmarkStart w:id="1374" w:name="Tc_TbvBFh7xdkqNlYPKZhI-1g_2_10"/>
      <w:bookmarkStart w:id="1375" w:name="Tc_YV7DmBjYd0C74YArCJ5QYA_2_5"/>
      <w:bookmarkStart w:id="1376" w:name="Tc_xYKnaL46gkCKS0XmfmuMuA_2_2"/>
      <w:bookmarkStart w:id="1377" w:name="Tc_pHIE0MP9hEO2Lm6riJrk6Q_1_10"/>
      <w:bookmarkStart w:id="1378" w:name="Tc_IxKtcy0P5E-Zp6woAzAIqQ_1_2"/>
      <w:bookmarkStart w:id="1379" w:name="_d27f03f2_d71a_430a_8f72_47797d3c0ba7"/>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r>
        <w:rPr>
          <w:rFonts w:ascii="Times New Roman;Times;serif" w:hAnsi="Times New Roman;Times;serif"/>
          <w:sz w:val="20"/>
        </w:rPr>
        <w:t>The carrying amount and estimated fair value, measured on a nonrecurring basis, of the Company’s financial instruments were as follows:</w:t>
      </w:r>
    </w:p>
    <w:p>
      <w:pPr>
        <w:pStyle w:val="TextBody"/>
        <w:spacing w:before="0" w:after="0"/>
        <w:ind w:left="0" w:right="0" w:hanging="0"/>
        <w:rPr/>
      </w:pPr>
      <w:r>
        <w:rPr/>
        <w:t>​</w:t>
      </w:r>
    </w:p>
    <w:tbl>
      <w:tblPr>
        <w:tblW w:w="9227" w:type="dxa"/>
        <w:jc w:val="left"/>
        <w:tblInd w:w="0" w:type="dxa"/>
        <w:tblCellMar>
          <w:top w:w="0" w:type="dxa"/>
          <w:left w:w="0" w:type="dxa"/>
          <w:bottom w:w="0" w:type="dxa"/>
          <w:right w:w="0" w:type="dxa"/>
        </w:tblCellMar>
      </w:tblPr>
      <w:tblGrid>
        <w:gridCol w:w="2266"/>
        <w:gridCol w:w="326"/>
        <w:gridCol w:w="211"/>
        <w:gridCol w:w="781"/>
        <w:gridCol w:w="326"/>
        <w:gridCol w:w="211"/>
        <w:gridCol w:w="781"/>
        <w:gridCol w:w="326"/>
        <w:gridCol w:w="496"/>
        <w:gridCol w:w="326"/>
        <w:gridCol w:w="211"/>
        <w:gridCol w:w="781"/>
        <w:gridCol w:w="326"/>
        <w:gridCol w:w="211"/>
        <w:gridCol w:w="781"/>
        <w:gridCol w:w="326"/>
        <w:gridCol w:w="541"/>
      </w:tblGrid>
      <w:tr>
        <w:trPr/>
        <w:tc>
          <w:tcPr>
            <w:tcW w:w="2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38910" cy="175260"/>
                      <wp:effectExtent l="0" t="0" r="0" b="0"/>
                      <wp:wrapNone/>
                      <wp:docPr id="262" name="Frame262"/>
                      <a:graphic xmlns:a="http://schemas.openxmlformats.org/drawingml/2006/main">
                        <a:graphicData uri="http://schemas.microsoft.com/office/word/2010/wordprocessingShape">
                          <wps:wsp>
                            <wps:cNvSpPr txBox="1"/>
                            <wps:spPr>
                              <a:xfrm>
                                <a:off x="0" y="0"/>
                                <a:ext cx="143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95935" cy="175260"/>
                      <wp:effectExtent l="0" t="0" r="0" b="0"/>
                      <wp:wrapNone/>
                      <wp:docPr id="265" name="Frame26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95935" cy="175260"/>
                      <wp:effectExtent l="0" t="0" r="0" b="0"/>
                      <wp:wrapNone/>
                      <wp:docPr id="268" name="Frame26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14960" cy="175260"/>
                      <wp:effectExtent l="0" t="0" r="0" b="0"/>
                      <wp:wrapNone/>
                      <wp:docPr id="270" name="Frame270"/>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5935" cy="175260"/>
                      <wp:effectExtent l="0" t="0" r="0" b="0"/>
                      <wp:wrapNone/>
                      <wp:docPr id="273" name="Frame27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95935" cy="175260"/>
                      <wp:effectExtent l="0" t="0" r="0" b="0"/>
                      <wp:wrapNone/>
                      <wp:docPr id="276" name="Frame27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43535" cy="175260"/>
                      <wp:effectExtent l="0" t="0" r="0" b="0"/>
                      <wp:wrapNone/>
                      <wp:docPr id="278" name="Frame278"/>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3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w:t>
            </w:r>
          </w:p>
        </w:tc>
        <w:tc>
          <w:tcPr>
            <w:tcW w:w="317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pPr>
            <w:r>
              <w:rPr/>
              <w:t>​</w: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0"/>
              <w:ind w:left="0" w:right="0" w:hanging="0"/>
              <w:rPr/>
            </w:pPr>
            <w:r>
              <w:rPr/>
              <w:t>​</w:t>
            </w:r>
          </w:p>
        </w:tc>
        <w:tc>
          <w:tcPr>
            <w:tcW w:w="4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0"/>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r>
      <w:tr>
        <w:trPr/>
        <w:tc>
          <w:tcPr>
            <w:tcW w:w="2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Investments held by SPEs: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Time deposit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Treasury Bills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4,041</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4,361</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pPr>
            <w:r>
              <w:rPr/>
              <w:t>  </w:t>
            </w:r>
          </w:p>
        </w:tc>
      </w:tr>
      <w:tr>
        <w:trPr/>
        <w:tc>
          <w:tcPr>
            <w:tcW w:w="2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Senior Notes held by SPE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183,011</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179,564</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r>
      <w:tr>
        <w:trPr/>
        <w:tc>
          <w:tcPr>
            <w:tcW w:w="2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Debt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center"/>
              <w:rPr/>
            </w:pPr>
            <w:r>
              <w:rPr/>
              <w:t>​</w:t>
            </w:r>
          </w:p>
        </w:tc>
      </w:tr>
      <w:tr>
        <w:trPr/>
        <w:tc>
          <w:tcPr>
            <w:tcW w:w="2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Fixed-rate debt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256,138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236,217</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194,525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172,241</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2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Variable-rate debt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170,639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170,639</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196,886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196,886</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2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debt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426,777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406,856</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391,411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369,127</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Investments and Senior Notes Held by Special Purpose Entities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connection with a real estate sale in 2014, the Company received consideration including a $200.0 million fifteen-year installment note (the “Timber Note”) issued by Panama City Timber Finance Company, LLC. The Company contributed the Timber Note and assigned its rights as a beneficiary under a letter of credit to Northwest Florida Timber Finance, LLC. Northwest Florida Timber Finance, LLC monetized the Timber Note by issuing $180.0 million aggregate principal amount of its 4.8% Senior Secured Notes due in 2029 (the “Senior Notes”) at an issue price of 98.5% of face value to third party investors. The investments held by Panama City Timber Finance Company, LLC as of March 31, 2023, consist of a $200.0 million time deposit that, subsequent to April 2, 2014, pays interest at 4.0% and matures in March 2029, U.S. Treasuries of $4.1 million and cash of $0.4 million. The Senior Notes held by Northwest Florida Timber Finance, LLC as of March 31, 2023, consist of $177.9 million, net of the $2.1 million discount and debt issuance costs. Panama City Timber Finance Company, LLC and Northwest Florida Timber Finance, LLC are VIEs, which the Company consolidates as the primary beneficiary of each entity.</w:t>
      </w:r>
    </w:p>
    <w:p>
      <w:pPr>
        <w:pStyle w:val="TextBody"/>
        <w:spacing w:before="0" w:after="240"/>
        <w:ind w:left="0" w:right="0" w:hanging="0"/>
        <w:rPr>
          <w:rFonts w:ascii="Times New Roman;Times;serif" w:hAnsi="Times New Roman;Times;serif"/>
          <w:b/>
          <w:sz w:val="20"/>
        </w:rPr>
      </w:pPr>
      <w:bookmarkStart w:id="1380" w:name="Tc_9sXXAIs9E0OxKbHXWfR86A_6_5"/>
      <w:bookmarkStart w:id="1381" w:name="Tc_bfdpoazkDECH2C0mZc2MMg_6_2"/>
      <w:bookmarkStart w:id="1382" w:name="Tc_MggQ2CGrQUaH0u3J0OaAnA_6_0"/>
      <w:bookmarkStart w:id="1383" w:name="Tc_7_p_NruMLkS-wKCi9szwmw_5_0"/>
      <w:bookmarkStart w:id="1384" w:name="Tc_sIlKRxvMu0GOvzIw0_ovSg_4_5"/>
      <w:bookmarkStart w:id="1385" w:name="Tc_NK8anbKDAU2XiDCNfJe4DA_4_2"/>
      <w:bookmarkStart w:id="1386" w:name="Tc_8azn_QhhpEOTmnpvSb9S8g_4_0"/>
      <w:bookmarkStart w:id="1387" w:name="Tc_olGN7aWask6_-oLrKMepQg_3_0"/>
      <w:bookmarkStart w:id="1388" w:name="Tc_byntQdd14EOFHEqtzy3vRQ_2_5"/>
      <w:bookmarkStart w:id="1389" w:name="Tc_oBXvi9gvQU-Qwdmgb9iBvg_2_2"/>
      <w:bookmarkStart w:id="1390" w:name="Tc_1m7O3qYo-ES_290mBHHTzg_1_2"/>
      <w:bookmarkEnd w:id="1380"/>
      <w:bookmarkEnd w:id="1381"/>
      <w:bookmarkEnd w:id="1382"/>
      <w:bookmarkEnd w:id="1383"/>
      <w:bookmarkEnd w:id="1384"/>
      <w:bookmarkEnd w:id="1385"/>
      <w:bookmarkEnd w:id="1386"/>
      <w:bookmarkEnd w:id="1387"/>
      <w:bookmarkEnd w:id="1388"/>
      <w:bookmarkEnd w:id="1389"/>
      <w:bookmarkEnd w:id="1390"/>
      <w:r>
        <w:rPr>
          <w:rFonts w:ascii="Times New Roman;Times;serif" w:hAnsi="Times New Roman;Times;serif"/>
          <w:b/>
          <w:sz w:val="20"/>
        </w:rPr>
        <w:t>7. Leases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Company as Lessor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Leasing revenue consists of rental revenue from multi-family, senior living, self-storage, retail, office and commercial property, marinas, cell towers and other assets, which is recognized as earned, using the straight-line method over the life of each lease. The Company’s leases have remaining lease terms up to the year 2072, some of which include options to terminate or extend.</w:t>
      </w:r>
    </w:p>
    <w:p>
      <w:pPr>
        <w:pStyle w:val="TextBody"/>
        <w:spacing w:before="240" w:after="240"/>
        <w:ind w:left="0" w:right="0" w:firstLine="360"/>
        <w:rPr>
          <w:rFonts w:ascii="Times New Roman;Times;serif" w:hAnsi="Times New Roman;Times;serif"/>
          <w:sz w:val="20"/>
        </w:rPr>
      </w:pPr>
      <w:r>
        <w:rPr>
          <w:rFonts w:ascii="Times New Roman;Times;serif" w:hAnsi="Times New Roman;Times;serif"/>
          <w:sz w:val="20"/>
        </w:rPr>
        <w:t>The components of leasing revenue are as follows:</w:t>
      </w:r>
    </w:p>
    <w:p>
      <w:pPr>
        <w:pStyle w:val="TextBody"/>
        <w:spacing w:before="0" w:after="0"/>
        <w:ind w:left="0" w:right="0" w:hanging="0"/>
        <w:rPr/>
      </w:pPr>
      <w:r>
        <w:rPr/>
        <w:t>​</w:t>
      </w:r>
    </w:p>
    <w:tbl>
      <w:tblPr>
        <w:tblW w:w="4685" w:type="dxa"/>
        <w:jc w:val="left"/>
        <w:tblInd w:w="0" w:type="dxa"/>
        <w:tblCellMar>
          <w:top w:w="0" w:type="dxa"/>
          <w:left w:w="0" w:type="dxa"/>
          <w:bottom w:w="0" w:type="dxa"/>
          <w:right w:w="0" w:type="dxa"/>
        </w:tblCellMar>
      </w:tblPr>
      <w:tblGrid>
        <w:gridCol w:w="2086"/>
        <w:gridCol w:w="109"/>
        <w:gridCol w:w="279"/>
        <w:gridCol w:w="894"/>
        <w:gridCol w:w="144"/>
        <w:gridCol w:w="279"/>
        <w:gridCol w:w="894"/>
      </w:tblGrid>
      <w:tr>
        <w:trPr/>
        <w:tc>
          <w:tcPr>
            <w:tcW w:w="2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24610" cy="175260"/>
                      <wp:effectExtent l="0" t="0" r="0" b="0"/>
                      <wp:wrapNone/>
                      <wp:docPr id="279" name="Frame279"/>
                      <a:graphic xmlns:a="http://schemas.openxmlformats.org/drawingml/2006/main">
                        <a:graphicData uri="http://schemas.microsoft.com/office/word/2010/wordprocessingShape">
                          <wps:wsp>
                            <wps:cNvSpPr txBox="1"/>
                            <wps:spPr>
                              <a:xfrm>
                                <a:off x="0" y="0"/>
                                <a:ext cx="1324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77165" cy="175260"/>
                      <wp:effectExtent l="0" t="0" r="0" b="0"/>
                      <wp:wrapNone/>
                      <wp:docPr id="281" name="Frame281"/>
                      <a:graphic xmlns:a="http://schemas.openxmlformats.org/drawingml/2006/main">
                        <a:graphicData uri="http://schemas.microsoft.com/office/word/2010/wordprocessingShape">
                          <wps:wsp>
                            <wps:cNvSpPr txBox="1"/>
                            <wps:spPr>
                              <a:xfrm>
                                <a:off x="0" y="0"/>
                                <a:ext cx="177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67690" cy="175260"/>
                      <wp:effectExtent l="0" t="0" r="0" b="0"/>
                      <wp:wrapNone/>
                      <wp:docPr id="282" name="Frame282"/>
                      <a:graphic xmlns:a="http://schemas.openxmlformats.org/drawingml/2006/main">
                        <a:graphicData uri="http://schemas.microsoft.com/office/word/2010/wordprocessingShape">
                          <wps:wsp>
                            <wps:cNvSpPr txBox="1"/>
                            <wps:spPr>
                              <a:xfrm>
                                <a:off x="0" y="0"/>
                                <a:ext cx="5676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1440" cy="175260"/>
                      <wp:effectExtent l="0" t="0" r="0" b="0"/>
                      <wp:wrapNone/>
                      <wp:docPr id="283" name="Frame283"/>
                      <a:graphic xmlns:a="http://schemas.openxmlformats.org/drawingml/2006/main">
                        <a:graphicData uri="http://schemas.microsoft.com/office/word/2010/wordprocessingShape">
                          <wps:wsp>
                            <wps:cNvSpPr txBox="1"/>
                            <wps:spPr>
                              <a:xfrm>
                                <a:off x="0" y="0"/>
                                <a:ext cx="91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77165" cy="175260"/>
                      <wp:effectExtent l="0" t="0" r="0" b="0"/>
                      <wp:wrapNone/>
                      <wp:docPr id="284" name="Frame284"/>
                      <a:graphic xmlns:a="http://schemas.openxmlformats.org/drawingml/2006/main">
                        <a:graphicData uri="http://schemas.microsoft.com/office/word/2010/wordprocessingShape">
                          <wps:wsp>
                            <wps:cNvSpPr txBox="1"/>
                            <wps:spPr>
                              <a:xfrm>
                                <a:off x="0" y="0"/>
                                <a:ext cx="177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67690" cy="175260"/>
                      <wp:effectExtent l="0" t="0" r="0" b="0"/>
                      <wp:wrapNone/>
                      <wp:docPr id="285" name="Frame285"/>
                      <a:graphic xmlns:a="http://schemas.openxmlformats.org/drawingml/2006/main">
                        <a:graphicData uri="http://schemas.microsoft.com/office/word/2010/wordprocessingShape">
                          <wps:wsp>
                            <wps:cNvSpPr txBox="1"/>
                            <wps:spPr>
                              <a:xfrm>
                                <a:off x="0" y="0"/>
                                <a:ext cx="5676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9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0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7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4" w:type="dxa"/>
            <w:tcBorders/>
            <w:shd w:fill="auto" w:val="clear"/>
            <w:vAlign w:val="center"/>
          </w:tcPr>
          <w:p>
            <w:pPr>
              <w:pStyle w:val="TableContents"/>
              <w:spacing w:before="0" w:after="1"/>
              <w:ind w:left="0" w:right="0" w:hanging="0"/>
              <w:rPr/>
            </w:pPr>
            <w:r>
              <w:rPr/>
              <w:t>​</w:t>
            </w:r>
          </w:p>
        </w:tc>
        <w:tc>
          <w:tcPr>
            <w:tcW w:w="117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8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Leasing revenue</w:t>
            </w:r>
          </w:p>
        </w:tc>
        <w:tc>
          <w:tcPr>
            <w:tcW w:w="109"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pPr>
            <w:r>
              <w:rPr/>
              <w:t>​</w:t>
            </w:r>
          </w:p>
        </w:tc>
        <w:tc>
          <w:tcPr>
            <w:tcW w:w="894" w:type="dxa"/>
            <w:tcBorders/>
            <w:shd w:fill="CCEEFF" w:val="clear"/>
            <w:vAlign w:val="center"/>
          </w:tcPr>
          <w:p>
            <w:pPr>
              <w:pStyle w:val="TableContents"/>
              <w:spacing w:before="0" w:after="1"/>
              <w:ind w:left="0" w:right="0" w:hanging="0"/>
              <w:jc w:val="center"/>
              <w:rPr/>
            </w:pPr>
            <w:r>
              <w:rPr/>
              <w:t>​</w:t>
            </w:r>
          </w:p>
        </w:tc>
        <w:tc>
          <w:tcPr>
            <w:tcW w:w="144" w:type="dxa"/>
            <w:tcBorders/>
            <w:shd w:fill="CCEEFF" w:val="clear"/>
            <w:vAlign w:val="center"/>
          </w:tcPr>
          <w:p>
            <w:pPr>
              <w:pStyle w:val="TableContents"/>
              <w:spacing w:before="0" w:after="1"/>
              <w:ind w:left="0" w:right="0" w:hanging="0"/>
              <w:jc w:val="center"/>
              <w:rPr/>
            </w:pPr>
            <w:r>
              <w:rPr/>
              <w:t>​</w:t>
            </w:r>
          </w:p>
        </w:tc>
        <w:tc>
          <w:tcPr>
            <w:tcW w:w="279" w:type="dxa"/>
            <w:tcBorders/>
            <w:shd w:fill="CCEEFF" w:val="clear"/>
            <w:vAlign w:val="center"/>
          </w:tcPr>
          <w:p>
            <w:pPr>
              <w:pStyle w:val="TableContents"/>
              <w:spacing w:before="0" w:after="1"/>
              <w:ind w:left="0" w:right="0" w:hanging="0"/>
              <w:rPr/>
            </w:pPr>
            <w:r>
              <w:rPr/>
              <w:t>​</w:t>
            </w:r>
          </w:p>
        </w:tc>
        <w:tc>
          <w:tcPr>
            <w:tcW w:w="894" w:type="dxa"/>
            <w:tcBorders/>
            <w:shd w:fill="CCEEFF" w:val="clear"/>
            <w:vAlign w:val="center"/>
          </w:tcPr>
          <w:p>
            <w:pPr>
              <w:pStyle w:val="TableContents"/>
              <w:spacing w:before="0" w:after="1"/>
              <w:ind w:left="0" w:right="0" w:hanging="0"/>
              <w:jc w:val="center"/>
              <w:rPr/>
            </w:pPr>
            <w:r>
              <w:rPr/>
              <w:t>​</w:t>
            </w:r>
          </w:p>
        </w:tc>
      </w:tr>
      <w:tr>
        <w:trPr/>
        <w:tc>
          <w:tcPr>
            <w:tcW w:w="2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payments</w:t>
            </w:r>
          </w:p>
        </w:tc>
        <w:tc>
          <w:tcPr>
            <w:tcW w:w="109"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10,196</w:t>
            </w:r>
          </w:p>
        </w:tc>
        <w:tc>
          <w:tcPr>
            <w:tcW w:w="144" w:type="dxa"/>
            <w:tcBorders/>
            <w:shd w:fill="auto" w:val="clear"/>
            <w:vAlign w:val="center"/>
          </w:tcPr>
          <w:p>
            <w:pPr>
              <w:pStyle w:val="TableContents"/>
              <w:spacing w:before="0" w:after="1"/>
              <w:ind w:left="0" w:right="0" w:hanging="0"/>
              <w:jc w:val="right"/>
              <w:rPr/>
            </w:pPr>
            <w:r>
              <w:rPr/>
              <w:t>​</w:t>
            </w:r>
          </w:p>
        </w:tc>
        <w:tc>
          <w:tcPr>
            <w:tcW w:w="27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7,379</w:t>
            </w:r>
          </w:p>
        </w:tc>
      </w:tr>
      <w:tr>
        <w:trPr/>
        <w:tc>
          <w:tcPr>
            <w:tcW w:w="2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spacing w:before="0" w:after="1"/>
              <w:ind w:left="0" w:right="0" w:hanging="0"/>
              <w:rPr/>
            </w:pPr>
            <w:r>
              <w:rPr/>
              <w:t>​</w:t>
            </w:r>
          </w:p>
        </w:tc>
        <w:tc>
          <w:tcPr>
            <w:tcW w:w="27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1,594</w:t>
            </w:r>
          </w:p>
        </w:tc>
        <w:tc>
          <w:tcPr>
            <w:tcW w:w="144" w:type="dxa"/>
            <w:tcBorders/>
            <w:shd w:fill="CCEEFF" w:val="clear"/>
            <w:vAlign w:val="center"/>
          </w:tcPr>
          <w:p>
            <w:pPr>
              <w:pStyle w:val="TableContents"/>
              <w:spacing w:before="0" w:after="1"/>
              <w:ind w:left="0" w:right="0" w:hanging="0"/>
              <w:jc w:val="right"/>
              <w:rPr/>
            </w:pPr>
            <w:r>
              <w:rPr/>
              <w:t>​</w:t>
            </w:r>
          </w:p>
        </w:tc>
        <w:tc>
          <w:tcPr>
            <w:tcW w:w="27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r>
      <w:tr>
        <w:trPr/>
        <w:tc>
          <w:tcPr>
            <w:tcW w:w="208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leasing revenue</w:t>
            </w:r>
          </w:p>
        </w:tc>
        <w:tc>
          <w:tcPr>
            <w:tcW w:w="109" w:type="dxa"/>
            <w:tcBorders/>
            <w:shd w:fill="auto" w:val="clear"/>
            <w:vAlign w:val="center"/>
          </w:tcPr>
          <w:p>
            <w:pPr>
              <w:pStyle w:val="TableContents"/>
              <w:spacing w:before="0" w:after="1"/>
              <w:ind w:left="0" w:right="0" w:hanging="0"/>
              <w:rPr/>
            </w:pPr>
            <w:r>
              <w:rPr/>
              <w:t>​</w:t>
            </w:r>
          </w:p>
        </w:tc>
        <w:tc>
          <w:tcPr>
            <w:tcW w:w="27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89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11,790</w:t>
            </w:r>
          </w:p>
        </w:tc>
        <w:tc>
          <w:tcPr>
            <w:tcW w:w="144" w:type="dxa"/>
            <w:tcBorders/>
            <w:shd w:fill="auto" w:val="clear"/>
            <w:vAlign w:val="center"/>
          </w:tcPr>
          <w:p>
            <w:pPr>
              <w:pStyle w:val="TableContents"/>
              <w:spacing w:before="0" w:after="1"/>
              <w:ind w:left="0" w:right="0" w:hanging="0"/>
              <w:rPr/>
            </w:pPr>
            <w:r>
              <w:rPr/>
              <w:t>​</w:t>
            </w:r>
          </w:p>
        </w:tc>
        <w:tc>
          <w:tcPr>
            <w:tcW w:w="27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894"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8,822</w:t>
            </w:r>
          </w:p>
        </w:tc>
      </w:tr>
    </w:tbl>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391" w:name="Tc_EjkuDzgNekW4kh6Qe-GcxQ_16_6"/>
      <w:bookmarkStart w:id="1392" w:name="Tc_FUFGjz9RDEaaSeMIpHIb0A_16_3"/>
      <w:bookmarkStart w:id="1393" w:name="Tc_wf8K3cWPvEevYavVpu_jWg_16_0"/>
      <w:bookmarkStart w:id="1394" w:name="Tc_IXqs5yG4M0SAxQYH__nUZw_15_6"/>
      <w:bookmarkStart w:id="1395" w:name="Tc_CJoiz2r_7km8mhTx0Zlgjg_15_3"/>
      <w:bookmarkStart w:id="1396" w:name="Tc_vXgs4t_TKkO0UibmDAvTBg_15_0"/>
      <w:bookmarkStart w:id="1397" w:name="Tc_hR5ekGivU0CsoCCG5zDeCA_14_0"/>
      <w:bookmarkStart w:id="1398" w:name="Tc_S4x4TShZTkCsSOscj5ot8Q_13_0"/>
      <w:bookmarkStart w:id="1399" w:name="Tc_KjOKOO9IUUWcIHHs_wx5jw_12_0"/>
      <w:bookmarkStart w:id="1400" w:name="Tc_pUVg4q8UKkm2MQOuuqA28g_10_4"/>
      <w:bookmarkStart w:id="1401" w:name="Tc_ncI61P7WtUeFm8K1tuMO5Q_10_1"/>
      <w:bookmarkStart w:id="1402" w:name="Tc_mKX2dhnsBECffz_UiThGrQ_10_0"/>
      <w:bookmarkStart w:id="1403" w:name="Tc_BblVpT-SCUehUCDKUmLomQ_9_0"/>
      <w:bookmarkStart w:id="1404" w:name="Tc_orV1Tqa0Fkuzw_vLAXUgQA_8_0"/>
      <w:bookmarkStart w:id="1405" w:name="Tc_v0RozDVo7EKsaRrzGDyzzQ_7_0"/>
      <w:bookmarkStart w:id="1406" w:name="Tc_at2mMtPlGUOGWh46FRy1oQ_6_4"/>
      <w:bookmarkStart w:id="1407" w:name="Tc_EaoLMgoClkmWOdTEBwErQQ_6_1"/>
      <w:bookmarkStart w:id="1408" w:name="Tc_xcL5sHYv40yFmL4bcecyTA_6_0"/>
      <w:bookmarkStart w:id="1409" w:name="Tc_CflmZfE3sEeeZVDSMb6zQg_5_0"/>
      <w:bookmarkStart w:id="1410" w:name="Tc_9_ePJqDUIEy8dze41EoLbQ_4_0"/>
      <w:bookmarkStart w:id="1411" w:name="Tc_W3wcV-EhW0ep6azPQeuQ7Q_3_4"/>
      <w:bookmarkStart w:id="1412" w:name="Tc_kNNt9OtrI02T6mrmgbrtKw_3_1"/>
      <w:bookmarkStart w:id="1413" w:name="Tc_-Y3zwNTDGkKIRtFPAx60Wg_2_1"/>
      <w:bookmarkStart w:id="1414" w:name="Tc_wVZPc5v2Ckm-jJ75SLukRA_7_2"/>
      <w:bookmarkStart w:id="1415" w:name="Tc_pnJREZVxaky1bARaFVdraA_6_0"/>
      <w:bookmarkStart w:id="1416" w:name="Tc_6B3TWHYY1km2GSojRJjqsg_5_0"/>
      <w:bookmarkStart w:id="1417" w:name="Tc_fN5JjMhcJk2Tbt_ltzkUUg_4_0"/>
      <w:bookmarkStart w:id="1418" w:name="Tc_zF5LAYH1c0G9B4LGtfDB5A_3_0"/>
      <w:bookmarkStart w:id="1419" w:name="Tc_d634hqXp50akfIf4Tqlajw_2_0"/>
      <w:bookmarkStart w:id="1420" w:name="Tc_GBcoDLuOA0Kg85AnzsEkqA_1_2"/>
      <w:bookmarkStart w:id="1421" w:name="Tc_tvhr4V_arU2yup10tGWUvA_1_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r>
        <w:rPr>
          <w:rFonts w:ascii="Times New Roman;Times;serif" w:hAnsi="Times New Roman;Times;serif"/>
          <w:sz w:val="20"/>
        </w:rPr>
        <w:t>Minimum future base rental revenue on non-cancelable leases subsequent to March 31, 2023, for the years ending December 31 are:</w:t>
      </w:r>
    </w:p>
    <w:p>
      <w:pPr>
        <w:pStyle w:val="TextBody"/>
        <w:spacing w:before="0" w:after="0"/>
        <w:ind w:left="0" w:right="0" w:hanging="0"/>
        <w:rPr/>
      </w:pPr>
      <w:r>
        <w:rPr/>
        <w:t>​</w:t>
      </w:r>
    </w:p>
    <w:tbl>
      <w:tblPr>
        <w:tblW w:w="2047" w:type="dxa"/>
        <w:jc w:val="left"/>
        <w:tblInd w:w="0" w:type="dxa"/>
        <w:tblCellMar>
          <w:top w:w="0" w:type="dxa"/>
          <w:left w:w="0" w:type="dxa"/>
          <w:bottom w:w="0" w:type="dxa"/>
          <w:right w:w="0" w:type="dxa"/>
        </w:tblCellMar>
      </w:tblPr>
      <w:tblGrid>
        <w:gridCol w:w="946"/>
        <w:gridCol w:w="109"/>
        <w:gridCol w:w="211"/>
        <w:gridCol w:w="781"/>
      </w:tblGrid>
      <w:tr>
        <w:trPr/>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00710" cy="175260"/>
                      <wp:effectExtent l="0" t="0" r="0" b="0"/>
                      <wp:wrapNone/>
                      <wp:docPr id="286" name="Frame286"/>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7" name="Frame28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95935" cy="175260"/>
                      <wp:effectExtent l="0" t="0" r="0" b="0"/>
                      <wp:wrapNone/>
                      <wp:docPr id="289" name="Frame28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19,206</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13,404</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9,762</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8,041</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6,842</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28,868</w:t>
            </w:r>
          </w:p>
        </w:tc>
      </w:tr>
      <w:tr>
        <w:trPr/>
        <w:tc>
          <w:tcPr>
            <w:tcW w:w="94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86,123</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Company as Lessee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of March 31, 2023, the Company leased certain office and other equipment under finance leases and had operating leases for property and equipment used in corporate, hospitality and commercial operations with remaining lease terms up to the year 2081. Certain leases include options to purchase, terminate or renew for one or more years, which are included in the lease term used to establish right-of-use assets and lease liabilities when it is reasonably certain that the option will be exercised. Finance lease right-of-use assets are included within property, plant and equipment and operating lease right-of-use assets are included within other assets on the condensed consolidated balance sheets, which represent the Company’s right to use an underlying asset during a lease term for leases in excess of one year. Corresponding finance lease liabilities and operating lease liabilities are included within other liabilities on the condensed consolidated balance sheets and are related to the Company’s obligation to make lease payments for leases in excess of one year. The Company uses its incremental borrowing rate to determine the present value of the lease payments since the rate implicit in each lease is not readily determinable. </w:t>
      </w:r>
      <w:r>
        <w:rPr>
          <w:rFonts w:ascii="TimesNewRomanPSMT" w:hAnsi="TimesNewRomanPSMT"/>
          <w:sz w:val="20"/>
        </w:rPr>
        <w:t>The Company recognizes short-term (twelve months or less) lease payments in profit or loss on a straight-line basis over the term of the lease and variable lease payments in the period in which the obligation for those payments is incurred.</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20"/>
        </w:rPr>
        <w:t>The components of lease expense are as follows:</w:t>
      </w:r>
    </w:p>
    <w:p>
      <w:pPr>
        <w:pStyle w:val="TextBody"/>
        <w:spacing w:before="0" w:after="0"/>
        <w:ind w:left="0" w:right="0" w:hanging="0"/>
        <w:rPr/>
      </w:pPr>
      <w:r>
        <w:rPr/>
        <w:t>​</w:t>
      </w:r>
    </w:p>
    <w:tbl>
      <w:tblPr>
        <w:tblW w:w="8068" w:type="dxa"/>
        <w:jc w:val="left"/>
        <w:tblInd w:w="0" w:type="dxa"/>
        <w:tblCellMar>
          <w:top w:w="0" w:type="dxa"/>
          <w:left w:w="0" w:type="dxa"/>
          <w:bottom w:w="0" w:type="dxa"/>
          <w:right w:w="0" w:type="dxa"/>
        </w:tblCellMar>
      </w:tblPr>
      <w:tblGrid>
        <w:gridCol w:w="5581"/>
        <w:gridCol w:w="283"/>
        <w:gridCol w:w="566"/>
        <w:gridCol w:w="364"/>
        <w:gridCol w:w="283"/>
        <w:gridCol w:w="566"/>
        <w:gridCol w:w="425"/>
      </w:tblGrid>
      <w:tr>
        <w:trPr/>
        <w:tc>
          <w:tcPr>
            <w:tcW w:w="5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543935" cy="175260"/>
                      <wp:effectExtent l="0" t="0" r="0" b="0"/>
                      <wp:wrapNone/>
                      <wp:docPr id="290" name="Frame290"/>
                      <a:graphic xmlns:a="http://schemas.openxmlformats.org/drawingml/2006/main">
                        <a:graphicData uri="http://schemas.microsoft.com/office/word/2010/wordprocessingShape">
                          <wps:wsp>
                            <wps:cNvSpPr txBox="1"/>
                            <wps:spPr>
                              <a:xfrm>
                                <a:off x="0" y="0"/>
                                <a:ext cx="3543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79705" cy="175260"/>
                      <wp:effectExtent l="0" t="0" r="0" b="0"/>
                      <wp:wrapNone/>
                      <wp:docPr id="291" name="Frame291"/>
                      <a:graphic xmlns:a="http://schemas.openxmlformats.org/drawingml/2006/main">
                        <a:graphicData uri="http://schemas.microsoft.com/office/word/2010/wordprocessingShape">
                          <wps:wsp>
                            <wps:cNvSpPr txBox="1"/>
                            <wps:spPr>
                              <a:xfrm>
                                <a:off x="0" y="0"/>
                                <a:ext cx="1797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59410" cy="175260"/>
                      <wp:effectExtent l="0" t="0" r="0" b="0"/>
                      <wp:wrapNone/>
                      <wp:docPr id="292" name="Frame292"/>
                      <a:graphic xmlns:a="http://schemas.openxmlformats.org/drawingml/2006/main">
                        <a:graphicData uri="http://schemas.microsoft.com/office/word/2010/wordprocessingShape">
                          <wps:wsp>
                            <wps:cNvSpPr txBox="1"/>
                            <wps:spPr>
                              <a:xfrm>
                                <a:off x="0" y="0"/>
                                <a:ext cx="359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31140" cy="175260"/>
                      <wp:effectExtent l="0" t="0" r="0" b="0"/>
                      <wp:wrapNone/>
                      <wp:docPr id="293" name="Frame293"/>
                      <a:graphic xmlns:a="http://schemas.openxmlformats.org/drawingml/2006/main">
                        <a:graphicData uri="http://schemas.microsoft.com/office/word/2010/wordprocessingShape">
                          <wps:wsp>
                            <wps:cNvSpPr txBox="1"/>
                            <wps:spPr>
                              <a:xfrm>
                                <a:off x="0" y="0"/>
                                <a:ext cx="231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79705" cy="175260"/>
                      <wp:effectExtent l="0" t="0" r="0" b="0"/>
                      <wp:wrapNone/>
                      <wp:docPr id="294" name="Frame294"/>
                      <a:graphic xmlns:a="http://schemas.openxmlformats.org/drawingml/2006/main">
                        <a:graphicData uri="http://schemas.microsoft.com/office/word/2010/wordprocessingShape">
                          <wps:wsp>
                            <wps:cNvSpPr txBox="1"/>
                            <wps:spPr>
                              <a:xfrm>
                                <a:off x="0" y="0"/>
                                <a:ext cx="1797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59410" cy="175260"/>
                      <wp:effectExtent l="0" t="0" r="0" b="0"/>
                      <wp:wrapNone/>
                      <wp:docPr id="295" name="Frame295"/>
                      <a:graphic xmlns:a="http://schemas.openxmlformats.org/drawingml/2006/main">
                        <a:graphicData uri="http://schemas.microsoft.com/office/word/2010/wordprocessingShape">
                          <wps:wsp>
                            <wps:cNvSpPr txBox="1"/>
                            <wps:spPr>
                              <a:xfrm>
                                <a:off x="0" y="0"/>
                                <a:ext cx="359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69875" cy="175260"/>
                      <wp:effectExtent l="0" t="0" r="0" b="0"/>
                      <wp:wrapNone/>
                      <wp:docPr id="296" name="Frame296"/>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581" w:type="dxa"/>
            <w:tcBorders/>
            <w:shd w:fill="auto" w:val="clear"/>
            <w:vAlign w:val="center"/>
          </w:tcPr>
          <w:p>
            <w:pPr>
              <w:pStyle w:val="TableContents"/>
              <w:spacing w:before="0" w:after="1"/>
              <w:ind w:left="0" w:right="0" w:hanging="0"/>
              <w:rPr/>
            </w:pPr>
            <w:r>
              <w:rPr/>
              <w:t>​</w:t>
            </w:r>
          </w:p>
        </w:tc>
        <w:tc>
          <w:tcPr>
            <w:tcW w:w="283" w:type="dxa"/>
            <w:tcBorders/>
            <w:shd w:fill="auto" w:val="clear"/>
            <w:vAlign w:val="center"/>
          </w:tcPr>
          <w:p>
            <w:pPr>
              <w:pStyle w:val="TableContents"/>
              <w:spacing w:before="0" w:after="1"/>
              <w:ind w:left="0" w:right="0" w:hanging="0"/>
              <w:rPr/>
            </w:pPr>
            <w:r>
              <w:rPr/>
              <w:t>​</w:t>
            </w:r>
          </w:p>
        </w:tc>
        <w:tc>
          <w:tcPr>
            <w:tcW w:w="566" w:type="dxa"/>
            <w:tcBorders/>
            <w:shd w:fill="auto" w:val="clear"/>
            <w:vAlign w:val="center"/>
          </w:tcPr>
          <w:p>
            <w:pPr>
              <w:pStyle w:val="TableContents"/>
              <w:spacing w:before="0" w:after="1"/>
              <w:ind w:left="0" w:right="0" w:hanging="0"/>
              <w:rPr/>
            </w:pPr>
            <w:r>
              <w:rPr/>
              <w:t>​</w:t>
            </w:r>
          </w:p>
        </w:tc>
        <w:tc>
          <w:tcPr>
            <w:tcW w:w="364" w:type="dxa"/>
            <w:tcBorders/>
            <w:shd w:fill="auto" w:val="clear"/>
            <w:vAlign w:val="center"/>
          </w:tcPr>
          <w:p>
            <w:pPr>
              <w:pStyle w:val="TableContents"/>
              <w:spacing w:before="0" w:after="1"/>
              <w:ind w:left="0" w:right="0" w:hanging="0"/>
              <w:jc w:val="center"/>
              <w:rPr/>
            </w:pPr>
            <w:r>
              <w:rPr/>
              <w:t>​</w:t>
            </w:r>
          </w:p>
        </w:tc>
        <w:tc>
          <w:tcPr>
            <w:tcW w:w="849" w:type="dxa"/>
            <w:gridSpan w:val="2"/>
            <w:tcBorders/>
            <w:shd w:fill="auto" w:val="clear"/>
            <w:vAlign w:val="center"/>
          </w:tcPr>
          <w:p>
            <w:pPr>
              <w:pStyle w:val="TableContents"/>
              <w:spacing w:before="0" w:after="1"/>
              <w:ind w:left="0" w:right="0" w:hanging="0"/>
              <w:jc w:val="center"/>
              <w:rPr/>
            </w:pPr>
            <w:r>
              <w:rPr/>
              <w:t>​</w:t>
            </w:r>
          </w:p>
        </w:tc>
        <w:tc>
          <w:tcPr>
            <w:tcW w:w="425" w:type="dxa"/>
            <w:tcBorders/>
            <w:shd w:fill="auto" w:val="clear"/>
            <w:vAlign w:val="center"/>
          </w:tcPr>
          <w:p>
            <w:pPr>
              <w:pStyle w:val="TableContents"/>
              <w:spacing w:before="0" w:after="1"/>
              <w:ind w:left="0" w:right="0" w:hanging="0"/>
              <w:jc w:val="center"/>
              <w:rPr/>
            </w:pPr>
            <w:r>
              <w:rPr/>
              <w:t>​</w:t>
            </w:r>
          </w:p>
        </w:tc>
      </w:tr>
      <w:tr>
        <w:trPr/>
        <w:tc>
          <w:tcPr>
            <w:tcW w:w="5581" w:type="dxa"/>
            <w:tcBorders/>
            <w:shd w:fill="auto" w:val="clear"/>
            <w:vAlign w:val="center"/>
          </w:tcPr>
          <w:p>
            <w:pPr>
              <w:pStyle w:val="TableContents"/>
              <w:spacing w:before="0" w:after="1"/>
              <w:ind w:left="0" w:right="0" w:hanging="0"/>
              <w:rPr/>
            </w:pPr>
            <w:r>
              <w:rPr/>
              <w:t>​</w:t>
            </w:r>
          </w:p>
        </w:tc>
        <w:tc>
          <w:tcPr>
            <w:tcW w:w="2487" w:type="dxa"/>
            <w:gridSpan w:val="6"/>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581" w:type="dxa"/>
            <w:tcBorders/>
            <w:shd w:fill="auto" w:val="clear"/>
            <w:vAlign w:val="center"/>
          </w:tcPr>
          <w:p>
            <w:pPr>
              <w:pStyle w:val="TableContents"/>
              <w:spacing w:before="0" w:after="1"/>
              <w:ind w:left="0" w:right="0" w:hanging="0"/>
              <w:rPr/>
            </w:pPr>
            <w:r>
              <w:rPr/>
              <w:t>​</w:t>
            </w:r>
          </w:p>
        </w:tc>
        <w:tc>
          <w:tcPr>
            <w:tcW w:w="84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4" w:type="dxa"/>
            <w:tcBorders/>
            <w:shd w:fill="auto" w:val="clear"/>
            <w:vAlign w:val="center"/>
          </w:tcPr>
          <w:p>
            <w:pPr>
              <w:pStyle w:val="TableContents"/>
              <w:spacing w:before="0" w:after="1"/>
              <w:ind w:left="0" w:right="0" w:hanging="0"/>
              <w:jc w:val="center"/>
              <w:rPr/>
            </w:pPr>
            <w:r>
              <w:rPr/>
              <w:t>​</w:t>
            </w:r>
          </w:p>
        </w:tc>
        <w:tc>
          <w:tcPr>
            <w:tcW w:w="84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25" w:type="dxa"/>
            <w:tcBorders/>
            <w:shd w:fill="auto" w:val="clear"/>
            <w:vAlign w:val="center"/>
          </w:tcPr>
          <w:p>
            <w:pPr>
              <w:pStyle w:val="TableContents"/>
              <w:spacing w:before="0" w:after="1"/>
              <w:ind w:left="0" w:right="0" w:hanging="0"/>
              <w:jc w:val="center"/>
              <w:rPr/>
            </w:pPr>
            <w:r>
              <w:rPr/>
              <w:t>​</w:t>
            </w:r>
          </w:p>
        </w:tc>
      </w:tr>
      <w:tr>
        <w:trPr/>
        <w:tc>
          <w:tcPr>
            <w:tcW w:w="55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Lease cost</w:t>
            </w:r>
          </w:p>
        </w:tc>
        <w:tc>
          <w:tcPr>
            <w:tcW w:w="283" w:type="dxa"/>
            <w:tcBorders/>
            <w:shd w:fill="CCEEFF" w:val="clear"/>
            <w:vAlign w:val="center"/>
          </w:tcPr>
          <w:p>
            <w:pPr>
              <w:pStyle w:val="TableContents"/>
              <w:spacing w:before="0" w:after="1"/>
              <w:ind w:left="0" w:right="0" w:hanging="0"/>
              <w:rPr/>
            </w:pPr>
            <w:r>
              <w:rPr/>
              <w:t>​</w:t>
            </w:r>
          </w:p>
        </w:tc>
        <w:tc>
          <w:tcPr>
            <w:tcW w:w="566" w:type="dxa"/>
            <w:tcBorders/>
            <w:shd w:fill="CCEEFF" w:val="clear"/>
            <w:vAlign w:val="center"/>
          </w:tcPr>
          <w:p>
            <w:pPr>
              <w:pStyle w:val="TableContents"/>
              <w:spacing w:before="0" w:after="1"/>
              <w:ind w:left="0" w:right="0" w:hanging="0"/>
              <w:jc w:val="right"/>
              <w:rPr/>
            </w:pPr>
            <w:r>
              <w:rPr/>
              <w:t>​</w:t>
            </w:r>
          </w:p>
        </w:tc>
        <w:tc>
          <w:tcPr>
            <w:tcW w:w="364" w:type="dxa"/>
            <w:tcBorders/>
            <w:shd w:fill="CCEEFF" w:val="clear"/>
            <w:vAlign w:val="center"/>
          </w:tcPr>
          <w:p>
            <w:pPr>
              <w:pStyle w:val="TableContents"/>
              <w:spacing w:before="0" w:after="1"/>
              <w:ind w:left="0" w:right="0" w:hanging="0"/>
              <w:jc w:val="right"/>
              <w:rPr/>
            </w:pPr>
            <w:r>
              <w:rPr/>
              <w:t>​</w:t>
            </w:r>
          </w:p>
        </w:tc>
        <w:tc>
          <w:tcPr>
            <w:tcW w:w="283" w:type="dxa"/>
            <w:tcBorders/>
            <w:shd w:fill="CCEEFF" w:val="clear"/>
            <w:vAlign w:val="center"/>
          </w:tcPr>
          <w:p>
            <w:pPr>
              <w:pStyle w:val="TableContents"/>
              <w:spacing w:before="0" w:after="1"/>
              <w:ind w:left="0" w:right="0" w:hanging="0"/>
              <w:rPr/>
            </w:pPr>
            <w:r>
              <w:rPr/>
              <w:t>​</w:t>
            </w:r>
          </w:p>
        </w:tc>
        <w:tc>
          <w:tcPr>
            <w:tcW w:w="566" w:type="dxa"/>
            <w:tcBorders/>
            <w:shd w:fill="CCEEFF" w:val="clear"/>
            <w:vAlign w:val="center"/>
          </w:tcPr>
          <w:p>
            <w:pPr>
              <w:pStyle w:val="TableContents"/>
              <w:spacing w:before="0" w:after="1"/>
              <w:ind w:left="0" w:right="0" w:hanging="0"/>
              <w:jc w:val="right"/>
              <w:rPr/>
            </w:pPr>
            <w:r>
              <w:rPr/>
              <w:t>​</w:t>
            </w:r>
          </w:p>
        </w:tc>
        <w:tc>
          <w:tcPr>
            <w:tcW w:w="425" w:type="dxa"/>
            <w:tcBorders/>
            <w:shd w:fill="CCEEFF" w:val="clear"/>
            <w:vAlign w:val="center"/>
          </w:tcPr>
          <w:p>
            <w:pPr>
              <w:pStyle w:val="TableContents"/>
              <w:spacing w:before="0" w:after="1"/>
              <w:ind w:left="0" w:right="0" w:hanging="0"/>
              <w:jc w:val="right"/>
              <w:rPr/>
            </w:pPr>
            <w:r>
              <w:rPr/>
              <w:t>​</w:t>
            </w:r>
          </w:p>
        </w:tc>
      </w:tr>
      <w:tr>
        <w:trPr/>
        <w:tc>
          <w:tcPr>
            <w:tcW w:w="55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 cost:</w:t>
            </w:r>
          </w:p>
        </w:tc>
        <w:tc>
          <w:tcPr>
            <w:tcW w:w="283" w:type="dxa"/>
            <w:tcBorders/>
            <w:shd w:fill="auto" w:val="clear"/>
            <w:vAlign w:val="center"/>
          </w:tcPr>
          <w:p>
            <w:pPr>
              <w:pStyle w:val="TableContents"/>
              <w:spacing w:before="0" w:after="1"/>
              <w:ind w:left="0" w:right="0" w:hanging="0"/>
              <w:rPr/>
            </w:pPr>
            <w:r>
              <w:rPr/>
              <w:t>​</w:t>
            </w:r>
          </w:p>
        </w:tc>
        <w:tc>
          <w:tcPr>
            <w:tcW w:w="566" w:type="dxa"/>
            <w:tcBorders/>
            <w:shd w:fill="auto" w:val="clear"/>
            <w:vAlign w:val="center"/>
          </w:tcPr>
          <w:p>
            <w:pPr>
              <w:pStyle w:val="TableContents"/>
              <w:spacing w:before="0" w:after="1"/>
              <w:ind w:left="0" w:right="0" w:hanging="0"/>
              <w:jc w:val="right"/>
              <w:rPr/>
            </w:pPr>
            <w:r>
              <w:rPr/>
              <w:t>​</w:t>
            </w:r>
          </w:p>
        </w:tc>
        <w:tc>
          <w:tcPr>
            <w:tcW w:w="364" w:type="dxa"/>
            <w:tcBorders/>
            <w:shd w:fill="auto" w:val="clear"/>
            <w:vAlign w:val="center"/>
          </w:tcPr>
          <w:p>
            <w:pPr>
              <w:pStyle w:val="TableContents"/>
              <w:spacing w:before="0" w:after="1"/>
              <w:ind w:left="0" w:right="0" w:hanging="0"/>
              <w:jc w:val="right"/>
              <w:rPr/>
            </w:pPr>
            <w:r>
              <w:rPr/>
              <w:t>​</w:t>
            </w:r>
          </w:p>
        </w:tc>
        <w:tc>
          <w:tcPr>
            <w:tcW w:w="283" w:type="dxa"/>
            <w:tcBorders/>
            <w:shd w:fill="auto" w:val="clear"/>
            <w:vAlign w:val="center"/>
          </w:tcPr>
          <w:p>
            <w:pPr>
              <w:pStyle w:val="TableContents"/>
              <w:spacing w:before="0" w:after="1"/>
              <w:ind w:left="0" w:right="0" w:hanging="0"/>
              <w:rPr/>
            </w:pPr>
            <w:r>
              <w:rPr/>
              <w:t>​</w:t>
            </w:r>
          </w:p>
        </w:tc>
        <w:tc>
          <w:tcPr>
            <w:tcW w:w="566" w:type="dxa"/>
            <w:tcBorders/>
            <w:shd w:fill="auto" w:val="clear"/>
            <w:vAlign w:val="center"/>
          </w:tcPr>
          <w:p>
            <w:pPr>
              <w:pStyle w:val="TableContents"/>
              <w:spacing w:before="0" w:after="1"/>
              <w:ind w:left="0" w:right="0" w:hanging="0"/>
              <w:jc w:val="right"/>
              <w:rPr/>
            </w:pPr>
            <w:r>
              <w:rPr/>
              <w:t>​</w:t>
            </w:r>
          </w:p>
        </w:tc>
        <w:tc>
          <w:tcPr>
            <w:tcW w:w="425" w:type="dxa"/>
            <w:tcBorders/>
            <w:shd w:fill="auto" w:val="clear"/>
            <w:vAlign w:val="center"/>
          </w:tcPr>
          <w:p>
            <w:pPr>
              <w:pStyle w:val="TableContents"/>
              <w:spacing w:before="0" w:after="1"/>
              <w:ind w:left="0" w:right="0" w:hanging="0"/>
              <w:jc w:val="right"/>
              <w:rPr/>
            </w:pPr>
            <w:r>
              <w:rPr/>
              <w:t>​</w:t>
            </w:r>
          </w:p>
        </w:tc>
      </w:tr>
      <w:tr>
        <w:trPr/>
        <w:tc>
          <w:tcPr>
            <w:tcW w:w="55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right-of-use assets</w:t>
            </w:r>
          </w:p>
        </w:tc>
        <w:tc>
          <w:tcPr>
            <w:tcW w:w="28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64" w:type="dxa"/>
            <w:tcBorders/>
            <w:shd w:fill="CCEEFF" w:val="clear"/>
            <w:vAlign w:val="center"/>
          </w:tcPr>
          <w:p>
            <w:pPr>
              <w:pStyle w:val="TableContents"/>
              <w:spacing w:before="0" w:after="1"/>
              <w:ind w:left="0" w:right="0" w:hanging="0"/>
              <w:jc w:val="right"/>
              <w:rPr/>
            </w:pPr>
            <w:r>
              <w:rPr/>
              <w:t>​</w:t>
            </w:r>
          </w:p>
        </w:tc>
        <w:tc>
          <w:tcPr>
            <w:tcW w:w="28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25" w:type="dxa"/>
            <w:tcBorders/>
            <w:shd w:fill="CCEEFF" w:val="clear"/>
            <w:vAlign w:val="center"/>
          </w:tcPr>
          <w:p>
            <w:pPr>
              <w:pStyle w:val="TableContents"/>
              <w:spacing w:before="0" w:after="1"/>
              <w:ind w:left="0" w:right="0" w:hanging="0"/>
              <w:jc w:val="right"/>
              <w:rPr/>
            </w:pPr>
            <w:r>
              <w:rPr/>
              <w:t>​</w:t>
            </w:r>
          </w:p>
        </w:tc>
      </w:tr>
      <w:tr>
        <w:trPr/>
        <w:tc>
          <w:tcPr>
            <w:tcW w:w="55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on lease liability</w:t>
            </w:r>
          </w:p>
        </w:tc>
        <w:tc>
          <w:tcPr>
            <w:tcW w:w="283" w:type="dxa"/>
            <w:tcBorders/>
            <w:shd w:fill="auto" w:val="clear"/>
            <w:vAlign w:val="center"/>
          </w:tcPr>
          <w:p>
            <w:pPr>
              <w:pStyle w:val="TableContents"/>
              <w:spacing w:before="0" w:after="1"/>
              <w:ind w:left="0" w:right="0" w:hanging="0"/>
              <w:rPr/>
            </w:pPr>
            <w:r>
              <w:rPr/>
              <w:t> </w:t>
            </w:r>
          </w:p>
        </w:tc>
        <w:tc>
          <w:tcPr>
            <w:tcW w:w="5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4" w:type="dxa"/>
            <w:tcBorders/>
            <w:shd w:fill="auto" w:val="clear"/>
            <w:vAlign w:val="center"/>
          </w:tcPr>
          <w:p>
            <w:pPr>
              <w:pStyle w:val="TableContents"/>
              <w:spacing w:before="0" w:after="1"/>
              <w:ind w:left="0" w:right="0" w:hanging="0"/>
              <w:jc w:val="right"/>
              <w:rPr/>
            </w:pPr>
            <w:r>
              <w:rPr/>
              <w:t>​</w:t>
            </w:r>
          </w:p>
        </w:tc>
        <w:tc>
          <w:tcPr>
            <w:tcW w:w="283" w:type="dxa"/>
            <w:tcBorders/>
            <w:shd w:fill="auto" w:val="clear"/>
            <w:vAlign w:val="center"/>
          </w:tcPr>
          <w:p>
            <w:pPr>
              <w:pStyle w:val="TableContents"/>
              <w:spacing w:before="0" w:after="1"/>
              <w:ind w:left="0" w:right="0" w:hanging="0"/>
              <w:rPr/>
            </w:pPr>
            <w:r>
              <w:rPr/>
              <w:t> </w:t>
            </w:r>
          </w:p>
        </w:tc>
        <w:tc>
          <w:tcPr>
            <w:tcW w:w="5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25" w:type="dxa"/>
            <w:tcBorders/>
            <w:shd w:fill="auto" w:val="clear"/>
            <w:vAlign w:val="center"/>
          </w:tcPr>
          <w:p>
            <w:pPr>
              <w:pStyle w:val="TableContents"/>
              <w:spacing w:before="0" w:after="1"/>
              <w:ind w:left="0" w:right="0" w:hanging="0"/>
              <w:jc w:val="right"/>
              <w:rPr/>
            </w:pPr>
            <w:r>
              <w:rPr/>
              <w:t>​</w:t>
            </w:r>
          </w:p>
        </w:tc>
      </w:tr>
      <w:tr>
        <w:trPr/>
        <w:tc>
          <w:tcPr>
            <w:tcW w:w="55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cost</w:t>
            </w:r>
          </w:p>
        </w:tc>
        <w:tc>
          <w:tcPr>
            <w:tcW w:w="283" w:type="dxa"/>
            <w:tcBorders/>
            <w:shd w:fill="CCEEFF" w:val="clear"/>
            <w:vAlign w:val="center"/>
          </w:tcPr>
          <w:p>
            <w:pPr>
              <w:pStyle w:val="TableContents"/>
              <w:spacing w:before="0" w:after="1"/>
              <w:ind w:left="0" w:right="0" w:hanging="0"/>
              <w:rPr/>
            </w:pPr>
            <w:r>
              <w:rPr/>
              <w:t> </w:t>
            </w:r>
          </w:p>
        </w:tc>
        <w:tc>
          <w:tcPr>
            <w:tcW w:w="5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64" w:type="dxa"/>
            <w:tcBorders/>
            <w:shd w:fill="CCEEFF" w:val="clear"/>
            <w:vAlign w:val="center"/>
          </w:tcPr>
          <w:p>
            <w:pPr>
              <w:pStyle w:val="TableContents"/>
              <w:spacing w:before="0" w:after="1"/>
              <w:ind w:left="0" w:right="0" w:hanging="0"/>
              <w:jc w:val="right"/>
              <w:rPr/>
            </w:pPr>
            <w:r>
              <w:rPr/>
              <w:t>​</w:t>
            </w:r>
          </w:p>
        </w:tc>
        <w:tc>
          <w:tcPr>
            <w:tcW w:w="283" w:type="dxa"/>
            <w:tcBorders/>
            <w:shd w:fill="CCEEFF" w:val="clear"/>
            <w:vAlign w:val="center"/>
          </w:tcPr>
          <w:p>
            <w:pPr>
              <w:pStyle w:val="TableContents"/>
              <w:spacing w:before="0" w:after="1"/>
              <w:ind w:left="0" w:right="0" w:hanging="0"/>
              <w:rPr/>
            </w:pPr>
            <w:r>
              <w:rPr/>
              <w:t> </w:t>
            </w:r>
          </w:p>
        </w:tc>
        <w:tc>
          <w:tcPr>
            <w:tcW w:w="5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425" w:type="dxa"/>
            <w:tcBorders/>
            <w:shd w:fill="CCEEFF" w:val="clear"/>
            <w:vAlign w:val="center"/>
          </w:tcPr>
          <w:p>
            <w:pPr>
              <w:pStyle w:val="TableContents"/>
              <w:spacing w:before="0" w:after="1"/>
              <w:ind w:left="0" w:right="0" w:hanging="0"/>
              <w:jc w:val="right"/>
              <w:rPr/>
            </w:pPr>
            <w:r>
              <w:rPr/>
              <w:t>​</w:t>
            </w:r>
          </w:p>
        </w:tc>
      </w:tr>
      <w:tr>
        <w:trPr/>
        <w:tc>
          <w:tcPr>
            <w:tcW w:w="55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Variable and short-term lease cost</w:t>
            </w:r>
          </w:p>
        </w:tc>
        <w:tc>
          <w:tcPr>
            <w:tcW w:w="28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64" w:type="dxa"/>
            <w:tcBorders/>
            <w:shd w:fill="auto" w:val="clear"/>
            <w:vAlign w:val="center"/>
          </w:tcPr>
          <w:p>
            <w:pPr>
              <w:pStyle w:val="TableContents"/>
              <w:spacing w:before="0" w:after="1"/>
              <w:ind w:left="0" w:right="0" w:hanging="0"/>
              <w:jc w:val="right"/>
              <w:rPr/>
            </w:pPr>
            <w:r>
              <w:rPr/>
              <w:t>​</w:t>
            </w:r>
          </w:p>
        </w:tc>
        <w:tc>
          <w:tcPr>
            <w:tcW w:w="28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425" w:type="dxa"/>
            <w:tcBorders/>
            <w:shd w:fill="auto" w:val="clear"/>
            <w:vAlign w:val="center"/>
          </w:tcPr>
          <w:p>
            <w:pPr>
              <w:pStyle w:val="TableContents"/>
              <w:spacing w:before="0" w:after="1"/>
              <w:ind w:left="0" w:right="0" w:hanging="0"/>
              <w:jc w:val="right"/>
              <w:rPr/>
            </w:pPr>
            <w:r>
              <w:rPr/>
              <w:t>​</w:t>
            </w:r>
          </w:p>
        </w:tc>
      </w:tr>
      <w:tr>
        <w:trPr/>
        <w:tc>
          <w:tcPr>
            <w:tcW w:w="55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lease cost</w:t>
            </w:r>
          </w:p>
        </w:tc>
        <w:tc>
          <w:tcPr>
            <w:tcW w:w="28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394</w:t>
            </w:r>
          </w:p>
        </w:tc>
        <w:tc>
          <w:tcPr>
            <w:tcW w:w="364" w:type="dxa"/>
            <w:tcBorders/>
            <w:shd w:fill="CCEEFF" w:val="clear"/>
            <w:vAlign w:val="center"/>
          </w:tcPr>
          <w:p>
            <w:pPr>
              <w:pStyle w:val="TableContents"/>
              <w:spacing w:before="0" w:after="1"/>
              <w:ind w:left="0" w:right="0" w:hanging="0"/>
              <w:jc w:val="right"/>
              <w:rPr/>
            </w:pPr>
            <w:r>
              <w:rPr/>
              <w:t>​</w:t>
            </w:r>
          </w:p>
        </w:tc>
        <w:tc>
          <w:tcPr>
            <w:tcW w:w="28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327</w:t>
            </w:r>
          </w:p>
        </w:tc>
        <w:tc>
          <w:tcPr>
            <w:tcW w:w="425" w:type="dxa"/>
            <w:tcBorders/>
            <w:shd w:fill="CCEEFF" w:val="clear"/>
            <w:vAlign w:val="center"/>
          </w:tcPr>
          <w:p>
            <w:pPr>
              <w:pStyle w:val="TableContents"/>
              <w:spacing w:before="0" w:after="1"/>
              <w:ind w:left="0" w:right="0" w:hanging="0"/>
              <w:jc w:val="right"/>
              <w:rPr/>
            </w:pPr>
            <w:r>
              <w:rPr/>
              <w:t>​</w:t>
            </w:r>
          </w:p>
        </w:tc>
      </w:tr>
      <w:tr>
        <w:trPr/>
        <w:tc>
          <w:tcPr>
            <w:tcW w:w="5581" w:type="dxa"/>
            <w:tcBorders/>
            <w:shd w:fill="auto" w:val="clear"/>
            <w:vAlign w:val="center"/>
          </w:tcPr>
          <w:p>
            <w:pPr>
              <w:pStyle w:val="TableContents"/>
              <w:spacing w:before="0" w:after="1"/>
              <w:ind w:left="0" w:right="0" w:hanging="0"/>
              <w:rPr/>
            </w:pPr>
            <w:r>
              <w:rPr/>
              <w:t>​</w:t>
            </w:r>
          </w:p>
        </w:tc>
        <w:tc>
          <w:tcPr>
            <w:tcW w:w="283" w:type="dxa"/>
            <w:tcBorders/>
            <w:shd w:fill="auto" w:val="clear"/>
            <w:vAlign w:val="center"/>
          </w:tcPr>
          <w:p>
            <w:pPr>
              <w:pStyle w:val="TableContents"/>
              <w:spacing w:before="0" w:after="1"/>
              <w:ind w:left="0" w:right="0" w:hanging="0"/>
              <w:rPr/>
            </w:pPr>
            <w:r>
              <w:rPr/>
              <w:t>​</w:t>
            </w:r>
          </w:p>
        </w:tc>
        <w:tc>
          <w:tcPr>
            <w:tcW w:w="566" w:type="dxa"/>
            <w:tcBorders/>
            <w:shd w:fill="auto" w:val="clear"/>
            <w:vAlign w:val="center"/>
          </w:tcPr>
          <w:p>
            <w:pPr>
              <w:pStyle w:val="TableContents"/>
              <w:spacing w:before="0" w:after="1"/>
              <w:ind w:left="0" w:right="0" w:hanging="0"/>
              <w:rPr/>
            </w:pPr>
            <w:r>
              <w:rPr/>
              <w:t>​</w:t>
            </w:r>
          </w:p>
        </w:tc>
        <w:tc>
          <w:tcPr>
            <w:tcW w:w="364" w:type="dxa"/>
            <w:tcBorders/>
            <w:shd w:fill="auto" w:val="clear"/>
            <w:vAlign w:val="center"/>
          </w:tcPr>
          <w:p>
            <w:pPr>
              <w:pStyle w:val="TableContents"/>
              <w:spacing w:before="0" w:after="1"/>
              <w:ind w:left="0" w:right="0" w:hanging="0"/>
              <w:rPr/>
            </w:pPr>
            <w:r>
              <w:rPr/>
              <w:t>​</w:t>
            </w:r>
          </w:p>
        </w:tc>
        <w:tc>
          <w:tcPr>
            <w:tcW w:w="283" w:type="dxa"/>
            <w:tcBorders/>
            <w:shd w:fill="auto" w:val="clear"/>
            <w:vAlign w:val="center"/>
          </w:tcPr>
          <w:p>
            <w:pPr>
              <w:pStyle w:val="TableContents"/>
              <w:spacing w:before="0" w:after="1"/>
              <w:ind w:left="0" w:right="0" w:hanging="0"/>
              <w:rPr/>
            </w:pPr>
            <w:r>
              <w:rPr/>
              <w:t>​</w:t>
            </w:r>
          </w:p>
        </w:tc>
        <w:tc>
          <w:tcPr>
            <w:tcW w:w="56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w:t>
            </w:r>
          </w:p>
        </w:tc>
      </w:tr>
      <w:tr>
        <w:trPr/>
        <w:tc>
          <w:tcPr>
            <w:tcW w:w="55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information</w:t>
            </w:r>
          </w:p>
        </w:tc>
        <w:tc>
          <w:tcPr>
            <w:tcW w:w="283" w:type="dxa"/>
            <w:tcBorders/>
            <w:shd w:fill="CCEEFF" w:val="clear"/>
            <w:vAlign w:val="center"/>
          </w:tcPr>
          <w:p>
            <w:pPr>
              <w:pStyle w:val="TableContents"/>
              <w:spacing w:before="0" w:after="1"/>
              <w:ind w:left="0" w:right="0" w:hanging="0"/>
              <w:rPr/>
            </w:pPr>
            <w:r>
              <w:rPr/>
              <w:t>​</w:t>
            </w:r>
          </w:p>
        </w:tc>
        <w:tc>
          <w:tcPr>
            <w:tcW w:w="566" w:type="dxa"/>
            <w:tcBorders/>
            <w:shd w:fill="CCEEFF" w:val="clear"/>
            <w:vAlign w:val="center"/>
          </w:tcPr>
          <w:p>
            <w:pPr>
              <w:pStyle w:val="TableContents"/>
              <w:spacing w:before="0" w:after="1"/>
              <w:ind w:left="0" w:right="0" w:hanging="0"/>
              <w:rPr/>
            </w:pPr>
            <w:r>
              <w:rPr/>
              <w:t>​</w:t>
            </w:r>
          </w:p>
        </w:tc>
        <w:tc>
          <w:tcPr>
            <w:tcW w:w="364" w:type="dxa"/>
            <w:tcBorders/>
            <w:shd w:fill="CCEEFF" w:val="clear"/>
            <w:vAlign w:val="center"/>
          </w:tcPr>
          <w:p>
            <w:pPr>
              <w:pStyle w:val="TableContents"/>
              <w:spacing w:before="0" w:after="1"/>
              <w:ind w:left="0" w:right="0" w:hanging="0"/>
              <w:rPr/>
            </w:pPr>
            <w:r>
              <w:rPr/>
              <w:t>​</w:t>
            </w:r>
          </w:p>
        </w:tc>
        <w:tc>
          <w:tcPr>
            <w:tcW w:w="283" w:type="dxa"/>
            <w:tcBorders/>
            <w:shd w:fill="CCEEFF" w:val="clear"/>
            <w:vAlign w:val="center"/>
          </w:tcPr>
          <w:p>
            <w:pPr>
              <w:pStyle w:val="TableContents"/>
              <w:spacing w:before="0" w:after="1"/>
              <w:ind w:left="0" w:right="0" w:hanging="0"/>
              <w:rPr/>
            </w:pPr>
            <w:r>
              <w:rPr/>
              <w:t>​</w:t>
            </w:r>
          </w:p>
        </w:tc>
        <w:tc>
          <w:tcPr>
            <w:tcW w:w="56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r>
      <w:tr>
        <w:trPr/>
        <w:tc>
          <w:tcPr>
            <w:tcW w:w="55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remaining lease term - finance lease (in years)</w:t>
            </w:r>
          </w:p>
        </w:tc>
        <w:tc>
          <w:tcPr>
            <w:tcW w:w="283" w:type="dxa"/>
            <w:tcBorders/>
            <w:shd w:fill="auto" w:val="clear"/>
            <w:vAlign w:val="center"/>
          </w:tcPr>
          <w:p>
            <w:pPr>
              <w:pStyle w:val="TableContents"/>
              <w:spacing w:before="0" w:after="1"/>
              <w:ind w:left="0" w:right="0" w:hanging="0"/>
              <w:rPr/>
            </w:pPr>
            <w:r>
              <w:rPr/>
              <w:t>​</w:t>
            </w:r>
          </w:p>
        </w:tc>
        <w:tc>
          <w:tcPr>
            <w:tcW w:w="5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64" w:type="dxa"/>
            <w:tcBorders/>
            <w:shd w:fill="auto" w:val="clear"/>
            <w:vAlign w:val="center"/>
          </w:tcPr>
          <w:p>
            <w:pPr>
              <w:pStyle w:val="TableContents"/>
              <w:spacing w:before="0" w:after="1"/>
              <w:ind w:left="0" w:right="0" w:hanging="0"/>
              <w:rPr/>
            </w:pPr>
            <w:r>
              <w:rPr/>
              <w:t>​</w:t>
            </w:r>
          </w:p>
        </w:tc>
        <w:tc>
          <w:tcPr>
            <w:tcW w:w="283" w:type="dxa"/>
            <w:tcBorders/>
            <w:shd w:fill="auto" w:val="clear"/>
            <w:vAlign w:val="center"/>
          </w:tcPr>
          <w:p>
            <w:pPr>
              <w:pStyle w:val="TableContents"/>
              <w:spacing w:before="0" w:after="1"/>
              <w:ind w:left="0" w:right="0" w:hanging="0"/>
              <w:rPr/>
            </w:pPr>
            <w:r>
              <w:rPr/>
              <w:t>​</w:t>
            </w:r>
          </w:p>
        </w:tc>
        <w:tc>
          <w:tcPr>
            <w:tcW w:w="5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25" w:type="dxa"/>
            <w:tcBorders/>
            <w:shd w:fill="auto" w:val="clear"/>
            <w:vAlign w:val="center"/>
          </w:tcPr>
          <w:p>
            <w:pPr>
              <w:pStyle w:val="TableContents"/>
              <w:spacing w:before="0" w:after="1"/>
              <w:ind w:left="0" w:right="0" w:hanging="0"/>
              <w:rPr/>
            </w:pPr>
            <w:r>
              <w:rPr/>
              <w:t>​</w:t>
            </w:r>
          </w:p>
        </w:tc>
      </w:tr>
      <w:tr>
        <w:trPr/>
        <w:tc>
          <w:tcPr>
            <w:tcW w:w="55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remaining lease term - operating leases (in years)</w:t>
            </w:r>
          </w:p>
        </w:tc>
        <w:tc>
          <w:tcPr>
            <w:tcW w:w="283" w:type="dxa"/>
            <w:tcBorders/>
            <w:shd w:fill="CCEEFF" w:val="clear"/>
            <w:vAlign w:val="center"/>
          </w:tcPr>
          <w:p>
            <w:pPr>
              <w:pStyle w:val="TableContents"/>
              <w:spacing w:before="0" w:after="1"/>
              <w:ind w:left="0" w:right="0" w:hanging="0"/>
              <w:rPr/>
            </w:pPr>
            <w:r>
              <w:rPr/>
              <w:t>​</w:t>
            </w:r>
          </w:p>
        </w:tc>
        <w:tc>
          <w:tcPr>
            <w:tcW w:w="5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4" w:type="dxa"/>
            <w:tcBorders/>
            <w:shd w:fill="CCEEFF" w:val="clear"/>
            <w:vAlign w:val="center"/>
          </w:tcPr>
          <w:p>
            <w:pPr>
              <w:pStyle w:val="TableContents"/>
              <w:spacing w:before="0" w:after="1"/>
              <w:ind w:left="0" w:right="0" w:hanging="0"/>
              <w:rPr/>
            </w:pPr>
            <w:r>
              <w:rPr/>
              <w:t>​</w:t>
            </w:r>
          </w:p>
        </w:tc>
        <w:tc>
          <w:tcPr>
            <w:tcW w:w="283" w:type="dxa"/>
            <w:tcBorders/>
            <w:shd w:fill="CCEEFF" w:val="clear"/>
            <w:vAlign w:val="center"/>
          </w:tcPr>
          <w:p>
            <w:pPr>
              <w:pStyle w:val="TableContents"/>
              <w:spacing w:before="0" w:after="1"/>
              <w:ind w:left="0" w:right="0" w:hanging="0"/>
              <w:rPr/>
            </w:pPr>
            <w:r>
              <w:rPr/>
              <w:t>​</w:t>
            </w:r>
          </w:p>
        </w:tc>
        <w:tc>
          <w:tcPr>
            <w:tcW w:w="5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425" w:type="dxa"/>
            <w:tcBorders/>
            <w:shd w:fill="CCEEFF" w:val="clear"/>
            <w:vAlign w:val="center"/>
          </w:tcPr>
          <w:p>
            <w:pPr>
              <w:pStyle w:val="TableContents"/>
              <w:spacing w:before="0" w:after="1"/>
              <w:ind w:left="0" w:right="0" w:hanging="0"/>
              <w:rPr/>
            </w:pPr>
            <w:r>
              <w:rPr/>
              <w:t>​</w:t>
            </w:r>
          </w:p>
        </w:tc>
      </w:tr>
      <w:tr>
        <w:trPr/>
        <w:tc>
          <w:tcPr>
            <w:tcW w:w="55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discount rate - finance lease</w:t>
            </w:r>
          </w:p>
        </w:tc>
        <w:tc>
          <w:tcPr>
            <w:tcW w:w="283" w:type="dxa"/>
            <w:tcBorders/>
            <w:shd w:fill="auto" w:val="clear"/>
            <w:vAlign w:val="center"/>
          </w:tcPr>
          <w:p>
            <w:pPr>
              <w:pStyle w:val="TableContents"/>
              <w:spacing w:before="0" w:after="1"/>
              <w:ind w:left="0" w:right="0" w:hanging="0"/>
              <w:rPr/>
            </w:pPr>
            <w:r>
              <w:rPr/>
              <w:t>​</w:t>
            </w:r>
          </w:p>
        </w:tc>
        <w:tc>
          <w:tcPr>
            <w:tcW w:w="5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6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83" w:type="dxa"/>
            <w:tcBorders/>
            <w:shd w:fill="auto" w:val="clear"/>
            <w:vAlign w:val="center"/>
          </w:tcPr>
          <w:p>
            <w:pPr>
              <w:pStyle w:val="TableContents"/>
              <w:spacing w:before="0" w:after="1"/>
              <w:ind w:left="0" w:right="0" w:hanging="0"/>
              <w:rPr/>
            </w:pPr>
            <w:r>
              <w:rPr/>
              <w:t>​</w:t>
            </w:r>
          </w:p>
        </w:tc>
        <w:tc>
          <w:tcPr>
            <w:tcW w:w="5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4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5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discount rate - operating leases</w:t>
            </w:r>
          </w:p>
        </w:tc>
        <w:tc>
          <w:tcPr>
            <w:tcW w:w="283" w:type="dxa"/>
            <w:tcBorders/>
            <w:shd w:fill="CCEEFF" w:val="clear"/>
            <w:vAlign w:val="center"/>
          </w:tcPr>
          <w:p>
            <w:pPr>
              <w:pStyle w:val="TableContents"/>
              <w:spacing w:before="0" w:after="1"/>
              <w:ind w:left="0" w:right="0" w:hanging="0"/>
              <w:rPr/>
            </w:pPr>
            <w:r>
              <w:rPr/>
              <w:t>​</w:t>
            </w:r>
          </w:p>
        </w:tc>
        <w:tc>
          <w:tcPr>
            <w:tcW w:w="5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83" w:type="dxa"/>
            <w:tcBorders/>
            <w:shd w:fill="CCEEFF" w:val="clear"/>
            <w:vAlign w:val="center"/>
          </w:tcPr>
          <w:p>
            <w:pPr>
              <w:pStyle w:val="TableContents"/>
              <w:spacing w:before="0" w:after="1"/>
              <w:ind w:left="0" w:right="0" w:hanging="0"/>
              <w:rPr/>
            </w:pPr>
            <w:r>
              <w:rPr/>
              <w:t>​</w:t>
            </w:r>
          </w:p>
        </w:tc>
        <w:tc>
          <w:tcPr>
            <w:tcW w:w="5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4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422" w:name="Tc_JIzaZm_bQEmhC51eKXtKig_10_5"/>
      <w:bookmarkStart w:id="1423" w:name="Tc_YTm9l7N_zEiK8JlyiaKjGw_10_2"/>
      <w:bookmarkStart w:id="1424" w:name="Tc_Hh1ri20xa0G7Aa3T0OF3yg_10_0"/>
      <w:bookmarkStart w:id="1425" w:name="Tc_r9csKsx880uwZw2-w-oGIA_9_0"/>
      <w:bookmarkStart w:id="1426" w:name="Tc_iQae2YLuZEa4g8PknZcpBA_8_0"/>
      <w:bookmarkStart w:id="1427" w:name="Tc_mP26t4GIKEeb80SdGauhRA_7_3"/>
      <w:bookmarkStart w:id="1428" w:name="Tc_OHHcASfdVkO-tFPMVx2Pgw_7_0"/>
      <w:bookmarkStart w:id="1429" w:name="Tc_D7KvLXtHqEKew7duWgu5gQ_6_0"/>
      <w:bookmarkStart w:id="1430" w:name="Tc_0PcVR-I6TkiMgCXK9cUbPQ_5_0"/>
      <w:bookmarkStart w:id="1431" w:name="Tc_TUAVQfrl30yC67vK2NEbLQ_4_0"/>
      <w:bookmarkStart w:id="1432" w:name="Tc_QuBLVgxk7kCwS0v1vzdSvw_3_0"/>
      <w:bookmarkStart w:id="1433" w:name="Tc_g4kcVeCJDECdyAQHg-7pKA_2_5"/>
      <w:bookmarkStart w:id="1434" w:name="Tc_2xnjB-0oykWPR_2TS4BYtg_2_2"/>
      <w:bookmarkStart w:id="1435" w:name="Tc_MhZV5oB5uUWdBW0VmACG-Q_2_0"/>
      <w:bookmarkStart w:id="1436" w:name="Tc_DLW6h3jMXkC1GAjYavMcFA_1_5"/>
      <w:bookmarkStart w:id="1437" w:name="Tc_VzNtj7GcdE2k2nk5Xpbx5w_1_2"/>
      <w:bookmarkStart w:id="1438" w:name="_793da0c6_4e99_436d_ae0d_09dcbfbc8df5"/>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r>
        <w:rPr>
          <w:rFonts w:ascii="Times New Roman;Times;serif" w:hAnsi="Times New Roman;Times;serif"/>
          <w:sz w:val="20"/>
        </w:rPr>
        <w:t xml:space="preserve">The aggregate payments of finance and operating lease liabilities subsequent to March 31, 2023, for the years ending December 31 are: </w:t>
      </w:r>
    </w:p>
    <w:tbl>
      <w:tblPr>
        <w:tblW w:w="4704" w:type="dxa"/>
        <w:jc w:val="left"/>
        <w:tblInd w:w="0" w:type="dxa"/>
        <w:tblCellMar>
          <w:top w:w="0" w:type="dxa"/>
          <w:left w:w="0" w:type="dxa"/>
          <w:bottom w:w="0" w:type="dxa"/>
          <w:right w:w="0" w:type="dxa"/>
        </w:tblCellMar>
      </w:tblPr>
      <w:tblGrid>
        <w:gridCol w:w="1891"/>
        <w:gridCol w:w="109"/>
        <w:gridCol w:w="394"/>
        <w:gridCol w:w="791"/>
        <w:gridCol w:w="109"/>
        <w:gridCol w:w="335"/>
        <w:gridCol w:w="1075"/>
      </w:tblGrid>
      <w:tr>
        <w:trPr/>
        <w:tc>
          <w:tcPr>
            <w:tcW w:w="1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00785" cy="175260"/>
                      <wp:effectExtent l="0" t="0" r="0" b="0"/>
                      <wp:wrapNone/>
                      <wp:docPr id="297" name="Frame297"/>
                      <a:graphic xmlns:a="http://schemas.openxmlformats.org/drawingml/2006/main">
                        <a:graphicData uri="http://schemas.microsoft.com/office/word/2010/wordprocessingShape">
                          <wps:wsp>
                            <wps:cNvSpPr txBox="1"/>
                            <wps:spPr>
                              <a:xfrm>
                                <a:off x="0" y="0"/>
                                <a:ext cx="1200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50190" cy="175260"/>
                      <wp:effectExtent l="0" t="0" r="0" b="0"/>
                      <wp:wrapNone/>
                      <wp:docPr id="299" name="Frame299"/>
                      <a:graphic xmlns:a="http://schemas.openxmlformats.org/drawingml/2006/main">
                        <a:graphicData uri="http://schemas.microsoft.com/office/word/2010/wordprocessingShape">
                          <wps:wsp>
                            <wps:cNvSpPr txBox="1"/>
                            <wps:spPr>
                              <a:xfrm>
                                <a:off x="0" y="0"/>
                                <a:ext cx="2501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02285" cy="175260"/>
                      <wp:effectExtent l="0" t="0" r="0" b="0"/>
                      <wp:wrapNone/>
                      <wp:docPr id="300" name="Frame300"/>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2725" cy="175260"/>
                      <wp:effectExtent l="0" t="0" r="0" b="0"/>
                      <wp:wrapNone/>
                      <wp:docPr id="302" name="Frame302"/>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82625" cy="175260"/>
                      <wp:effectExtent l="0" t="0" r="0" b="0"/>
                      <wp:wrapNone/>
                      <wp:docPr id="303" name="Frame303"/>
                      <a:graphic xmlns:a="http://schemas.openxmlformats.org/drawingml/2006/main">
                        <a:graphicData uri="http://schemas.microsoft.com/office/word/2010/wordprocessingShape">
                          <wps:wsp>
                            <wps:cNvSpPr txBox="1"/>
                            <wps:spPr>
                              <a:xfrm>
                                <a:off x="0" y="0"/>
                                <a:ext cx="6826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109" w:type="dxa"/>
            <w:tcBorders/>
            <w:shd w:fill="auto" w:val="clear"/>
            <w:vAlign w:val="center"/>
          </w:tcPr>
          <w:p>
            <w:pPr>
              <w:pStyle w:val="TableContents"/>
              <w:spacing w:before="0" w:after="1"/>
              <w:ind w:left="0" w:right="0" w:hanging="0"/>
              <w:rPr/>
            </w:pPr>
            <w:r>
              <w:rPr/>
              <w:t>​</w:t>
            </w:r>
          </w:p>
        </w:tc>
        <w:tc>
          <w:tcPr>
            <w:tcW w:w="14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1"/>
              <w:ind w:left="0" w:right="0" w:hanging="0"/>
              <w:rPr/>
            </w:pPr>
            <w:r>
              <w:rPr/>
              <w:t>​</w:t>
            </w:r>
          </w:p>
        </w:tc>
        <w:tc>
          <w:tcPr>
            <w:tcW w:w="39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shd w:fill="CCEEFF" w:val="clear"/>
            <w:vAlign w:val="center"/>
          </w:tcPr>
          <w:p>
            <w:pPr>
              <w:pStyle w:val="TableContents"/>
              <w:spacing w:before="0" w:after="1"/>
              <w:ind w:left="0" w:right="0" w:hanging="0"/>
              <w:rPr/>
            </w:pPr>
            <w:r>
              <w:rPr/>
              <w:t>​</w:t>
            </w:r>
          </w:p>
        </w:tc>
        <w:tc>
          <w:tcPr>
            <w:tcW w:w="3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1"/>
              <w:ind w:left="0" w:right="0" w:hanging="0"/>
              <w:rPr/>
            </w:pPr>
            <w:r>
              <w:rPr/>
              <w:t>​</w:t>
            </w:r>
          </w:p>
        </w:tc>
        <w:tc>
          <w:tcPr>
            <w:tcW w:w="394" w:type="dxa"/>
            <w:tcBorders/>
            <w:shd w:fill="auto" w:val="clear"/>
            <w:vAlign w:val="center"/>
          </w:tcPr>
          <w:p>
            <w:pPr>
              <w:pStyle w:val="TableContents"/>
              <w:spacing w:before="0" w:after="1"/>
              <w:ind w:left="0" w:right="0" w:hanging="0"/>
              <w:rPr/>
            </w:pPr>
            <w:r>
              <w:rPr/>
              <w:t> </w:t>
            </w:r>
          </w:p>
        </w:tc>
        <w:tc>
          <w:tcPr>
            <w:tcW w:w="7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shd w:fill="auto" w:val="clear"/>
            <w:vAlign w:val="center"/>
          </w:tcPr>
          <w:p>
            <w:pPr>
              <w:pStyle w:val="TableContents"/>
              <w:spacing w:before="0" w:after="1"/>
              <w:ind w:left="0" w:right="0" w:hanging="0"/>
              <w:rPr/>
            </w:pPr>
            <w:r>
              <w:rPr/>
              <w:t>​</w:t>
            </w:r>
          </w:p>
        </w:tc>
        <w:tc>
          <w:tcPr>
            <w:tcW w:w="335" w:type="dxa"/>
            <w:tcBorders/>
            <w:shd w:fill="auto" w:val="clear"/>
            <w:vAlign w:val="center"/>
          </w:tcPr>
          <w:p>
            <w:pPr>
              <w:pStyle w:val="TableContents"/>
              <w:spacing w:before="0" w:after="1"/>
              <w:ind w:left="0" w:right="0" w:hanging="0"/>
              <w:rPr/>
            </w:pPr>
            <w:r>
              <w:rPr/>
              <w:t> </w:t>
            </w:r>
          </w:p>
        </w:tc>
        <w:tc>
          <w:tcPr>
            <w:tcW w:w="10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1"/>
              <w:ind w:left="0" w:right="0" w:hanging="0"/>
              <w:rPr/>
            </w:pPr>
            <w:r>
              <w:rPr/>
              <w:t>​</w:t>
            </w:r>
          </w:p>
        </w:tc>
        <w:tc>
          <w:tcPr>
            <w:tcW w:w="394" w:type="dxa"/>
            <w:tcBorders/>
            <w:shd w:fill="CCEEFF" w:val="clear"/>
            <w:vAlign w:val="center"/>
          </w:tcPr>
          <w:p>
            <w:pPr>
              <w:pStyle w:val="TableContents"/>
              <w:spacing w:before="0" w:after="1"/>
              <w:ind w:left="0" w:right="0" w:hanging="0"/>
              <w:rPr/>
            </w:pPr>
            <w:r>
              <w:rPr/>
              <w:t> </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109" w:type="dxa"/>
            <w:tcBorders/>
            <w:shd w:fill="CCEEFF" w:val="clear"/>
            <w:vAlign w:val="center"/>
          </w:tcPr>
          <w:p>
            <w:pPr>
              <w:pStyle w:val="TableContents"/>
              <w:spacing w:before="0" w:after="1"/>
              <w:ind w:left="0" w:right="0" w:hanging="0"/>
              <w:rPr/>
            </w:pPr>
            <w:r>
              <w:rPr/>
              <w:t>​</w:t>
            </w:r>
          </w:p>
        </w:tc>
        <w:tc>
          <w:tcPr>
            <w:tcW w:w="335" w:type="dxa"/>
            <w:tcBorders/>
            <w:shd w:fill="CCEEFF" w:val="clear"/>
            <w:vAlign w:val="center"/>
          </w:tcPr>
          <w:p>
            <w:pPr>
              <w:pStyle w:val="TableContents"/>
              <w:spacing w:before="0" w:after="1"/>
              <w:ind w:left="0" w:right="0" w:hanging="0"/>
              <w:rPr/>
            </w:pPr>
            <w:r>
              <w:rPr/>
              <w:t> </w:t>
            </w:r>
          </w:p>
        </w:tc>
        <w:tc>
          <w:tcPr>
            <w:tcW w:w="10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auto" w:val="clear"/>
            <w:vAlign w:val="center"/>
          </w:tcPr>
          <w:p>
            <w:pPr>
              <w:pStyle w:val="TableContents"/>
              <w:spacing w:before="0" w:after="1"/>
              <w:ind w:left="0" w:right="0" w:hanging="0"/>
              <w:rPr/>
            </w:pPr>
            <w:r>
              <w:rPr/>
              <w:t>​</w:t>
            </w:r>
          </w:p>
        </w:tc>
        <w:tc>
          <w:tcPr>
            <w:tcW w:w="394" w:type="dxa"/>
            <w:tcBorders/>
            <w:shd w:fill="auto" w:val="clear"/>
            <w:vAlign w:val="center"/>
          </w:tcPr>
          <w:p>
            <w:pPr>
              <w:pStyle w:val="TableContents"/>
              <w:spacing w:before="0" w:after="1"/>
              <w:ind w:left="0" w:right="0" w:hanging="0"/>
              <w:rPr/>
            </w:pPr>
            <w:r>
              <w:rPr/>
              <w:t> </w:t>
            </w:r>
          </w:p>
        </w:tc>
        <w:tc>
          <w:tcPr>
            <w:tcW w:w="7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auto" w:val="clear"/>
            <w:vAlign w:val="center"/>
          </w:tcPr>
          <w:p>
            <w:pPr>
              <w:pStyle w:val="TableContents"/>
              <w:spacing w:before="0" w:after="1"/>
              <w:ind w:left="0" w:right="0" w:hanging="0"/>
              <w:rPr/>
            </w:pPr>
            <w:r>
              <w:rPr/>
              <w:t>​</w:t>
            </w:r>
          </w:p>
        </w:tc>
        <w:tc>
          <w:tcPr>
            <w:tcW w:w="335" w:type="dxa"/>
            <w:tcBorders/>
            <w:shd w:fill="auto" w:val="clear"/>
            <w:vAlign w:val="center"/>
          </w:tcPr>
          <w:p>
            <w:pPr>
              <w:pStyle w:val="TableContents"/>
              <w:spacing w:before="0" w:after="1"/>
              <w:ind w:left="0" w:right="0" w:hanging="0"/>
              <w:rPr/>
            </w:pPr>
            <w:r>
              <w:rPr/>
              <w:t> </w:t>
            </w:r>
          </w:p>
        </w:tc>
        <w:tc>
          <w:tcPr>
            <w:tcW w:w="107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spacing w:before="0" w:after="1"/>
              <w:ind w:left="0" w:right="0" w:hanging="0"/>
              <w:rPr/>
            </w:pPr>
            <w:r>
              <w:rPr/>
              <w:t>​</w:t>
            </w:r>
          </w:p>
        </w:tc>
        <w:tc>
          <w:tcPr>
            <w:tcW w:w="394" w:type="dxa"/>
            <w:tcBorders/>
            <w:shd w:fill="CCEEFF" w:val="clear"/>
            <w:vAlign w:val="center"/>
          </w:tcPr>
          <w:p>
            <w:pPr>
              <w:pStyle w:val="TableContents"/>
              <w:spacing w:before="0" w:after="1"/>
              <w:ind w:left="0" w:right="0" w:hanging="0"/>
              <w:rPr/>
            </w:pPr>
            <w:r>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spacing w:before="0" w:after="1"/>
              <w:ind w:left="0" w:right="0" w:hanging="0"/>
              <w:rPr/>
            </w:pPr>
            <w:r>
              <w:rPr/>
              <w:t>​</w:t>
            </w:r>
          </w:p>
        </w:tc>
        <w:tc>
          <w:tcPr>
            <w:tcW w:w="335" w:type="dxa"/>
            <w:tcBorders/>
            <w:shd w:fill="CCEEFF" w:val="clear"/>
            <w:vAlign w:val="center"/>
          </w:tcPr>
          <w:p>
            <w:pPr>
              <w:pStyle w:val="TableContents"/>
              <w:spacing w:before="0" w:after="1"/>
              <w:ind w:left="0" w:right="0" w:hanging="0"/>
              <w:rPr/>
            </w:pPr>
            <w:r>
              <w:rPr/>
              <w:t>​</w:t>
            </w:r>
          </w:p>
        </w:tc>
        <w:tc>
          <w:tcPr>
            <w:tcW w:w="10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1"/>
              <w:ind w:left="0" w:right="0" w:hanging="0"/>
              <w:rPr/>
            </w:pPr>
            <w:r>
              <w:rPr/>
              <w:t>​</w:t>
            </w:r>
          </w:p>
        </w:tc>
        <w:tc>
          <w:tcPr>
            <w:tcW w:w="39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3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spacing w:before="0" w:after="1"/>
              <w:ind w:left="0" w:right="0" w:hanging="0"/>
              <w:rPr/>
            </w:pPr>
            <w:r>
              <w:rPr/>
              <w:t>​</w:t>
            </w:r>
          </w:p>
        </w:tc>
        <w:tc>
          <w:tcPr>
            <w:tcW w:w="394" w:type="dxa"/>
            <w:tcBorders/>
            <w:shd w:fill="CCEEFF" w:val="clear"/>
            <w:vAlign w:val="center"/>
          </w:tcPr>
          <w:p>
            <w:pPr>
              <w:pStyle w:val="TableContents"/>
              <w:spacing w:before="0" w:after="1"/>
              <w:ind w:left="0" w:right="0" w:hanging="0"/>
              <w:rPr/>
            </w:pPr>
            <w:r>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109" w:type="dxa"/>
            <w:tcBorders/>
            <w:shd w:fill="CCEEFF" w:val="clear"/>
            <w:vAlign w:val="center"/>
          </w:tcPr>
          <w:p>
            <w:pPr>
              <w:pStyle w:val="TableContents"/>
              <w:spacing w:before="0" w:after="1"/>
              <w:ind w:left="0" w:right="0" w:hanging="0"/>
              <w:rPr/>
            </w:pPr>
            <w:r>
              <w:rPr/>
              <w:t>​</w:t>
            </w:r>
          </w:p>
        </w:tc>
        <w:tc>
          <w:tcPr>
            <w:tcW w:w="335" w:type="dxa"/>
            <w:tcBorders/>
            <w:shd w:fill="CCEEFF" w:val="clear"/>
            <w:vAlign w:val="center"/>
          </w:tcPr>
          <w:p>
            <w:pPr>
              <w:pStyle w:val="TableContents"/>
              <w:spacing w:before="0" w:after="1"/>
              <w:ind w:left="0" w:right="0" w:hanging="0"/>
              <w:rPr/>
            </w:pPr>
            <w:r>
              <w:rPr/>
              <w:t>​</w:t>
            </w:r>
          </w:p>
        </w:tc>
        <w:tc>
          <w:tcPr>
            <w:tcW w:w="107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1,192</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auto" w:val="clear"/>
            <w:vAlign w:val="center"/>
          </w:tcPr>
          <w:p>
            <w:pPr>
              <w:pStyle w:val="TableContents"/>
              <w:spacing w:before="0" w:after="1"/>
              <w:ind w:left="0" w:right="0" w:hanging="0"/>
              <w:rPr/>
            </w:pPr>
            <w:r>
              <w:rPr/>
              <w:t>​</w:t>
            </w:r>
          </w:p>
        </w:tc>
        <w:tc>
          <w:tcPr>
            <w:tcW w:w="39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auto" w:val="clear"/>
            <w:vAlign w:val="center"/>
          </w:tcPr>
          <w:p>
            <w:pPr>
              <w:pStyle w:val="TableContents"/>
              <w:spacing w:before="0" w:after="1"/>
              <w:ind w:left="0" w:right="0" w:hanging="0"/>
              <w:rPr/>
            </w:pPr>
            <w:r>
              <w:rPr/>
              <w:t>​</w:t>
            </w:r>
          </w:p>
        </w:tc>
        <w:tc>
          <w:tcPr>
            <w:tcW w:w="33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lease liabilities</w:t>
            </w:r>
          </w:p>
        </w:tc>
        <w:tc>
          <w:tcPr>
            <w:tcW w:w="109" w:type="dxa"/>
            <w:tcBorders/>
            <w:shd w:fill="CCEEFF" w:val="clear"/>
            <w:vAlign w:val="center"/>
          </w:tcPr>
          <w:p>
            <w:pPr>
              <w:pStyle w:val="TableContents"/>
              <w:spacing w:before="0" w:after="1"/>
              <w:ind w:left="0" w:right="0" w:hanging="0"/>
              <w:rPr/>
            </w:pPr>
            <w:r>
              <w:rPr/>
              <w:t>​</w:t>
            </w:r>
          </w:p>
        </w:tc>
        <w:tc>
          <w:tcPr>
            <w:tcW w:w="39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278</w:t>
            </w:r>
          </w:p>
        </w:tc>
        <w:tc>
          <w:tcPr>
            <w:tcW w:w="109" w:type="dxa"/>
            <w:tcBorders/>
            <w:shd w:fill="CCEEFF" w:val="clear"/>
            <w:vAlign w:val="center"/>
          </w:tcPr>
          <w:p>
            <w:pPr>
              <w:pStyle w:val="TableContents"/>
              <w:spacing w:before="0" w:after="1"/>
              <w:ind w:left="0" w:right="0" w:hanging="0"/>
              <w:rPr/>
            </w:pPr>
            <w:r>
              <w:rPr/>
              <w:t>​</w:t>
            </w:r>
          </w:p>
        </w:tc>
        <w:tc>
          <w:tcPr>
            <w:tcW w:w="33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075"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1,026</w:t>
            </w:r>
          </w:p>
        </w:tc>
      </w:tr>
    </w:tbl>
    <w:p>
      <w:pPr>
        <w:pStyle w:val="TextBody"/>
        <w:spacing w:before="0" w:after="0"/>
        <w:ind w:left="0" w:right="0" w:hanging="0"/>
        <w:rPr/>
      </w:pPr>
      <w:r>
        <w:rPr/>
        <w:t>​</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439" w:name="Tc_6cbdUaRjREKTpYXszuDMYg_13_5"/>
      <w:bookmarkStart w:id="1440" w:name="Tc_QWzyCPbHmkGY23Q2pSywRw_13_2"/>
      <w:bookmarkStart w:id="1441" w:name="Tc_G9bPjxJGg0G4hYNqn4LokA_13_0"/>
      <w:bookmarkStart w:id="1442" w:name="Tc_DaqB057S8kujjSyJPoSrFw_12_0"/>
      <w:bookmarkStart w:id="1443" w:name="Tc_w3AywjttwEui02-Aef8laA_11_0"/>
      <w:bookmarkStart w:id="1444" w:name="Tc_QHkS-DsmT02gwBshjK6s4A_10_0"/>
      <w:bookmarkStart w:id="1445" w:name="Tc_pFPLAOQLskedVKWOlJ9RNg_8_0"/>
      <w:bookmarkStart w:id="1446" w:name="Tc_DTaAY3RJ90idxF9kP_oP2w_7_0"/>
      <w:bookmarkStart w:id="1447" w:name="Tc_eS2haKmqHE-GUfv-w_CPEg_6_0"/>
      <w:bookmarkStart w:id="1448" w:name="Tc_agHxjl49-0KzekeQYO2kiw_5_0"/>
      <w:bookmarkStart w:id="1449" w:name="Tc_CDRGuL6ldUGXkipIH_ucNA_4_0"/>
      <w:bookmarkStart w:id="1450" w:name="Tc_XQaYtez7dEmJIqaL3VBqjQ_3_5"/>
      <w:bookmarkStart w:id="1451" w:name="Tc_tKk0b2HqgkeUyCD8vfYsTg_3_2"/>
      <w:bookmarkStart w:id="1452" w:name="Tc_qMNgW9fNL0-d3xsg67ACmQ_3_0"/>
      <w:bookmarkStart w:id="1453" w:name="Tc_AmmfyiZglEmz40-QGulXxQ_2_5"/>
      <w:bookmarkStart w:id="1454" w:name="Tc_X6bFNq3-GkGpcHiNb8ETJQ_2_2"/>
      <w:bookmarkStart w:id="1455" w:name="Tc_ggqvbaRHOE6GD_4xl01aQw_1_5"/>
      <w:bookmarkStart w:id="1456" w:name="Tc_yDADSabjj02m-fqKhO4fSg_1_2"/>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r>
        <w:rPr>
          <w:rFonts w:ascii="Times New Roman;Times;serif" w:hAnsi="Times New Roman;Times;serif"/>
          <w:b/>
          <w:sz w:val="20"/>
        </w:rPr>
        <w:t>8. Other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assets consist of the following:</w:t>
      </w:r>
    </w:p>
    <w:p>
      <w:pPr>
        <w:pStyle w:val="TextBody"/>
        <w:spacing w:before="0" w:after="0"/>
        <w:ind w:left="0" w:right="0" w:hanging="0"/>
        <w:rPr/>
      </w:pPr>
      <w:r>
        <w:rPr/>
        <w:t>​</w:t>
      </w:r>
    </w:p>
    <w:tbl>
      <w:tblPr>
        <w:tblW w:w="7448" w:type="dxa"/>
        <w:jc w:val="left"/>
        <w:tblInd w:w="0" w:type="dxa"/>
        <w:tblCellMar>
          <w:top w:w="0" w:type="dxa"/>
          <w:left w:w="0" w:type="dxa"/>
          <w:bottom w:w="0" w:type="dxa"/>
          <w:right w:w="0" w:type="dxa"/>
        </w:tblCellMar>
      </w:tblPr>
      <w:tblGrid>
        <w:gridCol w:w="4711"/>
        <w:gridCol w:w="326"/>
        <w:gridCol w:w="214"/>
        <w:gridCol w:w="686"/>
        <w:gridCol w:w="326"/>
        <w:gridCol w:w="252"/>
        <w:gridCol w:w="933"/>
      </w:tblGrid>
      <w:tr>
        <w:trPr/>
        <w:tc>
          <w:tcPr>
            <w:tcW w:w="4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991485" cy="175260"/>
                      <wp:effectExtent l="0" t="0" r="0" b="0"/>
                      <wp:wrapNone/>
                      <wp:docPr id="304" name="Frame304"/>
                      <a:graphic xmlns:a="http://schemas.openxmlformats.org/drawingml/2006/main">
                        <a:graphicData uri="http://schemas.microsoft.com/office/word/2010/wordprocessingShape">
                          <wps:wsp>
                            <wps:cNvSpPr txBox="1"/>
                            <wps:spPr>
                              <a:xfrm>
                                <a:off x="0" y="0"/>
                                <a:ext cx="2991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5890" cy="175260"/>
                      <wp:effectExtent l="0" t="0" r="0" b="0"/>
                      <wp:wrapNone/>
                      <wp:docPr id="306" name="Frame306"/>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35610" cy="175260"/>
                      <wp:effectExtent l="0" t="0" r="0" b="0"/>
                      <wp:wrapNone/>
                      <wp:docPr id="307" name="Frame307"/>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60020" cy="175260"/>
                      <wp:effectExtent l="0" t="0" r="0" b="0"/>
                      <wp:wrapNone/>
                      <wp:docPr id="309" name="Frame309"/>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92455" cy="175260"/>
                      <wp:effectExtent l="0" t="0" r="0" b="0"/>
                      <wp:wrapNone/>
                      <wp:docPr id="310" name="Frame310"/>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9,648</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9,035</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Homesite sales receivable</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12,414</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10,086</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Notes receivable, net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4,127</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3,976</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8,830</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9,393</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Straight-line rent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 </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2,546</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1,063</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11,487</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 </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Retained interest investments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5,802</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8,197</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interest receivable for Senior Notes held by SPE</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other assets</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57,660</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61,729</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Accounts Receivable,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Company’s accounts receivable, net primarily includes leasing receivables, membership initiation fees, hospitality receivables and other receivables. At each reporting period, accounts receivable in the scope of </w:t>
      </w:r>
      <w:r>
        <w:rPr>
          <w:rFonts w:ascii="Times New Roman;Times;serif" w:hAnsi="Times New Roman;Times;serif"/>
          <w:i/>
          <w:sz w:val="20"/>
        </w:rPr>
        <w:t>Financial Instruments—Credit Losses (</w:t>
      </w:r>
      <w:r>
        <w:rPr>
          <w:rFonts w:ascii="Times New Roman;Times;serif" w:hAnsi="Times New Roman;Times;serif"/>
          <w:sz w:val="20"/>
        </w:rPr>
        <w:t xml:space="preserve">Topic 326) are pooled by type and judgements are made based on historical losses and expected credit losses based on economic trends to determine the allowance for credit losses primarily using the aging method. Actual losses could differ from those estimates. Write-offs are recorded when the Company concludes that all or a portion of the receivable is no longer collectible and </w:t>
      </w:r>
      <w:r>
        <w:rPr>
          <w:rFonts w:ascii="inherit" w:hAnsi="inherit"/>
          <w:sz w:val="20"/>
        </w:rPr>
        <w:t xml:space="preserve">recoveries on receivables previously charged-off are credited to the allowance. </w:t>
      </w:r>
      <w:r>
        <w:rPr>
          <w:rFonts w:ascii="Times New Roman;Times;serif" w:hAnsi="Times New Roman;Times;serif"/>
          <w:sz w:val="20"/>
        </w:rPr>
        <w:t>As of both March 31, 2023 and December 31, 2022, accounts receivable were presented net of allowance for credit losses of $0.3 million. As of both March 31, 2023 and December 31, 2022, there was no allowance for lease related receivables. During the three months ended March 31, 2023, allowance for credit losses related to accounts receivable, net increased less than $0.1 million.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Homesite Sales Receivable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Homesite sales receivable from contracts with customers include estimated homesite residuals and certain estimated fees that are recognized as revenue at the time of sale to homebuilders, subject to constraints. Any change in circumstances from the estimated amounts will be updated at each reporting period. The receivable will be collected as the homebuilders build the homes and sell to retail consumers, which can occur over multiple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457" w:name="Tc_bV3z_H7isUmT_0Q8mjE4lQ_7_5"/>
      <w:bookmarkStart w:id="1458" w:name="Tc_4A4hKjLLjEuS6uYS3IfoHA_7_2"/>
      <w:bookmarkStart w:id="1459" w:name="Tc_MV4UCi3hE02vEnH6x9GqNA_7_0"/>
      <w:bookmarkStart w:id="1460" w:name="Tc_iStJ_hmBY0aV2ISey90BOg_6_0"/>
      <w:bookmarkStart w:id="1461" w:name="Tc_miBCQhCqD0Kua5haPkLGRw_5_0"/>
      <w:bookmarkStart w:id="1462" w:name="Tc_WyTgTs68zEqw3MZSYgpVyA_4_0"/>
      <w:bookmarkStart w:id="1463" w:name="Tc_ZQMgOHwILUiR2HT5t8u4hA_3_5"/>
      <w:bookmarkStart w:id="1464" w:name="Tc_hP06j4qmTE2poizNIobUiw_3_2"/>
      <w:bookmarkStart w:id="1465" w:name="Tc_UE5Z242fE0KXtmQc2GlXqw_3_0"/>
      <w:bookmarkStart w:id="1466" w:name="Tc_Ne9I7duEnUus2zfRirs0-Q_2_5"/>
      <w:bookmarkStart w:id="1467" w:name="Tc_4GfehGcpMUGqfsFMGdnN5A_2_2"/>
      <w:bookmarkStart w:id="1468" w:name="Tc_00M2b7gKvEuX1yI61XcQAA_1_5"/>
      <w:bookmarkStart w:id="1469" w:name="Tc_D8KcYhX2g0COlEs3rrfPDA_1_2"/>
      <w:bookmarkStart w:id="1470" w:name="Tc_-O5rHwbrvU-3qpffeQSOfw_5_5"/>
      <w:bookmarkStart w:id="1471" w:name="Tc_TgMgSFSgUkaVbiCjDcYx2w_5_2"/>
      <w:bookmarkStart w:id="1472" w:name="Tc_wksjZlJyhEi1L6VxxXnACw_5_0"/>
      <w:bookmarkStart w:id="1473" w:name="Tc_UTM_317sdEmQsXBpcryKfA_4_0"/>
      <w:bookmarkStart w:id="1474" w:name="Tc_DsAovJF4PkGCrF6_yuq-7g_3_0"/>
      <w:bookmarkStart w:id="1475" w:name="Tc_gnMIBwEhKUGSZ8R3s4WcwA_2_5"/>
      <w:bookmarkStart w:id="1476" w:name="Tc_3dVVEO3Rm0yOvEYsiRIezg_2_2"/>
      <w:bookmarkStart w:id="1477" w:name="Tc_SAZXbclCh0miIA6TRf5h1w_2_0"/>
      <w:bookmarkStart w:id="1478" w:name="Tc_4xj4WlY5WEK0WSN0zrjmfw_1_5"/>
      <w:bookmarkStart w:id="1479" w:name="Tc_kqCvbKeMgEmd26Qe0g3akA_1_2"/>
      <w:bookmarkStart w:id="1480" w:name="_99653f97_e9a9_4e0a_a801_df07c7ca1ecb"/>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r>
        <w:rPr>
          <w:rFonts w:ascii="Times New Roman;Times;serif" w:hAnsi="Times New Roman;Times;serif"/>
          <w:sz w:val="20"/>
        </w:rPr>
        <w:t>The following table presents the changes in homesite sales receivable:</w:t>
      </w:r>
    </w:p>
    <w:p>
      <w:pPr>
        <w:pStyle w:val="TextBody"/>
        <w:spacing w:before="0" w:after="0"/>
        <w:ind w:left="0" w:right="0" w:hanging="0"/>
        <w:rPr/>
      </w:pPr>
      <w:r>
        <w:rPr/>
        <w:t>​</w:t>
      </w:r>
    </w:p>
    <w:tbl>
      <w:tblPr>
        <w:tblW w:w="7346" w:type="dxa"/>
        <w:jc w:val="left"/>
        <w:tblInd w:w="0" w:type="dxa"/>
        <w:tblCellMar>
          <w:top w:w="0" w:type="dxa"/>
          <w:left w:w="0" w:type="dxa"/>
          <w:bottom w:w="0" w:type="dxa"/>
          <w:right w:w="0" w:type="dxa"/>
        </w:tblCellMar>
      </w:tblPr>
      <w:tblGrid>
        <w:gridCol w:w="4561"/>
        <w:gridCol w:w="109"/>
        <w:gridCol w:w="299"/>
        <w:gridCol w:w="962"/>
        <w:gridCol w:w="109"/>
        <w:gridCol w:w="310"/>
        <w:gridCol w:w="996"/>
      </w:tblGrid>
      <w:tr>
        <w:trPr/>
        <w:tc>
          <w:tcPr>
            <w:tcW w:w="4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896235" cy="175260"/>
                      <wp:effectExtent l="0" t="0" r="0" b="0"/>
                      <wp:wrapNone/>
                      <wp:docPr id="311" name="Frame311"/>
                      <a:graphic xmlns:a="http://schemas.openxmlformats.org/drawingml/2006/main">
                        <a:graphicData uri="http://schemas.microsoft.com/office/word/2010/wordprocessingShape">
                          <wps:wsp>
                            <wps:cNvSpPr txBox="1"/>
                            <wps:spPr>
                              <a:xfrm>
                                <a:off x="0" y="0"/>
                                <a:ext cx="2896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2" name="Frame3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89865" cy="175260"/>
                      <wp:effectExtent l="0" t="0" r="0" b="0"/>
                      <wp:wrapNone/>
                      <wp:docPr id="313" name="Frame313"/>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10870" cy="175260"/>
                      <wp:effectExtent l="0" t="0" r="0" b="0"/>
                      <wp:wrapNone/>
                      <wp:docPr id="314" name="Frame314"/>
                      <a:graphic xmlns:a="http://schemas.openxmlformats.org/drawingml/2006/main">
                        <a:graphicData uri="http://schemas.microsoft.com/office/word/2010/wordprocessingShape">
                          <wps:wsp>
                            <wps:cNvSpPr txBox="1"/>
                            <wps:spPr>
                              <a:xfrm>
                                <a:off x="0" y="0"/>
                                <a:ext cx="610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96850" cy="175260"/>
                      <wp:effectExtent l="0" t="0" r="0" b="0"/>
                      <wp:wrapNone/>
                      <wp:docPr id="316" name="Frame316"/>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32460" cy="175260"/>
                      <wp:effectExtent l="0" t="0" r="0" b="0"/>
                      <wp:wrapNone/>
                      <wp:docPr id="317" name="Frame317"/>
                      <a:graphic xmlns:a="http://schemas.openxmlformats.org/drawingml/2006/main">
                        <a:graphicData uri="http://schemas.microsoft.com/office/word/2010/wordprocessingShape">
                          <wps:wsp>
                            <wps:cNvSpPr txBox="1"/>
                            <wps:spPr>
                              <a:xfrm>
                                <a:off x="0" y="0"/>
                                <a:ext cx="632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5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09" w:type="dxa"/>
            <w:tcBorders/>
            <w:shd w:fill="auto" w:val="clear"/>
            <w:vAlign w:val="center"/>
          </w:tcPr>
          <w:p>
            <w:pPr>
              <w:pStyle w:val="TableContents"/>
              <w:spacing w:before="0" w:after="0"/>
              <w:ind w:left="0" w:right="0" w:hanging="0"/>
              <w:jc w:val="center"/>
              <w:rPr/>
            </w:pPr>
            <w:r>
              <w:rPr/>
              <w:t>​</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45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10,086</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7,651</w:t>
            </w:r>
          </w:p>
        </w:tc>
      </w:tr>
      <w:tr>
        <w:trPr/>
        <w:tc>
          <w:tcPr>
            <w:tcW w:w="45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Increases due to revenue recognized for homesites sold</w:t>
            </w:r>
          </w:p>
        </w:tc>
        <w:tc>
          <w:tcPr>
            <w:tcW w:w="109"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4,234</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r>
      <w:tr>
        <w:trPr/>
        <w:tc>
          <w:tcPr>
            <w:tcW w:w="45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Decreases due to amounts received</w:t>
            </w:r>
          </w:p>
        </w:tc>
        <w:tc>
          <w:tcPr>
            <w:tcW w:w="109"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109"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45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end of period</w:t>
            </w:r>
          </w:p>
        </w:tc>
        <w:tc>
          <w:tcPr>
            <w:tcW w:w="109" w:type="dxa"/>
            <w:tcBorders/>
            <w:shd w:fill="auto" w:val="clear"/>
            <w:vAlign w:val="center"/>
          </w:tcPr>
          <w:p>
            <w:pPr>
              <w:pStyle w:val="TableContents"/>
              <w:spacing w:before="0" w:after="0"/>
              <w:ind w:left="0" w:right="0" w:hanging="0"/>
              <w:rPr/>
            </w:pPr>
            <w:r>
              <w:rPr/>
              <w:t>​</w:t>
            </w:r>
          </w:p>
        </w:tc>
        <w:tc>
          <w:tcPr>
            <w:tcW w:w="29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6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12,414</w:t>
            </w:r>
          </w:p>
        </w:tc>
        <w:tc>
          <w:tcPr>
            <w:tcW w:w="109" w:type="dxa"/>
            <w:tcBorders/>
            <w:shd w:fill="auto" w:val="clear"/>
            <w:vAlign w:val="center"/>
          </w:tcPr>
          <w:p>
            <w:pPr>
              <w:pStyle w:val="TableContents"/>
              <w:spacing w:before="0" w:after="0"/>
              <w:ind w:left="0" w:right="0" w:hanging="0"/>
              <w:rPr/>
            </w:pPr>
            <w:r>
              <w:rPr/>
              <w:t>​</w:t>
            </w:r>
          </w:p>
        </w:tc>
        <w:tc>
          <w:tcPr>
            <w:tcW w:w="31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9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8,835</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Notes Receivable,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Notes receivable, net consists of the following:</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543"/>
        <w:gridCol w:w="326"/>
        <w:gridCol w:w="286"/>
        <w:gridCol w:w="575"/>
        <w:gridCol w:w="326"/>
        <w:gridCol w:w="272"/>
        <w:gridCol w:w="877"/>
      </w:tblGrid>
      <w:tr>
        <w:trPr/>
        <w:tc>
          <w:tcPr>
            <w:tcW w:w="75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789805" cy="175260"/>
                      <wp:effectExtent l="0" t="0" r="0" b="0"/>
                      <wp:wrapNone/>
                      <wp:docPr id="318" name="Frame318"/>
                      <a:graphic xmlns:a="http://schemas.openxmlformats.org/drawingml/2006/main">
                        <a:graphicData uri="http://schemas.microsoft.com/office/word/2010/wordprocessingShape">
                          <wps:wsp>
                            <wps:cNvSpPr txBox="1"/>
                            <wps:spPr>
                              <a:xfrm>
                                <a:off x="0" y="0"/>
                                <a:ext cx="4789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81610" cy="175260"/>
                      <wp:effectExtent l="0" t="0" r="0" b="0"/>
                      <wp:wrapNone/>
                      <wp:docPr id="320" name="Frame320"/>
                      <a:graphic xmlns:a="http://schemas.openxmlformats.org/drawingml/2006/main">
                        <a:graphicData uri="http://schemas.microsoft.com/office/word/2010/wordprocessingShape">
                          <wps:wsp>
                            <wps:cNvSpPr txBox="1"/>
                            <wps:spPr>
                              <a:xfrm>
                                <a:off x="0" y="0"/>
                                <a:ext cx="181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65125" cy="175260"/>
                      <wp:effectExtent l="0" t="0" r="0" b="0"/>
                      <wp:wrapNone/>
                      <wp:docPr id="321" name="Frame321"/>
                      <a:graphic xmlns:a="http://schemas.openxmlformats.org/drawingml/2006/main">
                        <a:graphicData uri="http://schemas.microsoft.com/office/word/2010/wordprocessingShape">
                          <wps:wsp>
                            <wps:cNvSpPr txBox="1"/>
                            <wps:spPr>
                              <a:xfrm>
                                <a:off x="0" y="0"/>
                                <a:ext cx="365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72720" cy="175260"/>
                      <wp:effectExtent l="0" t="0" r="0" b="0"/>
                      <wp:wrapNone/>
                      <wp:docPr id="323" name="Frame323"/>
                      <a:graphic xmlns:a="http://schemas.openxmlformats.org/drawingml/2006/main">
                        <a:graphicData uri="http://schemas.microsoft.com/office/word/2010/wordprocessingShape">
                          <wps:wsp>
                            <wps:cNvSpPr txBox="1"/>
                            <wps:spPr>
                              <a:xfrm>
                                <a:off x="0" y="0"/>
                                <a:ext cx="172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56895" cy="175260"/>
                      <wp:effectExtent l="0" t="0" r="0" b="0"/>
                      <wp:wrapNone/>
                      <wp:docPr id="324" name="Frame324"/>
                      <a:graphic xmlns:a="http://schemas.openxmlformats.org/drawingml/2006/main">
                        <a:graphicData uri="http://schemas.microsoft.com/office/word/2010/wordprocessingShape">
                          <wps:wsp>
                            <wps:cNvSpPr txBox="1"/>
                            <wps:spPr>
                              <a:xfrm>
                                <a:off x="0" y="0"/>
                                <a:ext cx="556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6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14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5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114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5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Various interest-bearing homebuilder notes, secured by the real estate sold — bearing interest at a rate of 5.5%, due May 2023</w:t>
            </w:r>
          </w:p>
        </w:tc>
        <w:tc>
          <w:tcPr>
            <w:tcW w:w="326" w:type="dxa"/>
            <w:tcBorders/>
            <w:shd w:fill="CCEEFF" w:val="clear"/>
            <w:vAlign w:val="center"/>
          </w:tcPr>
          <w:p>
            <w:pPr>
              <w:pStyle w:val="TableContents"/>
              <w:spacing w:before="0" w:after="0"/>
              <w:ind w:left="0" w:right="0" w:hanging="0"/>
              <w:rPr/>
            </w:pPr>
            <w:r>
              <w:rPr/>
              <w:t>​</w:t>
            </w:r>
          </w:p>
        </w:tc>
        <w:tc>
          <w:tcPr>
            <w:tcW w:w="2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26" w:type="dxa"/>
            <w:tcBorders/>
            <w:shd w:fill="CCEEFF" w:val="clear"/>
            <w:vAlign w:val="center"/>
          </w:tcPr>
          <w:p>
            <w:pPr>
              <w:pStyle w:val="TableContents"/>
              <w:spacing w:before="0" w:after="0"/>
              <w:ind w:left="0" w:right="0" w:hanging="0"/>
              <w:rPr/>
            </w:pPr>
            <w:r>
              <w:rPr/>
              <w:t>​</w:t>
            </w:r>
          </w:p>
        </w:tc>
        <w:tc>
          <w:tcPr>
            <w:tcW w:w="27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r>
      <w:tr>
        <w:trPr/>
        <w:tc>
          <w:tcPr>
            <w:tcW w:w="75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Interest-bearing notes with JV partner, secured by the partner's membership interest in the JV — bearing interest at a rate of 8.0%, due May 2039</w:t>
            </w:r>
          </w:p>
        </w:tc>
        <w:tc>
          <w:tcPr>
            <w:tcW w:w="326" w:type="dxa"/>
            <w:tcBorders/>
            <w:shd w:fill="auto" w:val="clear"/>
            <w:vAlign w:val="center"/>
          </w:tcPr>
          <w:p>
            <w:pPr>
              <w:pStyle w:val="TableContents"/>
              <w:spacing w:before="0" w:after="0"/>
              <w:ind w:left="0" w:right="0" w:hanging="0"/>
              <w:rPr/>
            </w:pPr>
            <w:r>
              <w:rPr/>
              <w:t>​</w:t>
            </w:r>
          </w:p>
        </w:tc>
        <w:tc>
          <w:tcPr>
            <w:tcW w:w="286" w:type="dxa"/>
            <w:tcBorders/>
            <w:shd w:fill="auto" w:val="clear"/>
            <w:vAlign w:val="center"/>
          </w:tcPr>
          <w:p>
            <w:pPr>
              <w:pStyle w:val="TableContents"/>
              <w:spacing w:before="0" w:after="0"/>
              <w:ind w:left="0" w:right="0" w:hanging="0"/>
              <w:rPr/>
            </w:pPr>
            <w:r>
              <w:rPr/>
              <w:t>​</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auto" w:val="clear"/>
            <w:vAlign w:val="center"/>
          </w:tcPr>
          <w:p>
            <w:pPr>
              <w:pStyle w:val="TableContents"/>
              <w:spacing w:before="0" w:after="0"/>
              <w:ind w:left="0" w:right="0" w:hanging="0"/>
              <w:rPr/>
            </w:pPr>
            <w:r>
              <w:rPr/>
              <w:t>​</w:t>
            </w:r>
          </w:p>
        </w:tc>
        <w:tc>
          <w:tcPr>
            <w:tcW w:w="272" w:type="dxa"/>
            <w:tcBorders/>
            <w:shd w:fill="auto" w:val="clear"/>
            <w:vAlign w:val="center"/>
          </w:tcPr>
          <w:p>
            <w:pPr>
              <w:pStyle w:val="TableContents"/>
              <w:spacing w:before="0" w:after="0"/>
              <w:ind w:left="0" w:right="0" w:hanging="0"/>
              <w:rPr/>
            </w:pPr>
            <w:r>
              <w:rPr/>
              <w:t>​</w:t>
            </w:r>
          </w:p>
        </w:tc>
        <w:tc>
          <w:tcPr>
            <w:tcW w:w="8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75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Non-interest-bearing note with a tenant for tenant improvements, due October 2025</w:t>
            </w:r>
          </w:p>
        </w:tc>
        <w:tc>
          <w:tcPr>
            <w:tcW w:w="326" w:type="dxa"/>
            <w:tcBorders/>
            <w:shd w:fill="CCEEFF" w:val="clear"/>
            <w:vAlign w:val="center"/>
          </w:tcPr>
          <w:p>
            <w:pPr>
              <w:pStyle w:val="TableContents"/>
              <w:spacing w:before="0" w:after="0"/>
              <w:ind w:left="0" w:right="0" w:hanging="0"/>
              <w:rPr/>
            </w:pPr>
            <w:r>
              <w:rPr/>
              <w:t>​</w:t>
            </w:r>
          </w:p>
        </w:tc>
        <w:tc>
          <w:tcPr>
            <w:tcW w:w="286" w:type="dxa"/>
            <w:tcBorders/>
            <w:shd w:fill="CCEEFF" w:val="clear"/>
            <w:vAlign w:val="center"/>
          </w:tcPr>
          <w:p>
            <w:pPr>
              <w:pStyle w:val="TableContents"/>
              <w:spacing w:before="0" w:after="0"/>
              <w:ind w:left="0" w:right="0" w:hanging="0"/>
              <w:rPr/>
            </w:pPr>
            <w:r>
              <w:rPr/>
              <w:t>​</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spacing w:before="0" w:after="0"/>
              <w:ind w:left="0" w:right="0" w:hanging="0"/>
              <w:rPr/>
            </w:pPr>
            <w:r>
              <w:rPr/>
              <w:t>​</w:t>
            </w:r>
          </w:p>
        </w:tc>
        <w:tc>
          <w:tcPr>
            <w:tcW w:w="272" w:type="dxa"/>
            <w:tcBorders/>
            <w:shd w:fill="CCEEFF" w:val="clear"/>
            <w:vAlign w:val="center"/>
          </w:tcPr>
          <w:p>
            <w:pPr>
              <w:pStyle w:val="TableContents"/>
              <w:spacing w:before="0" w:after="0"/>
              <w:ind w:left="0" w:right="0" w:hanging="0"/>
              <w:rPr/>
            </w:pPr>
            <w:r>
              <w:rPr/>
              <w:t>​</w:t>
            </w:r>
          </w:p>
        </w:tc>
        <w:tc>
          <w:tcPr>
            <w:tcW w:w="8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75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 note, secured by certain real estate, bearing interest at a rate of 5.0% due November 2023</w:t>
            </w:r>
          </w:p>
        </w:tc>
        <w:tc>
          <w:tcPr>
            <w:tcW w:w="326" w:type="dxa"/>
            <w:tcBorders/>
            <w:shd w:fill="auto" w:val="clear"/>
            <w:vAlign w:val="center"/>
          </w:tcPr>
          <w:p>
            <w:pPr>
              <w:pStyle w:val="TableContents"/>
              <w:spacing w:before="0" w:after="0"/>
              <w:ind w:left="0" w:right="0" w:hanging="0"/>
              <w:rPr/>
            </w:pPr>
            <w:r>
              <w:rPr/>
              <w:t>​</w:t>
            </w:r>
          </w:p>
        </w:tc>
        <w:tc>
          <w:tcPr>
            <w:tcW w:w="28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0"/>
              <w:ind w:left="0" w:right="0" w:hanging="0"/>
              <w:rPr/>
            </w:pPr>
            <w:r>
              <w:rPr/>
              <w:t>​</w:t>
            </w:r>
          </w:p>
        </w:tc>
        <w:tc>
          <w:tcPr>
            <w:tcW w:w="27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754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notes receivable, net</w:t>
            </w:r>
          </w:p>
        </w:tc>
        <w:tc>
          <w:tcPr>
            <w:tcW w:w="326" w:type="dxa"/>
            <w:tcBorders/>
            <w:shd w:fill="CCEEFF" w:val="clear"/>
            <w:vAlign w:val="center"/>
          </w:tcPr>
          <w:p>
            <w:pPr>
              <w:pStyle w:val="TableContents"/>
              <w:spacing w:before="0" w:after="0"/>
              <w:ind w:left="0" w:right="0" w:hanging="0"/>
              <w:rPr/>
            </w:pPr>
            <w:r>
              <w:rPr/>
              <w:t>​</w:t>
            </w:r>
          </w:p>
        </w:tc>
        <w:tc>
          <w:tcPr>
            <w:tcW w:w="28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57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810</w:t>
            </w:r>
          </w:p>
        </w:tc>
        <w:tc>
          <w:tcPr>
            <w:tcW w:w="326" w:type="dxa"/>
            <w:tcBorders/>
            <w:shd w:fill="CCEEFF" w:val="clear"/>
            <w:vAlign w:val="center"/>
          </w:tcPr>
          <w:p>
            <w:pPr>
              <w:pStyle w:val="TableContents"/>
              <w:spacing w:before="0" w:after="0"/>
              <w:ind w:left="0" w:right="0" w:hanging="0"/>
              <w:rPr/>
            </w:pPr>
            <w:r>
              <w:rPr/>
              <w:t>​</w:t>
            </w:r>
          </w:p>
        </w:tc>
        <w:tc>
          <w:tcPr>
            <w:tcW w:w="27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7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1,742</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may allow homebuilders to pay for homesites during the home construction period in the form of homebuilder notes. The Company evaluates the carrying value of all notes receivable and the need for an allowance for credit losses at each reporting period. As of both March 31, 2023 and December 31, 2022, notes receivable were presented net of allowance for credit losses of $0.1 million. As of both March 31, 2023 and December 31, 2022, accrued interest receivable related to notes receivable was $0.1 million, which is included within other assets on the condensed consolidated balance sheets.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Other assets as of March 31, 2023 and December 31, 2022, include $6.7 million and $7.3 million, respectively, of escrow deposits primarily related to financing and development requirements for certain of the Company’s projects. Other assets as of March 31, 2023 and December 31, 2022, also include $3.7 million and $4.6 million, respectively, for the fair value of derivative assets. See Note 6.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Retained Interest Investments</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20"/>
        </w:rPr>
        <w:t>The Company has a beneficial interest in certain bankruptcy-remote qualified SPEs used in the installment sale monetization of certain sales of timberlands in 2008. The SPEs’ assets are not available to satisfy the Company’s liabilities or obligations and the liabilities of the SPEs are not the Company’s liabilities or obligations. Therefore, the SPEs’ assets and liabilities are not consolidated in the Company’s condensed consolidated financial statements as of March 31, 2023 and December 31, 2022. The Company’s continuing involvement with the SPEs is the receipt of the net interest payments and the estimated remaining principal of $6.6 million to be received at the end of the installment notes’ fifteen-year maturity period in 2024. During the three months ended March 31, 2023, an installment note matured and the Company received $2.7 million of remaining principal. The Company had a beneficial or retained interest investment related to these SPEs of $5.8 million and $8.2 million as of March 31, 2023 and December 31, 2022, respectively, recorded in other assets on the Company’s condensed consolidated balance sheets.</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481" w:name="Tc_TDnSgI9wLUuy5KJIbqhG6g_26_13"/>
      <w:bookmarkStart w:id="1482" w:name="Tc_CVBbNiW7CUCHCCmRFFmYhg_26_9"/>
      <w:bookmarkStart w:id="1483" w:name="Tc_muLLnFpL_ku1AbCPI5OPrg_26_0"/>
      <w:bookmarkStart w:id="1484" w:name="Tc_0BBXvo22Zk-vZqexZWZB8Q_25_0"/>
      <w:bookmarkStart w:id="1485" w:name="Tc_0IDKli-ks0mUVv2erxoz6g_24_0"/>
      <w:bookmarkStart w:id="1486" w:name="Tc_p2j12YLPQUSNRvH_Vr-v5w_23_7"/>
      <w:bookmarkStart w:id="1487" w:name="Tc_nuSRrbnd60W7vopWZa5hYA_23_4"/>
      <w:bookmarkStart w:id="1488" w:name="Tc_fPgb3WOi1ESt-fxU99hokQ_23_2"/>
      <w:bookmarkStart w:id="1489" w:name="Tc_MOzCnEBrXEKMNKlZQ1G__w_23_0"/>
      <w:bookmarkStart w:id="1490" w:name="Tc_rHdCweXRQUS-eALyHpUQQg_22_7"/>
      <w:bookmarkStart w:id="1491" w:name="Tc_eGXNry-nV0O1kcP-kqatww_22_4"/>
      <w:bookmarkStart w:id="1492" w:name="Tc_uO06xyxP-EKJCr-Eg4rXpA_22_2"/>
      <w:bookmarkStart w:id="1493" w:name="Tc_k-Ne2TDvH0ukE-CozQhy7w_22_0"/>
      <w:bookmarkStart w:id="1494" w:name="Tc_wj6qDVvX8UyQ7pJmwBKhIw_21_7"/>
      <w:bookmarkStart w:id="1495" w:name="Tc_EQa0F-ZLeUqjh-hQ7WktrQ_21_4"/>
      <w:bookmarkStart w:id="1496" w:name="Tc_axRP4Oss2EeMXbrzmvRERQ_21_2"/>
      <w:bookmarkStart w:id="1497" w:name="Tc_i0OwCLsOSESuOB87NRgx3w_21_0"/>
      <w:bookmarkStart w:id="1498" w:name="Tc_YnrNHsu_kUumTtX_yuw5qQ_20_7"/>
      <w:bookmarkStart w:id="1499" w:name="Tc_7WB11Y7SFUeRJ3xD2PwHIg_20_6"/>
      <w:bookmarkStart w:id="1500" w:name="Tc_YFMPGlJcs0aFGkM5VGS06Q_20_4"/>
      <w:bookmarkStart w:id="1501" w:name="Tc_GICGQc2mwkC4cV3XrmO43w_20_2"/>
      <w:bookmarkStart w:id="1502" w:name="Tc_UHgTte5gYUeqMsT9RWkNEQ_20_0"/>
      <w:bookmarkStart w:id="1503" w:name="Tc_hB9vVKbb3k62rg5nd9w84w_19_7"/>
      <w:bookmarkStart w:id="1504" w:name="Tc_bBh4TiZkSEagRWE9VlnQKA_19_4"/>
      <w:bookmarkStart w:id="1505" w:name="Tc_NQuYESShb06HPehPlGnhQQ_19_2"/>
      <w:bookmarkStart w:id="1506" w:name="Tc_ts4CzDfFW0yQEqsq4HZ-IA_19_0"/>
      <w:bookmarkStart w:id="1507" w:name="Tc_iDnaK_-YTEyEUirTpAZFQg_18_7"/>
      <w:bookmarkStart w:id="1508" w:name="Tc_wdk7dygiIEiEfd736Of0_A_18_4"/>
      <w:bookmarkStart w:id="1509" w:name="Tc_Su9pByqLdUudHr4Kbc-xbg_18_2"/>
      <w:bookmarkStart w:id="1510" w:name="Tc_MyA6Iwi3uES-TQvh0kucLw_18_0"/>
      <w:bookmarkStart w:id="1511" w:name="Tc_N1rGwkQesk-HxsJDRYhAlA_17_7"/>
      <w:bookmarkStart w:id="1512" w:name="Tc_kuy45q2Li0yhzIQIJpKOlQ_17_4"/>
      <w:bookmarkStart w:id="1513" w:name="Tc_vYAhnXgn_EiROr5xk03hUA_17_2"/>
      <w:bookmarkStart w:id="1514" w:name="Tc_0mKT4mk5MEGAxR-G44p2TQ_17_0"/>
      <w:bookmarkStart w:id="1515" w:name="Tc_IYXhR5d5Sk63XpYkvxzzmA_16_7"/>
      <w:bookmarkStart w:id="1516" w:name="Tc_UAsC1yjVjES8axhcXb2w7g_16_4"/>
      <w:bookmarkStart w:id="1517" w:name="Tc_t5YY7GR4O0mxtlgk9urG0A_16_2"/>
      <w:bookmarkStart w:id="1518" w:name="Tc_ykNSulGDo0SgMCuC84Pc9g_16_0"/>
      <w:bookmarkStart w:id="1519" w:name="Tc_2dQb-qHhz0yc_qDjZuRE-A_15_7"/>
      <w:bookmarkStart w:id="1520" w:name="Tc_8UpONzEvlUeGxVOkhLrm_Q_15_4"/>
      <w:bookmarkStart w:id="1521" w:name="Tc_voKKCdqArUmrHOx-A2KOJQ_15_2"/>
      <w:bookmarkStart w:id="1522" w:name="Tc_J5YV3zz4d0K1f-4DkblFxA_15_0"/>
      <w:bookmarkStart w:id="1523" w:name="Tc_Qx4jJsptXk-gWZl2Vvu2Xw_14_7"/>
      <w:bookmarkStart w:id="1524" w:name="Tc_QHWEKIWeZku_NsaRBHzwhQ_14_4"/>
      <w:bookmarkStart w:id="1525" w:name="Tc_4m5KR0A4ukiE6osmvOUhuw_14_2"/>
      <w:bookmarkStart w:id="1526" w:name="Tc_iy_6PkDCGUKupxvHqsJEWg_14_0"/>
      <w:bookmarkStart w:id="1527" w:name="Tc_e1RF9CtxBU2ET6-lo-Ox-g_13_7"/>
      <w:bookmarkStart w:id="1528" w:name="Tc_HG4Z-ruqpEGWaqGfqEJwqA_13_4"/>
      <w:bookmarkStart w:id="1529" w:name="Tc_iX0ve1uGB02bSJ15dSb9oA_13_2"/>
      <w:bookmarkStart w:id="1530" w:name="Tc_RNjuGxNNx0GRuumbuk9xtg_13_0"/>
      <w:bookmarkStart w:id="1531" w:name="Tc_eyybBxkDFES8Uu1bPGP0Rg_12_7"/>
      <w:bookmarkStart w:id="1532" w:name="Tc_B35-6buxgkGdDbifN_W-ag_12_4"/>
      <w:bookmarkStart w:id="1533" w:name="Tc_AXgSyzCjm0CV2tm2jlHoJQ_12_2"/>
      <w:bookmarkStart w:id="1534" w:name="Tc_tFApQG9FGkGCbfeQaOpCqA_12_0"/>
      <w:bookmarkStart w:id="1535" w:name="Tc_nrwTXKlL7kqXspte91QnAQ_11_7"/>
      <w:bookmarkStart w:id="1536" w:name="Tc_uouPQkgpXk6RziM6Fdv6rg_11_4"/>
      <w:bookmarkStart w:id="1537" w:name="Tc_ANcvxoaIGkK4NIWpLqLqFA_11_2"/>
      <w:bookmarkStart w:id="1538" w:name="Tc_PlIAnGqhDkaKdWW8uG-19w_11_0"/>
      <w:bookmarkStart w:id="1539" w:name="Tc_6sJXsleWm0mSXKJltWlM2A_10_7"/>
      <w:bookmarkStart w:id="1540" w:name="Tc_bPFgW0lJZkCxy21A1SCo3g_10_4"/>
      <w:bookmarkStart w:id="1541" w:name="Tc_3j_ZM_5f1kygiN3WzCbtUQ_10_2"/>
      <w:bookmarkStart w:id="1542" w:name="Tc_5WGPQJ334UiOIilk0MZ20A_10_0"/>
      <w:bookmarkStart w:id="1543" w:name="Tc_4qsWYx72N0-_QPT7Z_HkRA_9_7"/>
      <w:bookmarkStart w:id="1544" w:name="Tc_bFXMZuAWnEyxLyMIlwfdrA_9_4"/>
      <w:bookmarkStart w:id="1545" w:name="Tc_KA6O3WuorEitYg9f8tKBWw_9_2"/>
      <w:bookmarkStart w:id="1546" w:name="Tc_oHjAwKKZhE2ZAtWsD5HIdQ_9_0"/>
      <w:bookmarkStart w:id="1547" w:name="Tc_YREFLpddm0WwgT8xq7SjhQ_8_7"/>
      <w:bookmarkStart w:id="1548" w:name="Tc_ibPOFPiWwkyLo_XVzDVpvw_8_4"/>
      <w:bookmarkStart w:id="1549" w:name="Tc_A9otNIDhW0SHOBczpjK8Yg_8_2"/>
      <w:bookmarkStart w:id="1550" w:name="Tc_EQgeNI3UbU2ca1EBlk9eXw_8_0"/>
      <w:bookmarkStart w:id="1551" w:name="Tc_f8ysVMWzNESOPB_58fG5EQ_7_7"/>
      <w:bookmarkStart w:id="1552" w:name="Tc_4qRYFzjRJEe2DqOjrh-xUw_7_4"/>
      <w:bookmarkStart w:id="1553" w:name="Tc_sgDjsgF_KEyWS2XNxjmvPg_7_2"/>
      <w:bookmarkStart w:id="1554" w:name="Tc_oeXFsxjoM02RF8FFptfzYw_7_0"/>
      <w:bookmarkStart w:id="1555" w:name="Tc_KM235Tx14EmEyesHnTOyYA_6_7"/>
      <w:bookmarkStart w:id="1556" w:name="Tc_Wy3YLAWj5kaxHeaWXAOKJw_6_4"/>
      <w:bookmarkStart w:id="1557" w:name="Tc_DyZ1Qk5k3ECQxxSWT_C0kg_6_2"/>
      <w:bookmarkStart w:id="1558" w:name="Tc_ANn6lFH72E242_MB9eJR1Q_6_0"/>
      <w:bookmarkStart w:id="1559" w:name="Tc_I0pFfWneH0qMZahaODXCCQ_5_7"/>
      <w:bookmarkStart w:id="1560" w:name="Tc_Lem4gdKrokOrHlz74q9FlA_5_4"/>
      <w:bookmarkStart w:id="1561" w:name="Tc_wJnWnHYLuECDtLYGuXcfHQ_5_2"/>
      <w:bookmarkStart w:id="1562" w:name="Tc_7nhF1GafHkmLGyGO17L2Ew_5_0"/>
      <w:bookmarkStart w:id="1563" w:name="Tc_dP6vjd8ZPUibebfAVoVbow_4_7"/>
      <w:bookmarkStart w:id="1564" w:name="Tc_Wwcursb3fk-wOFbQ0nTriw_4_4"/>
      <w:bookmarkStart w:id="1565" w:name="Tc_hiuwxvs6XkO_xP8cvG2X9A_4_2"/>
      <w:bookmarkStart w:id="1566" w:name="Tc_GrmjU7ggekOBk8r3aHfJ_g_4_0"/>
      <w:bookmarkStart w:id="1567" w:name="Tc_BfKd5KeWsEe8MuxLwKZq7w_3_7"/>
      <w:bookmarkStart w:id="1568" w:name="Tc_kXn8qIMgWk-nUL175GqRpw_3_4"/>
      <w:bookmarkStart w:id="1569" w:name="Tc_Sk_UZIJbyUibJ57vQ7_lsA_3_2"/>
      <w:bookmarkStart w:id="1570" w:name="Tc_JD0jNW1rZU2999FzXEDRHg_3_0"/>
      <w:bookmarkStart w:id="1571" w:name="Tc_LNkZEj9d3kaRmD-RHQzt5w_2_13"/>
      <w:bookmarkStart w:id="1572" w:name="Tc_fVpyBpkv7kO7MxnAmfpXQw_2_9"/>
      <w:bookmarkStart w:id="1573" w:name="Tc_gBNwvQgTxEuY49VPrmG8Fw_2_7"/>
      <w:bookmarkStart w:id="1574" w:name="Tc_d0q_1-hrZ0qMmwtShH3PRQ_2_4"/>
      <w:bookmarkStart w:id="1575" w:name="Tc_RXBiinvI6kC91wfYKRdHSA_2_2"/>
      <w:bookmarkStart w:id="1576" w:name="Tc_bLA0fSQjlEeXI-LRpBrkiA_2_0"/>
      <w:bookmarkStart w:id="1577" w:name="Tc_RquGXySOvUi3oWP9Pm3fAQ_1_13"/>
      <w:bookmarkStart w:id="1578" w:name="Tc_e4tnpZQ5GU68vVjw0QvLfg_1_9"/>
      <w:bookmarkStart w:id="1579" w:name="Tc_ptDjHkncVEineqFTghschw_1_6"/>
      <w:bookmarkStart w:id="1580" w:name="Tc__p8K-EWeXECQi_HQgU8OFQ_1_4"/>
      <w:bookmarkStart w:id="1581" w:name="Tc_mFOQNT4yg0SXt7mW-v-0ig_1_2"/>
      <w:bookmarkStart w:id="1582" w:name="_976cd18f_31bd_4ba0_8809_bdeb86425476"/>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r>
        <w:rPr>
          <w:rFonts w:ascii="Times New Roman;Times;serif" w:hAnsi="Times New Roman;Times;serif"/>
          <w:b/>
          <w:sz w:val="20"/>
        </w:rPr>
        <w:t>9. Debt,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Debt consists of the following: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88"/>
        <w:gridCol w:w="109"/>
        <w:gridCol w:w="1152"/>
        <w:gridCol w:w="109"/>
        <w:gridCol w:w="1276"/>
        <w:gridCol w:w="109"/>
        <w:gridCol w:w="1671"/>
        <w:gridCol w:w="256"/>
        <w:gridCol w:w="109"/>
        <w:gridCol w:w="278"/>
        <w:gridCol w:w="983"/>
        <w:gridCol w:w="109"/>
        <w:gridCol w:w="109"/>
        <w:gridCol w:w="305"/>
        <w:gridCol w:w="1242"/>
      </w:tblGrid>
      <w:tr>
        <w:trPr/>
        <w:tc>
          <w:tcPr>
            <w:tcW w:w="2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516380" cy="175260"/>
                      <wp:effectExtent l="0" t="0" r="0" b="0"/>
                      <wp:wrapNone/>
                      <wp:docPr id="325" name="Frame325"/>
                      <a:graphic xmlns:a="http://schemas.openxmlformats.org/drawingml/2006/main">
                        <a:graphicData uri="http://schemas.microsoft.com/office/word/2010/wordprocessingShape">
                          <wps:wsp>
                            <wps:cNvSpPr txBox="1"/>
                            <wps:spPr>
                              <a:xfrm>
                                <a:off x="0" y="0"/>
                                <a:ext cx="1516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731520" cy="175260"/>
                      <wp:effectExtent l="0" t="0" r="0" b="0"/>
                      <wp:wrapNone/>
                      <wp:docPr id="327" name="Frame327"/>
                      <a:graphic xmlns:a="http://schemas.openxmlformats.org/drawingml/2006/main">
                        <a:graphicData uri="http://schemas.microsoft.com/office/word/2010/wordprocessingShape">
                          <wps:wsp>
                            <wps:cNvSpPr txBox="1"/>
                            <wps:spPr>
                              <a:xfrm>
                                <a:off x="0" y="0"/>
                                <a:ext cx="731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810260" cy="175260"/>
                      <wp:effectExtent l="0" t="0" r="0" b="0"/>
                      <wp:wrapNone/>
                      <wp:docPr id="329" name="Frame329"/>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061085" cy="175260"/>
                      <wp:effectExtent l="0" t="0" r="0" b="0"/>
                      <wp:wrapNone/>
                      <wp:docPr id="331" name="Frame331"/>
                      <a:graphic xmlns:a="http://schemas.openxmlformats.org/drawingml/2006/main">
                        <a:graphicData uri="http://schemas.microsoft.com/office/word/2010/wordprocessingShape">
                          <wps:wsp>
                            <wps:cNvSpPr txBox="1"/>
                            <wps:spPr>
                              <a:xfrm>
                                <a:off x="0" y="0"/>
                                <a:ext cx="1061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62560" cy="175260"/>
                      <wp:effectExtent l="0" t="0" r="0" b="0"/>
                      <wp:wrapNone/>
                      <wp:docPr id="332" name="Frame332"/>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9215" cy="175260"/>
                      <wp:effectExtent l="0" t="0" r="0" b="0"/>
                      <wp:wrapNone/>
                      <wp:docPr id="333" name="Frame3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76530" cy="175260"/>
                      <wp:effectExtent l="0" t="0" r="0" b="0"/>
                      <wp:wrapNone/>
                      <wp:docPr id="334" name="Frame334"/>
                      <a:graphic xmlns:a="http://schemas.openxmlformats.org/drawingml/2006/main">
                        <a:graphicData uri="http://schemas.microsoft.com/office/word/2010/wordprocessingShape">
                          <wps:wsp>
                            <wps:cNvSpPr txBox="1"/>
                            <wps:spPr>
                              <a:xfrm>
                                <a:off x="0" y="0"/>
                                <a:ext cx="176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24205" cy="175260"/>
                      <wp:effectExtent l="0" t="0" r="0" b="0"/>
                      <wp:wrapNone/>
                      <wp:docPr id="335" name="Frame335"/>
                      <a:graphic xmlns:a="http://schemas.openxmlformats.org/drawingml/2006/main">
                        <a:graphicData uri="http://schemas.microsoft.com/office/word/2010/wordprocessingShape">
                          <wps:wsp>
                            <wps:cNvSpPr txBox="1"/>
                            <wps:spPr>
                              <a:xfrm>
                                <a:off x="0" y="0"/>
                                <a:ext cx="624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93675" cy="175260"/>
                      <wp:effectExtent l="0" t="0" r="0" b="0"/>
                      <wp:wrapNone/>
                      <wp:docPr id="338" name="Frame338"/>
                      <a:graphic xmlns:a="http://schemas.openxmlformats.org/drawingml/2006/main">
                        <a:graphicData uri="http://schemas.microsoft.com/office/word/2010/wordprocessingShape">
                          <wps:wsp>
                            <wps:cNvSpPr txBox="1"/>
                            <wps:spPr>
                              <a:xfrm>
                                <a:off x="0" y="0"/>
                                <a:ext cx="193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88670" cy="175260"/>
                      <wp:effectExtent l="0" t="0" r="0" b="0"/>
                      <wp:wrapNone/>
                      <wp:docPr id="339" name="Frame339"/>
                      <a:graphic xmlns:a="http://schemas.openxmlformats.org/drawingml/2006/main">
                        <a:graphicData uri="http://schemas.microsoft.com/office/word/2010/wordprocessingShape">
                          <wps:wsp>
                            <wps:cNvSpPr txBox="1"/>
                            <wps:spPr>
                              <a:xfrm>
                                <a:off x="0" y="0"/>
                                <a:ext cx="788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88"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5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109" w:type="dxa"/>
            <w:tcBorders/>
            <w:shd w:fill="auto" w:val="clear"/>
            <w:vAlign w:val="center"/>
          </w:tcPr>
          <w:p>
            <w:pPr>
              <w:pStyle w:val="TableContents"/>
              <w:spacing w:before="0" w:after="0"/>
              <w:ind w:left="0" w:right="0" w:hanging="0"/>
              <w:rPr/>
            </w:pPr>
            <w:r>
              <w:rPr/>
              <w:t>​</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Terms</w:t>
            </w:r>
          </w:p>
        </w:tc>
        <w:tc>
          <w:tcPr>
            <w:tcW w:w="109" w:type="dxa"/>
            <w:tcBorders/>
            <w:shd w:fill="auto" w:val="clear"/>
            <w:vAlign w:val="center"/>
          </w:tcPr>
          <w:p>
            <w:pPr>
              <w:pStyle w:val="TableContents"/>
              <w:spacing w:before="0" w:after="0"/>
              <w:ind w:left="0" w:right="0" w:hanging="0"/>
              <w:jc w:val="center"/>
              <w:rPr/>
            </w:pPr>
            <w:r>
              <w:rPr/>
              <w:t>​</w:t>
            </w:r>
          </w:p>
        </w:tc>
        <w:tc>
          <w:tcPr>
            <w:tcW w:w="16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 Rate March 31, 2023</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5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388"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Watersound Origins Crossings JV Loan (insured by HUD) </w:t>
            </w:r>
            <w:r>
              <w:rPr>
                <w:rFonts w:ascii="Times New Roman;Times;serif" w:hAnsi="Times New Roman;Times;serif"/>
                <w:sz w:val="14"/>
              </w:rPr>
              <w:t>(a)</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April 2058</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52,926</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44,015</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Pier Park Resort Hotel JV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April 2027</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7"/>
              </w:rPr>
              <w:t>SOFR plus 2.1%</w:t>
            </w:r>
            <w:r>
              <w:rPr>
                <w:rFonts w:ascii="Times New Roman;Times;serif" w:hAnsi="Times New Roman;Times;serif"/>
                <w:sz w:val="16"/>
              </w:rPr>
              <w:t xml:space="preserve"> </w:t>
            </w:r>
            <w:r>
              <w:rPr>
                <w:rFonts w:ascii="Times New Roman;Times;serif" w:hAnsi="Times New Roman;Times;serif"/>
                <w:sz w:val="13"/>
              </w:rPr>
              <w:t>(b)</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52,500</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45,209</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PPN JV Loan</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November 2025</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42,291</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42,555</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Pearl Hotel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2032</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Fixed</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36,630</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37,000</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PPC JV Loan (insured by HUD)</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June 2060</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35,055</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35,180</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Mexico Beach Crossings JV Loan (insured by HUD)</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2064</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Fixed</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32,769</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23,374</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PPC II JV Loan (insured by HUD)</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May 2057</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22,522</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22,623</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Watercrest JV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June 2047</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LIBOR plus 2.2%</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20,925</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21,038</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North Bay Landing Loan</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September 2024</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LIBOR plus 2.5%, floor 3.2%</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19,595</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18,222</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Watersound Camp Creek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2047</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7"/>
              </w:rPr>
              <w:t>SOFR plus 2.1%, floor 2.6%</w:t>
            </w:r>
            <w:r>
              <w:rPr>
                <w:rFonts w:ascii="Times New Roman;Times;serif" w:hAnsi="Times New Roman;Times;serif"/>
                <w:sz w:val="16"/>
              </w:rPr>
              <w:t xml:space="preserve"> </w:t>
            </w:r>
            <w:r>
              <w:rPr>
                <w:rFonts w:ascii="Times New Roman;Times;serif" w:hAnsi="Times New Roman;Times;serif"/>
                <w:sz w:val="13"/>
              </w:rPr>
              <w:t>(c)</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16,772</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13,131</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Breakfast Point Hotel Loan</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November 2042</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7"/>
              </w:rPr>
              <w:t>Fixed</w:t>
            </w:r>
            <w:r>
              <w:rPr>
                <w:rFonts w:ascii="Times New Roman;Times;serif" w:hAnsi="Times New Roman;Times;serif"/>
                <w:sz w:val="16"/>
              </w:rPr>
              <w:t xml:space="preserve"> </w:t>
            </w:r>
            <w:r>
              <w:rPr>
                <w:rFonts w:ascii="Times New Roman;Times;serif" w:hAnsi="Times New Roman;Times;serif"/>
                <w:sz w:val="13"/>
              </w:rPr>
              <w:t>(d)</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16,266</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16,376</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Airport Hotel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2025</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LIBOR plus 2.0%, floor 3.0%</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14,642</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14,642</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Hotel Indigo Loan</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October 2028</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7"/>
              </w:rPr>
              <w:t>SOFR plus 2.7%, floor 2.7%</w:t>
            </w:r>
            <w:r>
              <w:rPr>
                <w:rFonts w:ascii="Times New Roman;Times;serif" w:hAnsi="Times New Roman;Times;serif"/>
                <w:sz w:val="16"/>
              </w:rPr>
              <w:t xml:space="preserve"> </w:t>
            </w:r>
            <w:r>
              <w:rPr>
                <w:rFonts w:ascii="Times New Roman;Times;serif" w:hAnsi="Times New Roman;Times;serif"/>
                <w:sz w:val="13"/>
              </w:rPr>
              <w:t>(e)</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14,189</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10,427</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Lodge 30A JV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January 2028</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Fixed</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13,707</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13,304</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Watersound Town Center Grocery Loan</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August 2031</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LIBOR plus 2.0%, floor 2.2%</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10,579</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11,379</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Topsail Hotel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July 2027</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SOFR plus 2.1%, floor 3.0%</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7,855</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5,199</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Beckrich Building III Loan</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August 2029</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LIBOR plus 1.7%</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5,014</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5,020</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Self-Storage Facility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November 2025</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LIBOR plus 2.4%, floor 2.9%</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4,666</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4,666</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Community Development District debt</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May 2023-May 2039</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 to 6.0</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 </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3,972</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4,113</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Beach Homes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May 2029</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LIBOR plus 1.7%</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 </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1,438</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1,447</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Pier Park Outparcel Loan</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2027</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LIBOR plus 1.7%</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1,292</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1,300</w:t>
            </w:r>
          </w:p>
        </w:tc>
      </w:tr>
      <w:tr>
        <w:trPr/>
        <w:tc>
          <w:tcPr>
            <w:tcW w:w="2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WaterColor Crossings Loan</w:t>
            </w:r>
          </w:p>
        </w:tc>
        <w:tc>
          <w:tcPr>
            <w:tcW w:w="109" w:type="dxa"/>
            <w:tcBorders/>
            <w:shd w:fill="auto" w:val="clear"/>
            <w:vAlign w:val="center"/>
          </w:tcPr>
          <w:p>
            <w:pPr>
              <w:pStyle w:val="TableContents"/>
              <w:spacing w:before="0" w:after="0"/>
              <w:ind w:left="0" w:right="0" w:hanging="0"/>
              <w:rPr/>
            </w:pPr>
            <w:r>
              <w:rPr/>
              <w:t>​</w:t>
            </w:r>
          </w:p>
        </w:tc>
        <w:tc>
          <w:tcPr>
            <w:tcW w:w="115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February 2029</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LIBOR plus 1.7%</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0"/>
              <w:ind w:left="0" w:right="0" w:hanging="0"/>
              <w:rPr/>
            </w:pPr>
            <w:r>
              <w:rPr/>
              <w:t>​</w:t>
            </w:r>
          </w:p>
        </w:tc>
        <w:tc>
          <w:tcPr>
            <w:tcW w:w="27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1,172</w:t>
            </w:r>
          </w:p>
        </w:tc>
        <w:tc>
          <w:tcPr>
            <w:tcW w:w="10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1,191</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Total principal outstanding</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7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426,777</w:t>
            </w:r>
          </w:p>
        </w:tc>
        <w:tc>
          <w:tcPr>
            <w:tcW w:w="10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391,411</w:t>
            </w:r>
          </w:p>
        </w:tc>
      </w:tr>
      <w:tr>
        <w:trPr/>
        <w:tc>
          <w:tcPr>
            <w:tcW w:w="3649" w:type="dxa"/>
            <w:gridSpan w:val="3"/>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Unamortized discount and debt issuance costs</w:t>
            </w:r>
          </w:p>
        </w:tc>
        <w:tc>
          <w:tcPr>
            <w:tcW w:w="109"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671"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7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(6,088)</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(5,551)</w:t>
            </w:r>
          </w:p>
        </w:tc>
      </w:tr>
      <w:tr>
        <w:trPr/>
        <w:tc>
          <w:tcPr>
            <w:tcW w:w="2388"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Total debt, net</w:t>
            </w:r>
          </w:p>
        </w:tc>
        <w:tc>
          <w:tcPr>
            <w:tcW w:w="109" w:type="dxa"/>
            <w:tcBorders/>
            <w:shd w:fill="CCEEFF" w:val="clear"/>
            <w:vAlign w:val="center"/>
          </w:tcPr>
          <w:p>
            <w:pPr>
              <w:pStyle w:val="TableContents"/>
              <w:spacing w:before="0" w:after="0"/>
              <w:ind w:left="0" w:right="0" w:hanging="0"/>
              <w:rPr/>
            </w:pPr>
            <w:r>
              <w:rPr/>
              <w:t>​</w:t>
            </w:r>
          </w:p>
        </w:tc>
        <w:tc>
          <w:tcPr>
            <w:tcW w:w="115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671"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7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98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420,689</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0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w:t>
            </w:r>
          </w:p>
        </w:tc>
        <w:tc>
          <w:tcPr>
            <w:tcW w:w="124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8"/>
              </w:rPr>
            </w:pPr>
            <w:r>
              <w:rPr>
                <w:rFonts w:ascii="Times New Roman;Times;serif" w:hAnsi="Times New Roman;Times;serif"/>
                <w:b/>
                <w:sz w:val="18"/>
              </w:rPr>
              <w:t>385,860</w:t>
            </w:r>
          </w:p>
        </w:tc>
      </w:tr>
    </w:tbl>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0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In March 2023, the Watersound Origins Crossings JV Loan was refinanced. The previous loan had an interest rate of SOFR plus 2.8%</w:t>
            </w:r>
            <w:r>
              <w:rPr>
                <w:caps w:val="false"/>
                <w:smallCaps w:val="false"/>
              </w:rPr>
              <w:t xml:space="preserve"> </w:t>
            </w:r>
            <w:r>
              <w:rPr>
                <w:rFonts w:ascii="Times New Roman;Times;serif" w:hAnsi="Times New Roman;Times;serif"/>
                <w:b w:val="false"/>
                <w:i w:val="false"/>
                <w:caps w:val="false"/>
                <w:smallCaps w:val="false"/>
                <w:sz w:val="18"/>
              </w:rPr>
              <w:t xml:space="preserve">and maturity date of May 2024. </w:t>
            </w:r>
          </w:p>
        </w:tc>
      </w:tr>
    </w:tbl>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917"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The Pier Park Resort Hotel JV entered into an interest rate swap that matures in April 2027 and fixed the variable rate on the notional amount of related debt of $42.0</w:t>
            </w:r>
            <w:r>
              <w:rPr>
                <w:caps w:val="false"/>
                <w:smallCaps w:val="false"/>
              </w:rPr>
              <w:t xml:space="preserve"> </w:t>
            </w:r>
            <w:r>
              <w:rPr>
                <w:rFonts w:ascii="Times New Roman;Times;serif" w:hAnsi="Times New Roman;Times;serif"/>
                <w:b w:val="false"/>
                <w:i w:val="false"/>
                <w:caps w:val="false"/>
                <w:smallCaps w:val="false"/>
                <w:sz w:val="18"/>
              </w:rPr>
              <w:t>million, amortizing to $38.7</w:t>
            </w:r>
            <w:r>
              <w:rPr>
                <w:caps w:val="false"/>
                <w:smallCaps w:val="false"/>
              </w:rPr>
              <w:t xml:space="preserve"> </w:t>
            </w:r>
            <w:r>
              <w:rPr>
                <w:rFonts w:ascii="Times New Roman;Times;serif" w:hAnsi="Times New Roman;Times;serif"/>
                <w:b w:val="false"/>
                <w:i w:val="false"/>
                <w:caps w:val="false"/>
                <w:smallCaps w:val="false"/>
                <w:sz w:val="18"/>
              </w:rPr>
              <w:t xml:space="preserve">million at swap maturity, to a rate of 3.3%. See Note 6. </w:t>
            </w:r>
            <w:r>
              <w:rPr>
                <w:rFonts w:ascii="Times New Roman;Times;serif" w:hAnsi="Times New Roman;Times;serif"/>
                <w:b w:val="false"/>
                <w:i/>
                <w:sz w:val="18"/>
              </w:rPr>
              <w:t>Financial Instruments and Fair Value Measurements</w:t>
            </w:r>
            <w:r>
              <w:rPr>
                <w:caps w:val="false"/>
                <w:smallCaps w:val="false"/>
              </w:rPr>
              <w:t xml:space="preserve"> </w:t>
            </w:r>
            <w:r>
              <w:rPr>
                <w:rFonts w:ascii="Times New Roman;Times;serif" w:hAnsi="Times New Roman;Times;serif"/>
                <w:b w:val="false"/>
                <w:i w:val="false"/>
                <w:caps w:val="false"/>
                <w:smallCaps w:val="false"/>
                <w:sz w:val="18"/>
              </w:rPr>
              <w:t>for additional information. Effective February 2023, the Pier Park Resort Hotel Loan was amended from an interest rate of LIBOR plus 2.2%.</w:t>
            </w:r>
          </w:p>
        </w:tc>
      </w:tr>
    </w:tbl>
    <w:tbl>
      <w:tblPr>
        <w:tblW w:w="8357" w:type="dxa"/>
        <w:jc w:val="left"/>
        <w:tblInd w:w="0" w:type="dxa"/>
        <w:tblCellMar>
          <w:top w:w="0" w:type="dxa"/>
          <w:left w:w="0" w:type="dxa"/>
          <w:bottom w:w="0" w:type="dxa"/>
          <w:right w:w="0" w:type="dxa"/>
        </w:tblCellMar>
      </w:tblPr>
      <w:tblGrid>
        <w:gridCol w:w="316"/>
        <w:gridCol w:w="804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804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In February 2023, the Watersound Camp Creek Loan was amended from an interest rate of LIBOR plus 2.1%.</w:t>
            </w:r>
            <w:r>
              <w:rPr>
                <w:caps w:val="false"/>
                <w:smallCaps w:val="false"/>
                <w:highlight w:val="yellow"/>
              </w:rPr>
              <w:t xml:space="preserve"> </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9907"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The Breakfast Point Hotel Loan interest rate is fixed through November 2027 and in December 2027 the rate will adjust to the 1-year constant maturity Treasury rate plus 3.3%</w:t>
            </w:r>
            <w:r>
              <w:rPr>
                <w:caps w:val="false"/>
                <w:smallCaps w:val="false"/>
              </w:rPr>
              <w:t xml:space="preserve"> </w:t>
            </w:r>
            <w:r>
              <w:rPr>
                <w:rFonts w:ascii="Times New Roman;Times;serif" w:hAnsi="Times New Roman;Times;serif"/>
                <w:b w:val="false"/>
                <w:i w:val="false"/>
                <w:caps w:val="false"/>
                <w:smallCaps w:val="false"/>
                <w:sz w:val="18"/>
              </w:rPr>
              <w:t>from December 2027 through November 2042, with a minimum rate of 6.0%</w:t>
            </w:r>
            <w:r>
              <w:rPr>
                <w:caps w:val="false"/>
                <w:smallCaps w:val="false"/>
              </w:rPr>
              <w:t xml:space="preserve"> </w:t>
            </w:r>
            <w:r>
              <w:rPr>
                <w:rFonts w:ascii="Times New Roman;Times;serif" w:hAnsi="Times New Roman;Times;serif"/>
                <w:b w:val="false"/>
                <w:i w:val="false"/>
                <w:caps w:val="false"/>
                <w:smallCaps w:val="false"/>
                <w:sz w:val="18"/>
              </w:rPr>
              <w:t xml:space="preserve">throughout the term of the loan. </w:t>
            </w:r>
          </w:p>
        </w:tc>
      </w:tr>
    </w:tbl>
    <w:tbl>
      <w:tblPr>
        <w:tblW w:w="9947" w:type="dxa"/>
        <w:jc w:val="left"/>
        <w:tblInd w:w="0" w:type="dxa"/>
        <w:tblCellMar>
          <w:top w:w="0" w:type="dxa"/>
          <w:left w:w="0" w:type="dxa"/>
          <w:bottom w:w="0" w:type="dxa"/>
          <w:right w:w="0" w:type="dxa"/>
        </w:tblCellMar>
      </w:tblPr>
      <w:tblGrid>
        <w:gridCol w:w="316"/>
        <w:gridCol w:w="963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(e)</w:t>
            </w:r>
          </w:p>
        </w:tc>
        <w:tc>
          <w:tcPr>
            <w:tcW w:w="963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The Hotel Indigo Loan interest rate will adjust to SOFR plus 2.5%, with a floor of 2.5%</w:t>
            </w:r>
            <w:r>
              <w:rPr>
                <w:caps w:val="false"/>
                <w:smallCaps w:val="false"/>
              </w:rPr>
              <w:t xml:space="preserve"> </w:t>
            </w:r>
            <w:r>
              <w:rPr>
                <w:rFonts w:ascii="Times New Roman;Times;serif" w:hAnsi="Times New Roman;Times;serif"/>
                <w:b w:val="false"/>
                <w:i w:val="false"/>
                <w:caps w:val="false"/>
                <w:smallCaps w:val="false"/>
                <w:sz w:val="18"/>
              </w:rPr>
              <w:t>beginning November 2023 through maturity.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management agreements, construction agreements, improvements, accounts, profits, leases, accounts and fixtures (collectively, “Security Interests”). The specific Security Interests vary from loan to loan. As of March 31, 2023, the weighted average effective interest rate of outstanding debt was 5.0%, of which 69.9% of the debt outstanding includes fixed or swapped interest rates, and the average remaining life of debt outstanding was 17.8 years.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2019, the Watersound Origins Crossings JV entered into a $44.0 million loan, as amended, to finance the construction of apartments located near the entrance to the Watersound Origins residential community (the “Watersound Origins Crossings JV Loan”). In March 2023, the Watersound Origins Crossings JV refinanced the Watersound Origins Crossings JV Loan that increased the principal amount of the loan, which had a balance of $44.0 million at the time of the refinance, to $52.9 million, fixed the interest rate to 5.0% and provides for monthly payments of principal and interest from May 2023 through maturity in April 2058. The refinanced loan terms include a prepayment premium due to the lender of 1% - 10% for any principal that is prepaid from May 2023 through April 2033. The refinanced loan is insured by the U.S. Department of Housing and Urban Development (“HUD”) and is secured by the real property and certain other Security Interests. As of March 31, 2023, the Company incurred $0.9 million of additional loan cost due to the refinance. As a result of the refinance, the three months ended March 31, 2023, include a $0.1 million loss on early extinguishment of debt related to unamortized debt issuance costs, included within other income (expense), net on the condensed consolidated statements of income.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2020, the Pier Park Resort Hotel JV entered into a loan with an initial amount of $52.5 million and up to a maximum of $60.0 million through additional earn-out requests (the “Pier Park Resort Hotel JV Loan”). The loan was entered into to finance the construction of an Embassy Suites by Hilton hotel in the Pier Park area of Panama City Beach, Florida. The loan provides for interest only payments for the first thirty-six months and principal and interest payments thereafter with a final balloon payment at maturity in April 2027. In December 2022, the Pier Park Resort Hotel Loan was amended, effective February 2023, to bear interest at a rate of SOFR plus 2.1%. The loan is secured by the real property and certain other Security Interests. In connection with the loan, as guarantors, the Company and the Company’s JV partner entered into a guarantee based on each partner’s ownership interest in favor of the lender, to guarantee the payment and performance of the borrower. As guarantor, the Company’s liability under the Pier Park Resort Hotel JV Loan will be released upon reaching and maintaining certain debt service coverage for twelve months.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LIBOR, which was amended to SOFR in February 2023. The interest rate swap matures in April 2027 and fixed the variable rate on the notional amount of related debt of $42.0 million, </w:t>
      </w:r>
      <w:r>
        <w:rPr>
          <w:rFonts w:ascii="TimesNewRomanPSMT" w:hAnsi="TimesNewRomanPSMT"/>
          <w:sz w:val="20"/>
        </w:rPr>
        <w:t>amortizing to $38.7</w:t>
      </w:r>
      <w:r>
        <w:rPr>
          <w:rFonts w:ascii="Times New Roman;Times;serif" w:hAnsi="Times New Roman;Times;serif"/>
          <w:sz w:val="20"/>
        </w:rPr>
        <w:t xml:space="preserve"> </w:t>
      </w:r>
      <w:r>
        <w:rPr>
          <w:rFonts w:ascii="TimesNewRomanPSMT" w:hAnsi="TimesNewRomanPSMT"/>
          <w:sz w:val="20"/>
        </w:rPr>
        <w:t>million at swap maturity,</w:t>
      </w:r>
      <w:r>
        <w:rPr>
          <w:rFonts w:ascii="Times New Roman;Times;serif" w:hAnsi="Times New Roman;Times;serif"/>
          <w:sz w:val="20"/>
        </w:rPr>
        <w:t xml:space="preserve"> to a rate of 3.3%. See Note 6.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2015, the Pier Park North JV entered into a $48.2 million loan (the “PPN JV Loan”), secured by a first lien on, and Security Interest in, a majority of the Pier Park North JV’s property. </w:t>
      </w:r>
      <w:r>
        <w:rPr>
          <w:rFonts w:ascii="TimesNewRomanPSMT" w:hAnsi="TimesNewRomanPSMT"/>
          <w:sz w:val="20"/>
        </w:rPr>
        <w:t>The loan provides for principal and interest payments with a final balloon payment at maturity in November 2025.</w:t>
      </w:r>
      <w:r>
        <w:rPr>
          <w:rFonts w:ascii="Times New Roman;Times;serif" w:hAnsi="Times New Roman;Times;serif"/>
          <w:sz w:val="20"/>
        </w:rPr>
        <w:t xml:space="preserve"> In connection with the loan, the Company entered into a limited guarantee in favor of the lender, based on its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and upon breach of covenants in the security instrument.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December 2022, a wholly-owned subsidiary of the Company entered into a $37.0 million loan, which is guaranteed by the Company, to finance the acquisition of a hotel located on Scenic Highway 30A (“The Pearl Hotel Loan”). The loan provides for monthly principal and interest payments through maturity in December 2032. The loan includes a prepayment fee due to the lender of 1% - 5% of the outstanding principal balance if the loan is refinanced with another financial institution through December 2027. The loan is secured by the real property and certain other Security Interests.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583" w:name="_Hlk85199822"/>
      <w:bookmarkStart w:id="1584" w:name="_Hlk85095036"/>
      <w:bookmarkEnd w:id="1583"/>
      <w:bookmarkEnd w:id="1584"/>
      <w:r>
        <w:rPr>
          <w:rFonts w:ascii="Times New Roman;Times;serif" w:hAnsi="Times New Roman;Times;serif"/>
          <w:sz w:val="20"/>
        </w:rPr>
        <w:t>In 2018, the Pier Park Crossings JV entered into a $36.6 million loan, insured by HUD, to finance the construction of apartments in Panama City Beach, Florida (the “PPC JV Loan”). The loan provides for monthly principal and interest payments through maturity in June 2060. The loan includes a prepayment premium due to the lender of 2% - 10% for any additional principal that is prepaid through August 2031. The loan is secured by the real property and certain other Security Interests.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January 2022, the Mexico Beach Crossings JV entered into a $43.5 million loan, insured by HUD, to finance the construction of apartments in Mexico Beach, Florida (the “Mexico Beach Crossings JV Loan”). The loan provides for interest only payments for the first twenty-seven months and principal and interest payments thereafter through maturity in March 2064. The loan may not be prepaid prior to April 2024 and if any additional principal is prepaid from April 2024 through March 2034 a premium is due to the lender of 1% - 10%. The loan is secured by the real property and certain other Security Interests.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2019, the Pier Park Crossings Phase II JV entered into a $22.9 million loan, insured by HUD, as amended, to finance the construction of apartments in Panama City Beach, Florida (the “PPC II JV Loan”). The loan provides for monthly payments of principal and interest through maturity in May 2057. The loan includes a prepayment premium due to the lender of 1% - 10% for any additional principal that is prepaid through May 2032. The loan is secured by the real property and certain other Security Interests.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2019, the Watercrest JV entered into a $22.5 million loan to finance the construction of a senior living facility in Santa Rosa Beach, Florida (the “Watercrest JV Loan”). The loan provides for monthly principal and interest payments through maturity in June 2047. The loan is secured by the real property and certain other Security Interests. In connection with the loan, the Company executed a guarantee in favor of the lender to guarantee the payment and performance of the borrower under the Watercrest JV Loan. The Company is the sole guarantor and receives a quarterly fee related to the guarantee from its JV partner based on the JV partner’s ownership percentage.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2021, a wholly-owned subsidiary of the Company entered into a $26.8 million construction loan, which is guaranteed by the Company, to finance the construction of apartments in Panama City, Florida (the “North Bay Landing Loan”). The loan provides for interest only payments and a principal balloon payment at maturity in September 2024. The loan includes an option for an extension of the maturity date by eighteen months, subject to certain conditions, which would provide for principal and interest payments commencing on the original maturity date with a final balloon payment at the extended maturity date. The loan is secured by the real property and certain other Security Interests. As guarantor, the Company’s liability under the loan will be reduced to 50% of the principal amount upon satisfaction of final advance conditions and reduced to 25% of the outstanding principal amount upon reaching and maintaining a certain debt service coverage ratio. In addition, the guarantee can become full recourse in the case of any fraud or intentional misrepresentation or failure to abide by other certain obligations on the part of such guarantor.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2021, a wholly-owned subsidiary of the Company entered into a $28.0 million loan, which is guaranteed by the Company, to finance the construction of Watersound Camp Creek, which includes an inn and amenity center near the Watersound Camp Creek residential community (the “Watersound Camp Creek Loan”). The loan provides for monthly principal and interest payments through maturity in December 2047. In February 2023, the Watersound Camp Creek Loan was amended, which extended the interest only payment period to June 2023 and modified the interest rate to SOFR plus 2.1%, with a floor of 2.6%. The loan is secured by the real property and certain other Security Interests. As guarantor, the Company’s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guarantor to abide by or perform any of the covenants, warranties or other certain obligations to be performed on the part of such guarantor.</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2020, a wholly-owned subsidiary of the Company entered into a $16.8 million loan, which is guaranteed by the Company, to finance the construction of a Homewood Suites by Hilton hotel in the Breakfast Point area of Panama City Beach, Florida (the “Breakfast Point Hotel Loan”). The loan provides for monthly principal and interest payments through maturity in November 2042. The loan includes a prepayment premium due to the lender of 1% - 3% of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outstanding principal balance for any additional principal that is prepaid through November 2027. The loan is secured by the real property and certain other Security Interests.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2020, a wholly-owned subsidiary of the Company entered into a $15.3 million loan, which is guaranteed by the Company, to finance construction of the Hilton Garden Inn Panama City Airport (the “Airport Hotel Loan”). The loan provides for interest only payments for the first thirty-six months and principal and interest payments thereafter with a final balloon payment at maturity in March 2025. The loan is secured by the real property and certain other Security Interests.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2021, a wholly-owned subsidiary of the Company entered into a $21.2 million loan, which is guaranteed by the Company, to finance the construction of a hotel in Panama City, Florida (the “Hotel Indigo Loan”). The loan provides for interest only payments for the first twenty-four months and principal and interest payments thereafter with a final balloon payment at maturity in October 2028. The loan includes an option for an extension of the maturity date by sixty months, subject to certain conditions, which would provide for continued principal and interest payments with a final balloon payment at the extended maturity date. The loan is secured by the leasehold property and certain other Security Interests.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2021, The Lodge 30A JV entered into a $15.0 million loan to finance the construction of a boutique hotel in Seagrove Beach, Florida (the “Lodge 30A JV Loan”). The loan provides for interest only payments for the first twenty-four months and principal and interest payments thereafter with a final balloon payment at maturity in January 2028. In January 2023, the Lodge 30A JV entered into an amendment to the Lodge 30A JV Loan that extended the interest only payment period to April 2023. The loan is secured by the real property and certain other Security Interests. In connection with the loan, the Company, wholly-owned subsidiaries of the Company and the Company’s JV partner entered into a joint and several payment and performance guarantee in favor of the lender. Upon reaching a certain debt service coverage ratio for a minimum of twenty-four months, the Company’s liability as guarantor will be reduced to 75% of the outstanding principal amount for a twelve-month period. The debt service coverage ratio will be tested annually thereafter and the Company’s liability will be reduced to 50% in year four and 25% in year five. The Company receives a monthly fee related to the guarantee from its JV partner based on the JV partner’s ownership percentage.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2021, a wholly-owned subsidiary of the Company entered into a $12.0 million loan, which is guaranteed by the Company, to finance the construction of a building in the Watersound Town Center near the Watersound Origins residential community (the “Watersound Town Center Grocery Loan”). The loan provides for interest only payments for the first twenty-four months and principal and interest payments thereafter with a final balloon payment at maturity in August 2031. The loan is secured by the real property and certain other Security Interests. As guarantor, the Company’s liability under the loan has been reduced to 50% of the outstanding principal amount and will be further reduced to 25% of the outstanding principal amount upon reaching a certain debt service coverage ratio and the project maintaining 93% occupancy for </w:t>
      </w:r>
      <w:r>
        <w:rPr>
          <w:rFonts w:ascii="Times New Roman;Times;serif" w:hAnsi="Times New Roman;Times;serif"/>
          <w:b w:val="false"/>
          <w:i w:val="false"/>
          <w:caps w:val="false"/>
          <w:smallCaps w:val="false"/>
          <w:sz w:val="20"/>
        </w:rPr>
        <w:t>ninety</w:t>
      </w:r>
      <w:r>
        <w:rPr>
          <w:rFonts w:ascii="Times New Roman;Times;serif" w:hAnsi="Times New Roman;Times;serif"/>
          <w:sz w:val="20"/>
        </w:rPr>
        <w:t xml:space="preserve"> consecutive days.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July 2022, a wholly-owned subsidiary of the Company entered into a $13.7 million loan, which is guaranteed by the Company, to finance the construction of a hotel in Santa Rosa Beach, Florida (the “Topsail Hotel Loan”). The loan provides for interest only payments for the first thirty-six months and principal and interest payments thereafter with a final balloon payment at maturity in July 2027. The loan is secured by the real property and certain other Security Interests.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2019, a wholly-owned subsidiary of the Company entered into a $5.5 million loan, which is guaranteed by the Company, to finance the construction of an office building in Panama City Beach, Florida (the “Beckrich Building III Loan”). The loan provides for monthly principal and interest payments with a final balloon payment at maturity in August 2029. The loan is secured by the real property and certain other Security Interests.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2020, a wholly-owned subsidiary of the Company entered into a $5.8 million loan, which is guaranteed by the Company, to finance the construction of a self-storage facility in Santa Rosa Beach, Florida (the “Self-Storage Facility Loan”). The loan provides for interest only payments for the first forty-eight months and principal and interest payments thereafter with a final balloon payment at maturity in November 2025. The loan is secured by the real property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1585" w:name="Tc_jfSFgSAcgkeLR_cZ91l6JA_7_2"/>
      <w:bookmarkStart w:id="1586" w:name="Tc_PJs6Iui90kCD56rSGfxeag_6_0"/>
      <w:bookmarkStart w:id="1587" w:name="Tc_KysDCrlEKk6MgLddo8oFkA_5_0"/>
      <w:bookmarkStart w:id="1588" w:name="Tc_3l7BNn8LMkmJMyGD4iaOSg_4_0"/>
      <w:bookmarkStart w:id="1589" w:name="Tc_jzphGewxCUasKIamngAp-A_3_0"/>
      <w:bookmarkStart w:id="1590" w:name="Tc_vZVuxMvKkky1z7AEHXU05w_2_0"/>
      <w:bookmarkStart w:id="1591" w:name="Tc_fWrUgpVVKke_paVw0Tg8Lg_1_2"/>
      <w:bookmarkStart w:id="1592" w:name="Tc_0GLv9FmsLEa_twW4HWZ0Cw_1_0"/>
      <w:bookmarkStart w:id="1593" w:name="_57b373e0_f5a9_4428_b78a_2e32f13a85b2"/>
      <w:bookmarkEnd w:id="1585"/>
      <w:bookmarkEnd w:id="1586"/>
      <w:bookmarkEnd w:id="1587"/>
      <w:bookmarkEnd w:id="1588"/>
      <w:bookmarkEnd w:id="1589"/>
      <w:bookmarkEnd w:id="1590"/>
      <w:bookmarkEnd w:id="1591"/>
      <w:bookmarkEnd w:id="1592"/>
      <w:bookmarkEnd w:id="1593"/>
      <w:r>
        <w:rPr>
          <w:rFonts w:ascii="Times New Roman;Times;serif" w:hAnsi="Times New Roman;Times;serif"/>
          <w:sz w:val="20"/>
        </w:rPr>
        <w:t>certain other Security Interests. The Company’s liability as guarantor under the loan shall not exceed $2.9 million, plus any additional fees, upon reaching and maintaining certain debt service coverage.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Community Development District (“CDD”) bonds financed the construction of infrastructure improvements at some of the Company’s projects. The principal and interest payments on the bonds are paid by assessments on the properties benefited by the improvements financed by the bonds. CDD debt is secured by certain real estate or other collateral. The Company has recorded a liability for CDD debt that is associated with platted property, which is the point at which it becomes fixed and determinable. Additionally, the Company has recorded a liability for the portion of the CDD debt that is associated with unplatted property if it is probable and reasonably estimable that the Company will ultimately be responsible for repayment. The Company’s total CDD debt assigned to property it owns was $11.7 million and $12.8 million as of March 31, 2023 and December 31, 2022, respectively. The Company pays interest on this total outstanding CDD debt.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2018, a wholly-owned subsidiary of the Company entered into a $1.7 million loan, which is guaranteed by the Company, to finance the construction of two beach homes located in Panama City Beach, Florida (the “Beach Homes Loan”). The loan provides for monthly principal and interest payments with a final balloon payment at maturity in May 2029. The loan is secured by the real property and certain other Security Interests.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2017, a wholly-owned subsidiary of the Company entered into a $1.6 million loan to finance the construction of a commercial leasing property located in Panama City Beach, Florida (the “Pier Park Outparcel Loan”). The loan provides for monthly principal and interest payments with a final balloon payment at maturity in March 2027. The loan is secured by the real property and certain other Security Interests.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2018, a wholly-owned subsidiary of the Company entered into a $1.9 million loan, which is guaranteed by the Company, to finance the construction of a commercial leasing property located in Santa Rosa Beach, Florida (the “WaterColor Crossings Loan”). The loan provides for monthly principal and interest payments with a final balloon payment at maturity in February 2029. The loan is secured by the real property and certain other Security Interests.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financing agreements are subject to various customary debt covenants and as of both March 31, 2023 and December 31, 2022, the Company was in compliance with the financial debt covenants.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of March 31, 2023, assets that were pledged as collateral related to the Company’s </w:t>
      </w:r>
      <w:r>
        <w:rPr>
          <w:rFonts w:ascii="Times New Roman;Times;serif" w:hAnsi="Times New Roman;Times;serif"/>
          <w:b w:val="false"/>
          <w:i w:val="false"/>
          <w:caps w:val="false"/>
          <w:smallCaps w:val="false"/>
          <w:sz w:val="20"/>
        </w:rPr>
        <w:t>debt agreements</w:t>
      </w:r>
      <w:r>
        <w:rPr>
          <w:rFonts w:ascii="Times New Roman;Times;serif" w:hAnsi="Times New Roman;Times;serif"/>
          <w:sz w:val="20"/>
        </w:rPr>
        <w:t>, including unfunded commitments, had an approximate carrying amount of $572.2 million. These assets are included within investment in real estate, net and property and equipment, net on the condensed consolidated balance sheets.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aggregate maturities of debt subsequent to March 31, 2023, for the years ending December 31 are:</w:t>
      </w:r>
    </w:p>
    <w:tbl>
      <w:tblPr>
        <w:tblW w:w="2152" w:type="dxa"/>
        <w:jc w:val="left"/>
        <w:tblInd w:w="0" w:type="dxa"/>
        <w:tblCellMar>
          <w:top w:w="0" w:type="dxa"/>
          <w:left w:w="0" w:type="dxa"/>
          <w:bottom w:w="0" w:type="dxa"/>
          <w:right w:w="0" w:type="dxa"/>
        </w:tblCellMar>
      </w:tblPr>
      <w:tblGrid>
        <w:gridCol w:w="946"/>
        <w:gridCol w:w="109"/>
        <w:gridCol w:w="211"/>
        <w:gridCol w:w="886"/>
      </w:tblGrid>
      <w:tr>
        <w:trPr/>
        <w:tc>
          <w:tcPr>
            <w:tcW w:w="9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5,800</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28,106</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66,793</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7,829</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64,141</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254,108</w:t>
            </w:r>
          </w:p>
        </w:tc>
      </w:tr>
      <w:tr>
        <w:trPr/>
        <w:tc>
          <w:tcPr>
            <w:tcW w:w="94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426,777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594" w:name="Tc_clK--pSHvUy28WtPTjI5cg_12_5"/>
      <w:bookmarkStart w:id="1595" w:name="Tc_PrlCR5D_Q0qkvriID9DlsA_12_2"/>
      <w:bookmarkStart w:id="1596" w:name="Tc_5ZX47LDOlEmfF5iy2Ix4Nw_12_0"/>
      <w:bookmarkStart w:id="1597" w:name="Tc_LpSuspWakkmUJw0jB1aBHg_11_0"/>
      <w:bookmarkStart w:id="1598" w:name="Tc_378OD81N10SpOA7M_u116w_10_0"/>
      <w:bookmarkStart w:id="1599" w:name="Tc_hwE-5dK7G0WOxJWS3X-DXw_9_0"/>
      <w:bookmarkStart w:id="1600" w:name="Tc_e4Kp12Or0kuRkbiJH5eqkQ_8_0"/>
      <w:bookmarkStart w:id="1601" w:name="Tc_o0Ka-PhoJEuWDqw5aWn98g_7_0"/>
      <w:bookmarkStart w:id="1602" w:name="Tc_H84HRbrfFE2yGjbmo4XHaA_4_0"/>
      <w:bookmarkStart w:id="1603" w:name="Tc_1qLo3hCE9kOoH5dG8ZM8Eg_3_5"/>
      <w:bookmarkStart w:id="1604" w:name="Tc_uGDPA9xjBUmVS0zv9Z0JFw_3_2"/>
      <w:bookmarkStart w:id="1605" w:name="Tc_VXy_IIBD-kKtNuitqdICOg_3_0"/>
      <w:bookmarkStart w:id="1606" w:name="Tc_k9_p7Bqmy0ane4hSMzPq9Q_2_5"/>
      <w:bookmarkStart w:id="1607" w:name="Tc_g3mHaqv4U0iW_09K4sVkOQ_2_2"/>
      <w:bookmarkStart w:id="1608" w:name="Tc_3M1z1HSkY0aNogmME96tEw_1_5"/>
      <w:bookmarkStart w:id="1609" w:name="Tc_w9xxcBeam0qEfljsS3rC7g_1_2"/>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r>
        <w:rPr>
          <w:rFonts w:ascii="Times New Roman;Times;serif" w:hAnsi="Times New Roman;Times;serif"/>
          <w:b/>
          <w:sz w:val="20"/>
        </w:rPr>
        <w:t>10. Other Liabilities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liabilities consist of the following:</w:t>
      </w:r>
    </w:p>
    <w:p>
      <w:pPr>
        <w:pStyle w:val="TextBody"/>
        <w:spacing w:before="0" w:after="0"/>
        <w:ind w:left="0" w:right="0" w:hanging="0"/>
        <w:rPr/>
      </w:pPr>
      <w:r>
        <w:rPr/>
        <w:t>​</w:t>
      </w:r>
    </w:p>
    <w:tbl>
      <w:tblPr>
        <w:tblW w:w="7268" w:type="dxa"/>
        <w:jc w:val="left"/>
        <w:tblInd w:w="0" w:type="dxa"/>
        <w:tblCellMar>
          <w:top w:w="0" w:type="dxa"/>
          <w:left w:w="0" w:type="dxa"/>
          <w:bottom w:w="0" w:type="dxa"/>
          <w:right w:w="0" w:type="dxa"/>
        </w:tblCellMar>
      </w:tblPr>
      <w:tblGrid>
        <w:gridCol w:w="4531"/>
        <w:gridCol w:w="326"/>
        <w:gridCol w:w="214"/>
        <w:gridCol w:w="686"/>
        <w:gridCol w:w="326"/>
        <w:gridCol w:w="252"/>
        <w:gridCol w:w="933"/>
      </w:tblGrid>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rPr/>
            </w:pPr>
            <w:r>
              <w:rPr/>
              <w:t>​</w:t>
            </w:r>
          </w:p>
        </w:tc>
      </w:tr>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60,700</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69,864</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payable</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11,239</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3,470</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3,673</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5,731</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accrued liabilities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5,532</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 </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3,641</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Club membership deposits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3,422</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Advance deposits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9,609</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 </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45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interest expense for Senior Notes held by SPE</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r>
      <w:tr>
        <w:trPr/>
        <w:tc>
          <w:tcPr>
            <w:tcW w:w="45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other liabilities</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96,139</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94,371</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Accounts payable as of March 31, 2023 and December 31, 2022, includes payables for projects under development and construction such as the Embassy Suites by Hilton hotel, the Camp Creek Inn and amenity center, Hotel Indigo, Watersound Town Center, and the Watersound Origins and Ward Creek residential communities. As of March 31, 2023 and December 31, 2022, accounts payable also include $30.4 million and $27.7 million, respectively, of retainage payable for projects under development and construction that are approaching completion.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accrued liabilities include $2.1 million and $0.3 million of accrued property taxes as of March 31, 2023 and December 31, 2022, respectively, which are generally paid annually in November.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Advance deposits consist of deposits received on hotel rooms and related hospitality activities. Advance deposits are recorded as other liabilities in the condensed consolidated balance sheets without regard to whether they are refundable and are recognized as income at the time the service is provided for the related deposit.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610" w:name="Tc_vYAlf1s55ESRvVeUZWx02w_6_5"/>
      <w:bookmarkStart w:id="1611" w:name="Tc_HygQBAyjIEqyE_rrQzM13w_6_2"/>
      <w:bookmarkStart w:id="1612" w:name="Tc_W1_VlZmq8kmfGtAKmUcfXg_6_0"/>
      <w:bookmarkStart w:id="1613" w:name="Tc_WT34on3p-0OU7jup7hL4PQ_5_0"/>
      <w:bookmarkStart w:id="1614" w:name="Tc_J-H0QNNUk0iuvC-1HCrARQ_4_0"/>
      <w:bookmarkStart w:id="1615" w:name="Tc_xeaZ33gBnESLdG6i7ynZnw_3_0"/>
      <w:bookmarkStart w:id="1616" w:name="Tc_PkD_diSRiE6oM-sZdGMu0g_2_5"/>
      <w:bookmarkStart w:id="1617" w:name="Tc_soO2J5j6BECEpAhc1XHisQ_2_2"/>
      <w:bookmarkStart w:id="1618" w:name="Tc_WpbLF0iQsEq5YTHwd8aEEg_2_0"/>
      <w:bookmarkStart w:id="1619" w:name="Tc_r1kfS8UhD0aS1xjg6MFjXQ_1_5"/>
      <w:bookmarkStart w:id="1620" w:name="Tc_8vDQkRQoOU6nUw2VQ8WtBQ_1_2"/>
      <w:bookmarkStart w:id="1621" w:name="_Hlk85289331"/>
      <w:bookmarkStart w:id="1622" w:name="_Hlk85470682"/>
      <w:bookmarkEnd w:id="1610"/>
      <w:bookmarkEnd w:id="1611"/>
      <w:bookmarkEnd w:id="1612"/>
      <w:bookmarkEnd w:id="1613"/>
      <w:bookmarkEnd w:id="1614"/>
      <w:bookmarkEnd w:id="1615"/>
      <w:bookmarkEnd w:id="1616"/>
      <w:bookmarkEnd w:id="1617"/>
      <w:bookmarkEnd w:id="1618"/>
      <w:bookmarkEnd w:id="1619"/>
      <w:bookmarkEnd w:id="1620"/>
      <w:bookmarkEnd w:id="1621"/>
      <w:bookmarkEnd w:id="1622"/>
      <w:r>
        <w:rPr>
          <w:rFonts w:ascii="Times New Roman;Times;serif" w:hAnsi="Times New Roman;Times;serif"/>
          <w:b/>
          <w:sz w:val="20"/>
        </w:rPr>
        <w:t>11. Deferred Revenue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March 31, 2023 and December 31, 2022, deferred revenue includes club initiation fees of $26.0 million and $25.1 million, respectively, and other deferred revenue of $14.9 million and $13.8 million, respectively.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Club initiation fees are recognized as revenue over the estimated average duration of membership, which is evaluated periodically. The following table presents the changes in club initiation fees related to contracts with customers:</w:t>
      </w:r>
    </w:p>
    <w:p>
      <w:pPr>
        <w:pStyle w:val="TextBody"/>
        <w:spacing w:before="0" w:after="0"/>
        <w:ind w:left="0" w:right="0" w:hanging="0"/>
        <w:rPr/>
      </w:pPr>
      <w:r>
        <w:rPr/>
        <w:t>​</w:t>
      </w:r>
    </w:p>
    <w:tbl>
      <w:tblPr>
        <w:tblW w:w="8561" w:type="dxa"/>
        <w:jc w:val="left"/>
        <w:tblInd w:w="0" w:type="dxa"/>
        <w:tblCellMar>
          <w:top w:w="0" w:type="dxa"/>
          <w:left w:w="0" w:type="dxa"/>
          <w:bottom w:w="0" w:type="dxa"/>
          <w:right w:w="0" w:type="dxa"/>
        </w:tblCellMar>
      </w:tblPr>
      <w:tblGrid>
        <w:gridCol w:w="5776"/>
        <w:gridCol w:w="109"/>
        <w:gridCol w:w="299"/>
        <w:gridCol w:w="962"/>
        <w:gridCol w:w="109"/>
        <w:gridCol w:w="277"/>
        <w:gridCol w:w="1029"/>
      </w:tblGrid>
      <w:tr>
        <w:trPr/>
        <w:tc>
          <w:tcPr>
            <w:tcW w:w="5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667760" cy="175260"/>
                      <wp:effectExtent l="0" t="0" r="0" b="0"/>
                      <wp:wrapNone/>
                      <wp:docPr id="340" name="Frame340"/>
                      <a:graphic xmlns:a="http://schemas.openxmlformats.org/drawingml/2006/main">
                        <a:graphicData uri="http://schemas.microsoft.com/office/word/2010/wordprocessingShape">
                          <wps:wsp>
                            <wps:cNvSpPr txBox="1"/>
                            <wps:spPr>
                              <a:xfrm>
                                <a:off x="0" y="0"/>
                                <a:ext cx="3667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89865" cy="175260"/>
                      <wp:effectExtent l="0" t="0" r="0" b="0"/>
                      <wp:wrapNone/>
                      <wp:docPr id="342" name="Frame342"/>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10870" cy="175260"/>
                      <wp:effectExtent l="0" t="0" r="0" b="0"/>
                      <wp:wrapNone/>
                      <wp:docPr id="343" name="Frame343"/>
                      <a:graphic xmlns:a="http://schemas.openxmlformats.org/drawingml/2006/main">
                        <a:graphicData uri="http://schemas.microsoft.com/office/word/2010/wordprocessingShape">
                          <wps:wsp>
                            <wps:cNvSpPr txBox="1"/>
                            <wps:spPr>
                              <a:xfrm>
                                <a:off x="0" y="0"/>
                                <a:ext cx="610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75895" cy="175260"/>
                      <wp:effectExtent l="0" t="0" r="0" b="0"/>
                      <wp:wrapNone/>
                      <wp:docPr id="345" name="Frame345"/>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53415" cy="175260"/>
                      <wp:effectExtent l="0" t="0" r="0" b="0"/>
                      <wp:wrapNone/>
                      <wp:docPr id="346" name="Frame346"/>
                      <a:graphic xmlns:a="http://schemas.openxmlformats.org/drawingml/2006/main">
                        <a:graphicData uri="http://schemas.microsoft.com/office/word/2010/wordprocessingShape">
                          <wps:wsp>
                            <wps:cNvSpPr txBox="1"/>
                            <wps:spPr>
                              <a:xfrm>
                                <a:off x="0" y="0"/>
                                <a:ext cx="653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09" w:type="dxa"/>
            <w:tcBorders/>
            <w:shd w:fill="auto" w:val="clear"/>
            <w:vAlign w:val="center"/>
          </w:tcPr>
          <w:p>
            <w:pPr>
              <w:pStyle w:val="TableContents"/>
              <w:spacing w:before="0" w:after="0"/>
              <w:ind w:left="0" w:right="0" w:hanging="0"/>
              <w:jc w:val="center"/>
              <w:rPr/>
            </w:pPr>
            <w:r>
              <w:rPr/>
              <w:t>​</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25,088</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22,850</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club memberships</w:t>
            </w:r>
          </w:p>
        </w:tc>
        <w:tc>
          <w:tcPr>
            <w:tcW w:w="109"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2,890</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from amounts included in contract liability opening balance</w:t>
            </w:r>
          </w:p>
        </w:tc>
        <w:tc>
          <w:tcPr>
            <w:tcW w:w="109"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(1,891)</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from current period new memberships</w:t>
            </w:r>
          </w:p>
        </w:tc>
        <w:tc>
          <w:tcPr>
            <w:tcW w:w="109" w:type="dxa"/>
            <w:tcBorders/>
            <w:shd w:fill="auto" w:val="clear"/>
            <w:vAlign w:val="center"/>
          </w:tcPr>
          <w:p>
            <w:pPr>
              <w:pStyle w:val="TableContents"/>
              <w:spacing w:before="0" w:after="0"/>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end of period</w:t>
            </w:r>
          </w:p>
        </w:tc>
        <w:tc>
          <w:tcPr>
            <w:tcW w:w="109" w:type="dxa"/>
            <w:tcBorders/>
            <w:shd w:fill="CCEEFF" w:val="clear"/>
            <w:vAlign w:val="center"/>
          </w:tcPr>
          <w:p>
            <w:pPr>
              <w:pStyle w:val="TableContents"/>
              <w:spacing w:before="0" w:after="0"/>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26,013</w:t>
            </w:r>
          </w:p>
        </w:tc>
        <w:tc>
          <w:tcPr>
            <w:tcW w:w="109" w:type="dxa"/>
            <w:tcBorders/>
            <w:shd w:fill="CCEEFF" w:val="clear"/>
            <w:vAlign w:val="center"/>
          </w:tcPr>
          <w:p>
            <w:pPr>
              <w:pStyle w:val="TableContents"/>
              <w:spacing w:before="0" w:after="0"/>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02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23,573</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Remaining performance obligations represent contracted revenue that has not been recognized related to club initiation fees. As of March 31, 2023, remaining performance obligations were $26.0 million, of which the Company expects to recognize as revenue $4.8 million in </w:t>
      </w:r>
      <w:r>
        <w:rPr>
          <w:rFonts w:ascii="Times New Roman;Times;serif" w:hAnsi="Times New Roman;Times;serif"/>
          <w:b w:val="false"/>
          <w:i w:val="false"/>
          <w:caps w:val="false"/>
          <w:smallCaps w:val="false"/>
          <w:sz w:val="20"/>
        </w:rPr>
        <w:t>2023</w:t>
      </w:r>
      <w:r>
        <w:rPr>
          <w:rFonts w:ascii="Times New Roman;Times;serif" w:hAnsi="Times New Roman;Times;serif"/>
          <w:sz w:val="20"/>
        </w:rPr>
        <w:t xml:space="preserve">, $11.7 million in </w:t>
      </w:r>
      <w:r>
        <w:rPr>
          <w:rFonts w:ascii="Times New Roman;Times;serif" w:hAnsi="Times New Roman;Times;serif"/>
          <w:b w:val="false"/>
          <w:i w:val="false"/>
          <w:caps w:val="false"/>
          <w:smallCaps w:val="false"/>
          <w:sz w:val="20"/>
        </w:rPr>
        <w:t>2024 through 2025</w:t>
      </w:r>
      <w:r>
        <w:rPr>
          <w:rFonts w:ascii="Times New Roman;Times;serif" w:hAnsi="Times New Roman;Times;serif"/>
          <w:sz w:val="20"/>
        </w:rPr>
        <w:t xml:space="preserve">, $8.3 million in </w:t>
      </w:r>
      <w:r>
        <w:rPr>
          <w:rFonts w:ascii="Times New Roman;Times;serif" w:hAnsi="Times New Roman;Times;serif"/>
          <w:b w:val="false"/>
          <w:i w:val="false"/>
          <w:caps w:val="false"/>
          <w:smallCaps w:val="false"/>
          <w:sz w:val="20"/>
        </w:rPr>
        <w:t>2026 through 2027</w:t>
      </w:r>
      <w:r>
        <w:rPr>
          <w:rFonts w:ascii="Times New Roman;Times;serif" w:hAnsi="Times New Roman;Times;serif"/>
          <w:sz w:val="20"/>
        </w:rPr>
        <w:t xml:space="preserve"> and $1.2 million thereafter.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deferred revenue as of both March 31, 2023 and December 31, 2022, includes $10.9 million related to a 2006 agreement pursuant to which the Company agreed to sell land to the Florida Department of Transportation. Revenue is recognized when title to a specific parcel is legally transferred.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623" w:name="Tc_JtScAYdWfUm9SOUSULZXWw_8_5"/>
      <w:bookmarkStart w:id="1624" w:name="Tc_YTbjnC6w2UyR-GmahKnM3w_8_2"/>
      <w:bookmarkStart w:id="1625" w:name="Tc_njMvowO3ZkymB9cVp9iRrg_8_0"/>
      <w:bookmarkStart w:id="1626" w:name="Tc_VZjJphWvWUWk5QFFRx1w5A_7_0"/>
      <w:bookmarkStart w:id="1627" w:name="Tc_2DTtPuKkGk64HdhI4SIDFg_6_0"/>
      <w:bookmarkStart w:id="1628" w:name="Tc_8EXLLjAyfkWQJIVc7jve6A_5_0"/>
      <w:bookmarkStart w:id="1629" w:name="Tc_f4_7bF4uRkeldUV-UzmVpA_4_5"/>
      <w:bookmarkStart w:id="1630" w:name="Tc_9b5ghhYSXEK0-VrH58JnKQ_4_2"/>
      <w:bookmarkStart w:id="1631" w:name="Tc_chcYke4sxEmgIE06Q7_DqQ_4_0"/>
      <w:bookmarkStart w:id="1632" w:name="Tc_pg-0gm-OPEC3LWfwL1zrsA_3_5"/>
      <w:bookmarkStart w:id="1633" w:name="Tc_ed99snkKdkya4sVgG4Vyhg_3_2"/>
      <w:bookmarkStart w:id="1634" w:name="Tc_8pUN6MUZYkinOZx_arAs_A_2_2"/>
      <w:bookmarkStart w:id="1635" w:name="Tc_wvbh2NdwVk2JD0wmm-dcPg_1_2"/>
      <w:bookmarkStart w:id="1636" w:name="_Hlk132630044"/>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r>
        <w:rPr>
          <w:rFonts w:ascii="Times New Roman;Times;serif" w:hAnsi="Times New Roman;Times;serif"/>
          <w:b/>
          <w:sz w:val="20"/>
        </w:rPr>
        <w:t>12. Income Taxes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Income tax expense attributable to income from operations differed from the amount computed by applying the statutory federal income tax rate of 21% as of March 31, 2023 and 2022 to pre-tax income as a result of the following:</w:t>
      </w:r>
    </w:p>
    <w:p>
      <w:pPr>
        <w:pStyle w:val="TextBody"/>
        <w:spacing w:before="0" w:after="0"/>
        <w:ind w:left="0" w:right="0" w:hanging="0"/>
        <w:rPr/>
      </w:pPr>
      <w:r>
        <w:rPr/>
        <w:t>​</w:t>
      </w:r>
    </w:p>
    <w:tbl>
      <w:tblPr>
        <w:tblW w:w="5862" w:type="dxa"/>
        <w:jc w:val="left"/>
        <w:tblInd w:w="0" w:type="dxa"/>
        <w:tblCellMar>
          <w:top w:w="0" w:type="dxa"/>
          <w:left w:w="0" w:type="dxa"/>
          <w:bottom w:w="0" w:type="dxa"/>
          <w:right w:w="0" w:type="dxa"/>
        </w:tblCellMar>
      </w:tblPr>
      <w:tblGrid>
        <w:gridCol w:w="3481"/>
        <w:gridCol w:w="326"/>
        <w:gridCol w:w="211"/>
        <w:gridCol w:w="571"/>
        <w:gridCol w:w="386"/>
        <w:gridCol w:w="211"/>
        <w:gridCol w:w="676"/>
      </w:tblGrid>
      <w:tr>
        <w:trPr/>
        <w:tc>
          <w:tcPr>
            <w:tcW w:w="3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210435" cy="175260"/>
                      <wp:effectExtent l="0" t="0" r="0" b="0"/>
                      <wp:wrapNone/>
                      <wp:docPr id="347" name="Frame347"/>
                      <a:graphic xmlns:a="http://schemas.openxmlformats.org/drawingml/2006/main">
                        <a:graphicData uri="http://schemas.microsoft.com/office/word/2010/wordprocessingShape">
                          <wps:wsp>
                            <wps:cNvSpPr txBox="1"/>
                            <wps:spPr>
                              <a:xfrm>
                                <a:off x="0" y="0"/>
                                <a:ext cx="2210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62585" cy="175260"/>
                      <wp:effectExtent l="0" t="0" r="0" b="0"/>
                      <wp:wrapNone/>
                      <wp:docPr id="350" name="Frame35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45110" cy="175260"/>
                      <wp:effectExtent l="0" t="0" r="0" b="0"/>
                      <wp:wrapNone/>
                      <wp:docPr id="351" name="Frame351"/>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29260" cy="175260"/>
                      <wp:effectExtent l="0" t="0" r="0" b="0"/>
                      <wp:wrapNone/>
                      <wp:docPr id="353" name="Frame35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5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5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shd w:fill="auto" w:val="clear"/>
            <w:vAlign w:val="center"/>
          </w:tcPr>
          <w:p>
            <w:pPr>
              <w:pStyle w:val="TableContents"/>
              <w:spacing w:before="0" w:after="1"/>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at the federal statutory rate</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2,905</w:t>
            </w:r>
          </w:p>
        </w:tc>
        <w:tc>
          <w:tcPr>
            <w:tcW w:w="38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3,769</w:t>
            </w:r>
          </w:p>
        </w:tc>
      </w:tr>
      <w:tr>
        <w:trPr/>
        <w:tc>
          <w:tcPr>
            <w:tcW w:w="3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income taxes (net of federal benefit)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787</w:t>
            </w:r>
          </w:p>
        </w:tc>
      </w:tr>
      <w:tr>
        <w:trPr/>
        <w:tc>
          <w:tcPr>
            <w:tcW w:w="3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credits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8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4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income tax expense</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3,441</w:t>
            </w:r>
          </w:p>
        </w:tc>
        <w:tc>
          <w:tcPr>
            <w:tcW w:w="386" w:type="dxa"/>
            <w:tcBorders/>
            <w:shd w:fill="CCEEFF" w:val="clear"/>
            <w:vAlign w:val="center"/>
          </w:tcPr>
          <w:p>
            <w:pPr>
              <w:pStyle w:val="TableContents"/>
              <w:spacing w:before="0" w:after="1"/>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4,536</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March 31, 2023 and December 31, 2022, the Company had income tax payable of $11.2 million and $3.5 million, respectively, included within other liabilities on the condensed consolidated balance sheets.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Inflation Reduction Act (“IRA”) was signed into law on August 16, 2022. The IRA extended the Internal Revenue Code Section 45L credit, a credit for the installation of energy efficient appliances and equipment in both single family and multi-family homes, to tax year 2032.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general, a valuation allowance is recorded if, based on all available positive and negative evidence, it is more likely than not that some portion or all of the deferred tax assets will not be realized. Realization of the Company’s deferred tax assets is dependent upon the Company generating sufficient taxable income in future years in the appropriate tax jurisdictions to obtain a benefit from the reversal of deductible temporary differences and from loss carryforwards. As of both March 31, 2023 and December 31, 2022, the Company’s valuation allowance was $0.3 million against certain state net operating loss carryforwards.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Significant judgment is required in evaluating the Company's uncertain tax positions and determining its provision for income taxes. The Company regularly assesses the likelihood of adverse outcomes resulting from potential examinations to determine the adequacy of its provision for income taxes and applies a “more-likely-than-not” in determining the financial statement recognition and measurement of a tax position taken or expected to be taken in the tax returns. The Company has not identified any material unrecognized tax benefits as of either March 31, 2023 or December 31, 2022.</w:t>
      </w:r>
    </w:p>
    <w:p>
      <w:pPr>
        <w:pStyle w:val="TextBody"/>
        <w:spacing w:before="0" w:after="240"/>
        <w:ind w:left="0" w:right="0" w:hanging="0"/>
        <w:rPr>
          <w:rFonts w:ascii="Times New Roman;Times;serif" w:hAnsi="Times New Roman;Times;serif"/>
          <w:b/>
          <w:sz w:val="20"/>
        </w:rPr>
      </w:pPr>
      <w:bookmarkStart w:id="1637" w:name="Tc_pzfLfSREskGaVAT2Ab2NNw_9_8"/>
      <w:bookmarkStart w:id="1638" w:name="Tc_Z0FMwKPXIUWMzOx7pPURMg_9_5"/>
      <w:bookmarkStart w:id="1639" w:name="Tc_4xUXD7eKW02mXWVRi7pddg_9_2"/>
      <w:bookmarkStart w:id="1640" w:name="Tc_3hgaS_06bEyVX0tHNU3-2Q_9_0"/>
      <w:bookmarkStart w:id="1641" w:name="Tc_JDuyLf4Xf0mPXbIJgINMzg_8_3"/>
      <w:bookmarkStart w:id="1642" w:name="Tc_0LLKHuAHq0-cCgqRRihKBg_8_0"/>
      <w:bookmarkStart w:id="1643" w:name="Tc_emGteC10ukeB2eBmanaqCg_7_0"/>
      <w:bookmarkStart w:id="1644" w:name="Tc_3ovz4J6j9kiaEs0F5MqYqQ_6_3"/>
      <w:bookmarkStart w:id="1645" w:name="Tc_6gH9rHpOMUOle58VIzRSeQ_6_0"/>
      <w:bookmarkStart w:id="1646" w:name="Tc_F_l-S0T14kaHlN7pAK-QWw_5_0"/>
      <w:bookmarkStart w:id="1647" w:name="Tc_dcA6L_qk5UigELV4gB61UA_4_8"/>
      <w:bookmarkStart w:id="1648" w:name="Tc_maxYQqxBd0S26ag-FyYmiQ_4_5"/>
      <w:bookmarkStart w:id="1649" w:name="Tc_rlcIGWqfSEyyUPbJCvhZHQ_4_2"/>
      <w:bookmarkStart w:id="1650" w:name="Tc_uefEaQgFNUGu-QtyiugfCw_4_0"/>
      <w:bookmarkStart w:id="1651" w:name="Tc_kA3BlYoqDkSNqQCrSRW5qg_3_8"/>
      <w:bookmarkStart w:id="1652" w:name="Tc_6_g2jjXXCkSiLGEdSK487g_3_5"/>
      <w:bookmarkStart w:id="1653" w:name="Tc_G2DtEwq5j0GlZBAAagyoBQ_3_2"/>
      <w:bookmarkStart w:id="1654" w:name="Tc_ybaOFpj0zkWF1RwSsRLi2w_2_5"/>
      <w:bookmarkStart w:id="1655" w:name="Tc_LO_gZr-jXkC9VyR55UHHbw_2_2"/>
      <w:bookmarkStart w:id="1656" w:name="Tc_3szbYPWmBUmwt-kSMpA-gA_1_5"/>
      <w:bookmarkStart w:id="1657" w:name="Tc_9CFuHSpwRE-sTsyC2qCOEA_1_2"/>
      <w:bookmarkStart w:id="1658" w:name="_Hlk132630098"/>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r>
        <w:rPr>
          <w:rFonts w:ascii="Times New Roman;Times;serif" w:hAnsi="Times New Roman;Times;serif"/>
          <w:b/>
          <w:sz w:val="20"/>
        </w:rPr>
        <w:t>13. Accumulated Other Comprehensive Income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Following is a summary of the changes in the balances of accumulated other comprehensive (loss) income, which is presented net of tax:</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811"/>
        <w:gridCol w:w="109"/>
        <w:gridCol w:w="539"/>
        <w:gridCol w:w="1200"/>
        <w:gridCol w:w="146"/>
        <w:gridCol w:w="378"/>
        <w:gridCol w:w="1024"/>
        <w:gridCol w:w="109"/>
        <w:gridCol w:w="211"/>
        <w:gridCol w:w="678"/>
      </w:tblGrid>
      <w:tr>
        <w:trPr/>
        <w:tc>
          <w:tcPr>
            <w:tcW w:w="5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689985" cy="175260"/>
                      <wp:effectExtent l="0" t="0" r="0" b="0"/>
                      <wp:wrapNone/>
                      <wp:docPr id="354" name="Frame354"/>
                      <a:graphic xmlns:a="http://schemas.openxmlformats.org/drawingml/2006/main">
                        <a:graphicData uri="http://schemas.microsoft.com/office/word/2010/wordprocessingShape">
                          <wps:wsp>
                            <wps:cNvSpPr txBox="1"/>
                            <wps:spPr>
                              <a:xfrm>
                                <a:off x="0" y="0"/>
                                <a:ext cx="3689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42265" cy="175260"/>
                      <wp:effectExtent l="0" t="0" r="0" b="0"/>
                      <wp:wrapNone/>
                      <wp:docPr id="356" name="Frame356"/>
                      <a:graphic xmlns:a="http://schemas.openxmlformats.org/drawingml/2006/main">
                        <a:graphicData uri="http://schemas.microsoft.com/office/word/2010/wordprocessingShape">
                          <wps:wsp>
                            <wps:cNvSpPr txBox="1"/>
                            <wps:spPr>
                              <a:xfrm>
                                <a:off x="0" y="0"/>
                                <a:ext cx="342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762000" cy="175260"/>
                      <wp:effectExtent l="0" t="0" r="0" b="0"/>
                      <wp:wrapNone/>
                      <wp:docPr id="357" name="Frame357"/>
                      <a:graphic xmlns:a="http://schemas.openxmlformats.org/drawingml/2006/main">
                        <a:graphicData uri="http://schemas.microsoft.com/office/word/2010/wordprocessingShape">
                          <wps:wsp>
                            <wps:cNvSpPr txBox="1"/>
                            <wps:spPr>
                              <a:xfrm>
                                <a:off x="0" y="0"/>
                                <a:ext cx="762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92710" cy="175260"/>
                      <wp:effectExtent l="0" t="0" r="0" b="0"/>
                      <wp:wrapNone/>
                      <wp:docPr id="358" name="Frame35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40030" cy="175260"/>
                      <wp:effectExtent l="0" t="0" r="0" b="0"/>
                      <wp:wrapNone/>
                      <wp:docPr id="359" name="Frame359"/>
                      <a:graphic xmlns:a="http://schemas.openxmlformats.org/drawingml/2006/main">
                        <a:graphicData uri="http://schemas.microsoft.com/office/word/2010/wordprocessingShape">
                          <wps:wsp>
                            <wps:cNvSpPr txBox="1"/>
                            <wps:spPr>
                              <a:xfrm>
                                <a:off x="0" y="0"/>
                                <a:ext cx="240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50240" cy="175260"/>
                      <wp:effectExtent l="0" t="0" r="0" b="0"/>
                      <wp:wrapNone/>
                      <wp:docPr id="360" name="Frame360"/>
                      <a:graphic xmlns:a="http://schemas.openxmlformats.org/drawingml/2006/main">
                        <a:graphicData uri="http://schemas.microsoft.com/office/word/2010/wordprocessingShape">
                          <wps:wsp>
                            <wps:cNvSpPr txBox="1"/>
                            <wps:spPr>
                              <a:xfrm>
                                <a:off x="0" y="0"/>
                                <a:ext cx="650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30530" cy="175260"/>
                      <wp:effectExtent l="0" t="0" r="0" b="0"/>
                      <wp:wrapNone/>
                      <wp:docPr id="363" name="Frame363"/>
                      <a:graphic xmlns:a="http://schemas.openxmlformats.org/drawingml/2006/main">
                        <a:graphicData uri="http://schemas.microsoft.com/office/word/2010/wordprocessingShape">
                          <wps:wsp>
                            <wps:cNvSpPr txBox="1"/>
                            <wps:spPr>
                              <a:xfrm>
                                <a:off x="0" y="0"/>
                                <a:ext cx="430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73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 Gain</w:t>
            </w:r>
          </w:p>
        </w:tc>
        <w:tc>
          <w:tcPr>
            <w:tcW w:w="146" w:type="dxa"/>
            <w:tcBorders/>
            <w:shd w:fill="auto" w:val="clear"/>
            <w:vAlign w:val="center"/>
          </w:tcPr>
          <w:p>
            <w:pPr>
              <w:pStyle w:val="TableContents"/>
              <w:spacing w:before="0" w:after="0"/>
              <w:ind w:left="0" w:right="0" w:hanging="0"/>
              <w:jc w:val="center"/>
              <w:rPr/>
            </w:pPr>
            <w:r>
              <w:rPr/>
              <w:t> </w:t>
            </w:r>
          </w:p>
        </w:tc>
        <w:tc>
          <w:tcPr>
            <w:tcW w:w="140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shd w:fill="auto" w:val="clear"/>
            <w:vAlign w:val="center"/>
          </w:tcPr>
          <w:p>
            <w:pPr>
              <w:pStyle w:val="TableContents"/>
              <w:spacing w:before="0" w:after="0"/>
              <w:ind w:left="0" w:right="0" w:hanging="0"/>
              <w:jc w:val="center"/>
              <w:rPr/>
            </w:pPr>
            <w:r>
              <w:rPr/>
              <w:t>​</w:t>
            </w:r>
          </w:p>
        </w:tc>
        <w:tc>
          <w:tcPr>
            <w:tcW w:w="889" w:type="dxa"/>
            <w:gridSpan w:val="2"/>
            <w:tcBorders/>
            <w:shd w:fill="auto" w:val="clear"/>
            <w:vAlign w:val="center"/>
          </w:tcPr>
          <w:p>
            <w:pPr>
              <w:pStyle w:val="TableContents"/>
              <w:spacing w:before="0" w:after="0"/>
              <w:ind w:left="0" w:right="0" w:hanging="0"/>
              <w:jc w:val="center"/>
              <w:rPr/>
            </w:pPr>
            <w:r>
              <w:rPr/>
              <w:t>​</w:t>
            </w:r>
          </w:p>
        </w:tc>
      </w:tr>
      <w:tr>
        <w:trPr/>
        <w:tc>
          <w:tcPr>
            <w:tcW w:w="58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73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on Available-for-</w:t>
            </w:r>
          </w:p>
        </w:tc>
        <w:tc>
          <w:tcPr>
            <w:tcW w:w="146" w:type="dxa"/>
            <w:tcBorders/>
            <w:shd w:fill="auto" w:val="clear"/>
            <w:vAlign w:val="center"/>
          </w:tcPr>
          <w:p>
            <w:pPr>
              <w:pStyle w:val="TableContents"/>
              <w:spacing w:before="0" w:after="0"/>
              <w:ind w:left="0" w:right="0" w:hanging="0"/>
              <w:jc w:val="center"/>
              <w:rPr/>
            </w:pPr>
            <w:r>
              <w:rPr/>
              <w:t> </w:t>
            </w:r>
          </w:p>
        </w:tc>
        <w:tc>
          <w:tcPr>
            <w:tcW w:w="140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8" w:type="dxa"/>
            <w:tcBorders/>
            <w:shd w:fill="auto" w:val="clear"/>
            <w:vAlign w:val="center"/>
          </w:tcPr>
          <w:p>
            <w:pPr>
              <w:pStyle w:val="TableContents"/>
              <w:spacing w:before="0" w:after="0"/>
              <w:ind w:left="0" w:right="0" w:hanging="0"/>
              <w:jc w:val="center"/>
              <w:rPr/>
            </w:pPr>
            <w:r>
              <w:rPr/>
              <w:t>​</w:t>
            </w:r>
          </w:p>
        </w:tc>
      </w:tr>
      <w:tr>
        <w:trPr/>
        <w:tc>
          <w:tcPr>
            <w:tcW w:w="58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7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Sale Securities</w:t>
            </w:r>
          </w:p>
        </w:tc>
        <w:tc>
          <w:tcPr>
            <w:tcW w:w="146" w:type="dxa"/>
            <w:tcBorders/>
            <w:shd w:fill="auto" w:val="clear"/>
            <w:vAlign w:val="center"/>
          </w:tcPr>
          <w:p>
            <w:pPr>
              <w:pStyle w:val="TableContents"/>
              <w:spacing w:before="0" w:after="0"/>
              <w:ind w:left="0" w:right="0" w:hanging="0"/>
              <w:jc w:val="center"/>
              <w:rPr/>
            </w:pPr>
            <w:r>
              <w:rPr/>
              <w:t>​</w:t>
            </w:r>
          </w:p>
        </w:tc>
        <w:tc>
          <w:tcPr>
            <w:tcW w:w="14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109" w:type="dxa"/>
            <w:tcBorders/>
            <w:shd w:fill="auto" w:val="clear"/>
            <w:vAlign w:val="center"/>
          </w:tcPr>
          <w:p>
            <w:pPr>
              <w:pStyle w:val="TableContents"/>
              <w:spacing w:before="0" w:after="0"/>
              <w:ind w:left="0" w:right="0" w:hanging="0"/>
              <w:jc w:val="center"/>
              <w:rPr/>
            </w:pPr>
            <w:r>
              <w:rPr/>
              <w:t>​</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(loss) income as of December 31, 2022</w:t>
            </w:r>
          </w:p>
        </w:tc>
        <w:tc>
          <w:tcPr>
            <w:tcW w:w="109" w:type="dxa"/>
            <w:tcBorders/>
            <w:shd w:fill="CCEEFF" w:val="clear"/>
            <w:vAlign w:val="center"/>
          </w:tcPr>
          <w:p>
            <w:pPr>
              <w:pStyle w:val="TableContents"/>
              <w:spacing w:before="0" w:after="0"/>
              <w:ind w:left="0" w:right="0" w:hanging="0"/>
              <w:rPr/>
            </w:pPr>
            <w:r>
              <w:rPr/>
              <w:t>​</w:t>
            </w:r>
          </w:p>
        </w:tc>
        <w:tc>
          <w:tcPr>
            <w:tcW w:w="53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146" w:type="dxa"/>
            <w:tcBorders/>
            <w:shd w:fill="CCEEFF" w:val="clear"/>
            <w:vAlign w:val="center"/>
          </w:tcPr>
          <w:p>
            <w:pPr>
              <w:pStyle w:val="TableContents"/>
              <w:spacing w:before="0" w:after="0"/>
              <w:ind w:left="0" w:right="0" w:hanging="0"/>
              <w:rPr/>
            </w:pPr>
            <w:r>
              <w:rPr/>
              <w:t>​</w:t>
            </w:r>
          </w:p>
        </w:tc>
        <w:tc>
          <w:tcPr>
            <w:tcW w:w="37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2,612</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2,430</w:t>
            </w:r>
          </w:p>
        </w:tc>
      </w:tr>
      <w:tr>
        <w:trPr/>
        <w:tc>
          <w:tcPr>
            <w:tcW w:w="5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109" w:type="dxa"/>
            <w:tcBorders/>
            <w:shd w:fill="auto" w:val="clear"/>
            <w:vAlign w:val="center"/>
          </w:tcPr>
          <w:p>
            <w:pPr>
              <w:pStyle w:val="TableContents"/>
              <w:spacing w:before="0" w:after="0"/>
              <w:ind w:left="0" w:right="0" w:hanging="0"/>
              <w:rPr/>
            </w:pPr>
            <w:r>
              <w:rPr/>
              <w:t>​</w:t>
            </w:r>
          </w:p>
        </w:tc>
        <w:tc>
          <w:tcPr>
            <w:tcW w:w="539" w:type="dxa"/>
            <w:tcBorders/>
            <w:shd w:fill="auto" w:val="clear"/>
            <w:vAlign w:val="center"/>
          </w:tcPr>
          <w:p>
            <w:pPr>
              <w:pStyle w:val="TableContents"/>
              <w:spacing w:before="0" w:after="0"/>
              <w:ind w:left="0" w:right="0" w:hanging="0"/>
              <w:rPr/>
            </w:pPr>
            <w:r>
              <w:rPr/>
              <w:t> </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146"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0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5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reclassified from accumulated other comprehensive loss</w:t>
            </w:r>
          </w:p>
        </w:tc>
        <w:tc>
          <w:tcPr>
            <w:tcW w:w="109" w:type="dxa"/>
            <w:tcBorders/>
            <w:shd w:fill="CCEEFF" w:val="clear"/>
            <w:vAlign w:val="center"/>
          </w:tcPr>
          <w:p>
            <w:pPr>
              <w:pStyle w:val="TableContents"/>
              <w:spacing w:before="0" w:after="0"/>
              <w:ind w:left="0" w:right="0" w:hanging="0"/>
              <w:rPr/>
            </w:pPr>
            <w:r>
              <w:rPr/>
              <w:t>​</w:t>
            </w:r>
          </w:p>
        </w:tc>
        <w:tc>
          <w:tcPr>
            <w:tcW w:w="53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37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5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shd w:fill="auto" w:val="clear"/>
            <w:vAlign w:val="center"/>
          </w:tcPr>
          <w:p>
            <w:pPr>
              <w:pStyle w:val="TableContents"/>
              <w:spacing w:before="0" w:after="0"/>
              <w:ind w:left="0" w:right="0" w:hanging="0"/>
              <w:rPr/>
            </w:pPr>
            <w:r>
              <w:rPr/>
              <w:t>​</w:t>
            </w:r>
          </w:p>
        </w:tc>
        <w:tc>
          <w:tcPr>
            <w:tcW w:w="53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146" w:type="dxa"/>
            <w:tcBorders/>
            <w:shd w:fill="auto" w:val="clear"/>
            <w:vAlign w:val="center"/>
          </w:tcPr>
          <w:p>
            <w:pPr>
              <w:pStyle w:val="TableContents"/>
              <w:spacing w:before="0" w:after="0"/>
              <w:ind w:left="0" w:right="0" w:hanging="0"/>
              <w:rPr/>
            </w:pPr>
            <w:r>
              <w:rPr/>
              <w:t>​</w:t>
            </w:r>
          </w:p>
        </w:tc>
        <w:tc>
          <w:tcPr>
            <w:tcW w:w="37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5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Other comprehensive loss attributable to non-controlling interest</w:t>
            </w:r>
          </w:p>
        </w:tc>
        <w:tc>
          <w:tcPr>
            <w:tcW w:w="109" w:type="dxa"/>
            <w:tcBorders/>
            <w:shd w:fill="CCEEFF" w:val="clear"/>
            <w:vAlign w:val="center"/>
          </w:tcPr>
          <w:p>
            <w:pPr>
              <w:pStyle w:val="TableContents"/>
              <w:spacing w:before="0" w:after="0"/>
              <w:ind w:left="0" w:right="0" w:hanging="0"/>
              <w:rPr/>
            </w:pPr>
            <w:r>
              <w:rPr/>
              <w:t>​</w:t>
            </w:r>
          </w:p>
        </w:tc>
        <w:tc>
          <w:tcPr>
            <w:tcW w:w="5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37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58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Accumulated other comprehensive (loss) income as of March 31, 2023</w:t>
            </w:r>
          </w:p>
        </w:tc>
        <w:tc>
          <w:tcPr>
            <w:tcW w:w="109" w:type="dxa"/>
            <w:tcBorders/>
            <w:shd w:fill="auto" w:val="clear"/>
            <w:vAlign w:val="center"/>
          </w:tcPr>
          <w:p>
            <w:pPr>
              <w:pStyle w:val="TableContents"/>
              <w:spacing w:before="0" w:after="0"/>
              <w:ind w:left="0" w:right="0" w:hanging="0"/>
              <w:rPr/>
            </w:pPr>
            <w:r>
              <w:rPr/>
              <w:t>​</w:t>
            </w:r>
          </w:p>
        </w:tc>
        <w:tc>
          <w:tcPr>
            <w:tcW w:w="5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20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c>
          <w:tcPr>
            <w:tcW w:w="146" w:type="dxa"/>
            <w:tcBorders/>
            <w:shd w:fill="auto" w:val="clear"/>
            <w:vAlign w:val="center"/>
          </w:tcPr>
          <w:p>
            <w:pPr>
              <w:pStyle w:val="TableContents"/>
              <w:spacing w:before="0" w:after="0"/>
              <w:ind w:left="0" w:right="0" w:hanging="0"/>
              <w:rPr/>
            </w:pPr>
            <w:r>
              <w:rPr/>
              <w:t>​</w:t>
            </w:r>
          </w:p>
        </w:tc>
        <w:tc>
          <w:tcPr>
            <w:tcW w:w="37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02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2,085</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78"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2,073</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659" w:name="Tc_dBvGXp9oL0W73-FXxrWIGA_9_8"/>
      <w:bookmarkStart w:id="1660" w:name="Tc_tLClIZzLOUGounUu1wulzg_9_5"/>
      <w:bookmarkStart w:id="1661" w:name="Tc_LzliDRnjz0G3B0M_0CR2wQ_9_2"/>
      <w:bookmarkStart w:id="1662" w:name="Tc_gQPk_oSUBUOuR6XrC9BPNA_9_0"/>
      <w:bookmarkStart w:id="1663" w:name="Tc_cruaKdG1-ke1P1rzfbYEXA_8_0"/>
      <w:bookmarkStart w:id="1664" w:name="Tc_tmCUlGMcaUSA4gA7YSElqQ_7_0"/>
      <w:bookmarkStart w:id="1665" w:name="Tc_21xnCJ61wUmGY0Yb0s0PwA_6_0"/>
      <w:bookmarkStart w:id="1666" w:name="Tc_VvW2pmSqW0eircKlokPAwQ_5_0"/>
      <w:bookmarkStart w:id="1667" w:name="Tc_vb4aAvtxgUSgoVL2NlJ1zg_4_8"/>
      <w:bookmarkStart w:id="1668" w:name="Tc_zfGL3_xIg0S3hBTlFb9hEw_4_5"/>
      <w:bookmarkStart w:id="1669" w:name="Tc_6ZlJzANGxUG03msmSws87Q_4_2"/>
      <w:bookmarkStart w:id="1670" w:name="Tc_HaFTgKsv0k69O9MNkYHcvw_4_0"/>
      <w:bookmarkStart w:id="1671" w:name="Tc_nUVT0_hMv0SKsxxD1IPuew_3_8"/>
      <w:bookmarkStart w:id="1672" w:name="Tc_OPglLFHrjUyZdW60NVhMVg_3_5"/>
      <w:bookmarkStart w:id="1673" w:name="Tc_f5yig9HYdU-5szRIBCCO1g_3_2"/>
      <w:bookmarkStart w:id="1674" w:name="Tc_aP3y0hzS3UuruJzw2H1_fQ_2_8"/>
      <w:bookmarkStart w:id="1675" w:name="Tc_9o955zwD2UOvWMzCzEu8Tg_2_5"/>
      <w:bookmarkStart w:id="1676" w:name="Tc_souNG-8h7EqO9uCjOisZFQ_2_2"/>
      <w:bookmarkStart w:id="1677" w:name="Tc_nxZdXnGUrE65OUp6tIjFSw_1_2"/>
      <w:bookmarkStart w:id="1678" w:name="_5213bc65_f60a_467e_8aea_44586832ca6b"/>
      <w:bookmarkStart w:id="1679" w:name="Tc_vB83V6QCjUaY-85GVDyWMw_9_8"/>
      <w:bookmarkStart w:id="1680" w:name="Tc_xIOeIYlNcUW2HrHnLlo3dw_9_5"/>
      <w:bookmarkStart w:id="1681" w:name="Tc_dPBW38cTpUiPBv8wnGCKuQ_9_2"/>
      <w:bookmarkStart w:id="1682" w:name="Tc_y9DmDSy6KUeXuGkf3rZhUw_9_0"/>
      <w:bookmarkStart w:id="1683" w:name="Tc_Sa6G5wFhPEuAIbcO7aBNew_8_0"/>
      <w:bookmarkStart w:id="1684" w:name="Tc_NIQ6sSZvV0Ov3ssg5dg8TA_7_0"/>
      <w:bookmarkStart w:id="1685" w:name="Tc_KrMtGfiNfUCm5DJ6c2tAKA_6_0"/>
      <w:bookmarkStart w:id="1686" w:name="Tc_rnAmtYwC4U6VyHg77pwaMg_5_0"/>
      <w:bookmarkStart w:id="1687" w:name="Tc_GdNfdMSpS0uWIks3m1DfYg_4_8"/>
      <w:bookmarkStart w:id="1688" w:name="Tc_rMBx3YIuaUCbkODEMwr_eg_4_5"/>
      <w:bookmarkStart w:id="1689" w:name="Tc_Mam5F2uLa029NBs--7Mj8A_4_2"/>
      <w:bookmarkStart w:id="1690" w:name="Tc_FhlUZG6qm0eRxHkkVrJD0Q_4_0"/>
      <w:bookmarkStart w:id="1691" w:name="Tc_EZcy6bAlz0iFA-GKMKVNnA_3_8"/>
      <w:bookmarkStart w:id="1692" w:name="Tc_jZreue2BvUSoVbec-F3h8g_3_5"/>
      <w:bookmarkStart w:id="1693" w:name="Tc_snal-dSrGkOjdVLSsM5Tag_3_2"/>
      <w:bookmarkStart w:id="1694" w:name="Tc_CJdam9N-iUSfPu_chbiwEA_2_8"/>
      <w:bookmarkStart w:id="1695" w:name="Tc_f5n6D9Op3E-zJClkS4ElRA_2_5"/>
      <w:bookmarkStart w:id="1696" w:name="Tc_sZNfLrnC8kGleuIpeLcErg_2_2"/>
      <w:bookmarkStart w:id="1697" w:name="Tc_ofqjy5j0AE69LlY0v0_uRA_1_2"/>
      <w:bookmarkStart w:id="1698" w:name="_29bc4a67_1c9b_4e5f_ba05_35313b059ce1"/>
      <w:bookmarkStart w:id="1699" w:name="_Hlk132630103"/>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r>
        <w:rPr>
          <w:rFonts w:ascii="Times New Roman;Times;serif" w:hAnsi="Times New Roman;Times;serif"/>
          <w:sz w:val="20"/>
        </w:rPr>
        <w:t>Following is a summary of the tax effects allocated to other comprehensive (loss) income:</w:t>
      </w:r>
    </w:p>
    <w:p>
      <w:pPr>
        <w:pStyle w:val="TextBody"/>
        <w:spacing w:before="0" w:after="0"/>
        <w:ind w:left="0" w:right="0" w:hanging="0"/>
        <w:rPr/>
      </w:pPr>
      <w:r>
        <w:rPr/>
        <w:t>​</w:t>
      </w:r>
    </w:p>
    <w:tbl>
      <w:tblPr>
        <w:tblW w:w="9261" w:type="dxa"/>
        <w:jc w:val="left"/>
        <w:tblInd w:w="0" w:type="dxa"/>
        <w:tblCellMar>
          <w:top w:w="0" w:type="dxa"/>
          <w:left w:w="0" w:type="dxa"/>
          <w:bottom w:w="0" w:type="dxa"/>
          <w:right w:w="0" w:type="dxa"/>
        </w:tblCellMar>
      </w:tblPr>
      <w:tblGrid>
        <w:gridCol w:w="5056"/>
        <w:gridCol w:w="326"/>
        <w:gridCol w:w="311"/>
        <w:gridCol w:w="710"/>
        <w:gridCol w:w="326"/>
        <w:gridCol w:w="379"/>
        <w:gridCol w:w="761"/>
        <w:gridCol w:w="326"/>
        <w:gridCol w:w="305"/>
        <w:gridCol w:w="761"/>
      </w:tblGrid>
      <w:tr>
        <w:trPr/>
        <w:tc>
          <w:tcPr>
            <w:tcW w:w="5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210560" cy="175260"/>
                      <wp:effectExtent l="0" t="0" r="0" b="0"/>
                      <wp:wrapNone/>
                      <wp:docPr id="364" name="Frame364"/>
                      <a:graphic xmlns:a="http://schemas.openxmlformats.org/drawingml/2006/main">
                        <a:graphicData uri="http://schemas.microsoft.com/office/word/2010/wordprocessingShape">
                          <wps:wsp>
                            <wps:cNvSpPr txBox="1"/>
                            <wps:spPr>
                              <a:xfrm>
                                <a:off x="0" y="0"/>
                                <a:ext cx="3210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97485" cy="175260"/>
                      <wp:effectExtent l="0" t="0" r="0" b="0"/>
                      <wp:wrapNone/>
                      <wp:docPr id="366" name="Frame366"/>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50850" cy="175260"/>
                      <wp:effectExtent l="0" t="0" r="0" b="0"/>
                      <wp:wrapNone/>
                      <wp:docPr id="367" name="Frame367"/>
                      <a:graphic xmlns:a="http://schemas.openxmlformats.org/drawingml/2006/main">
                        <a:graphicData uri="http://schemas.microsoft.com/office/word/2010/wordprocessingShape">
                          <wps:wsp>
                            <wps:cNvSpPr txBox="1"/>
                            <wps:spPr>
                              <a:xfrm>
                                <a:off x="0" y="0"/>
                                <a:ext cx="450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40665" cy="175260"/>
                      <wp:effectExtent l="0" t="0" r="0" b="0"/>
                      <wp:wrapNone/>
                      <wp:docPr id="369" name="Frame369"/>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83235" cy="175260"/>
                      <wp:effectExtent l="0" t="0" r="0" b="0"/>
                      <wp:wrapNone/>
                      <wp:docPr id="370" name="Frame370"/>
                      <a:graphic xmlns:a="http://schemas.openxmlformats.org/drawingml/2006/main">
                        <a:graphicData uri="http://schemas.microsoft.com/office/word/2010/wordprocessingShape">
                          <wps:wsp>
                            <wps:cNvSpPr txBox="1"/>
                            <wps:spPr>
                              <a:xfrm>
                                <a:off x="0" y="0"/>
                                <a:ext cx="483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93675" cy="175260"/>
                      <wp:effectExtent l="0" t="0" r="0" b="0"/>
                      <wp:wrapNone/>
                      <wp:docPr id="372" name="Frame372"/>
                      <a:graphic xmlns:a="http://schemas.openxmlformats.org/drawingml/2006/main">
                        <a:graphicData uri="http://schemas.microsoft.com/office/word/2010/wordprocessingShape">
                          <wps:wsp>
                            <wps:cNvSpPr txBox="1"/>
                            <wps:spPr>
                              <a:xfrm>
                                <a:off x="0" y="0"/>
                                <a:ext cx="193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83235" cy="175260"/>
                      <wp:effectExtent l="0" t="0" r="0" b="0"/>
                      <wp:wrapNone/>
                      <wp:docPr id="373" name="Frame373"/>
                      <a:graphic xmlns:a="http://schemas.openxmlformats.org/drawingml/2006/main">
                        <a:graphicData uri="http://schemas.microsoft.com/office/word/2010/wordprocessingShape">
                          <wps:wsp>
                            <wps:cNvSpPr txBox="1"/>
                            <wps:spPr>
                              <a:xfrm>
                                <a:off x="0" y="0"/>
                                <a:ext cx="483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79"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r>
      <w:tr>
        <w:trPr/>
        <w:tc>
          <w:tcPr>
            <w:tcW w:w="50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26" w:type="dxa"/>
            <w:tcBorders/>
            <w:shd w:fill="auto" w:val="clear"/>
            <w:vAlign w:val="center"/>
          </w:tcPr>
          <w:p>
            <w:pPr>
              <w:pStyle w:val="TableContents"/>
              <w:spacing w:before="0" w:after="0"/>
              <w:ind w:left="0" w:right="0" w:hanging="0"/>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Tax (Expense)</w:t>
            </w:r>
          </w:p>
        </w:tc>
        <w:tc>
          <w:tcPr>
            <w:tcW w:w="326" w:type="dxa"/>
            <w:tcBorders/>
            <w:shd w:fill="auto" w:val="clear"/>
            <w:vAlign w:val="center"/>
          </w:tcPr>
          <w:p>
            <w:pPr>
              <w:pStyle w:val="TableContents"/>
              <w:spacing w:before="0" w:after="0"/>
              <w:ind w:left="0" w:right="0" w:hanging="0"/>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0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0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 on available-for-sale investments</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spacing w:before="0" w:after="0"/>
              <w:ind w:left="0" w:right="0" w:hanging="0"/>
              <w:rPr/>
            </w:pPr>
            <w:r>
              <w:rPr/>
              <w:t>​</w:t>
            </w:r>
          </w:p>
        </w:tc>
        <w:tc>
          <w:tcPr>
            <w:tcW w:w="3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50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auto" w:val="clear"/>
            <w:vAlign w:val="center"/>
          </w:tcPr>
          <w:p>
            <w:pPr>
              <w:pStyle w:val="TableContents"/>
              <w:spacing w:before="0" w:after="0"/>
              <w:ind w:left="0" w:right="0" w:hanging="0"/>
              <w:rPr/>
            </w:pPr>
            <w:r>
              <w:rPr/>
              <w:t>​</w:t>
            </w:r>
          </w:p>
        </w:tc>
        <w:tc>
          <w:tcPr>
            <w:tcW w:w="379" w:type="dxa"/>
            <w:tcBorders/>
            <w:shd w:fill="auto" w:val="clear"/>
            <w:vAlign w:val="center"/>
          </w:tcPr>
          <w:p>
            <w:pPr>
              <w:pStyle w:val="TableContents"/>
              <w:spacing w:before="0" w:after="0"/>
              <w:ind w:left="0" w:right="0" w:hanging="0"/>
              <w:rPr/>
            </w:pPr>
            <w:r>
              <w:rPr/>
              <w:t>​</w:t>
            </w:r>
          </w:p>
        </w:tc>
        <w:tc>
          <w:tcPr>
            <w:tcW w:w="7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7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50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 - unconsolidated joint venture</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7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0"/>
              <w:ind w:left="0" w:right="0" w:hanging="0"/>
              <w:rPr/>
            </w:pPr>
            <w:r>
              <w:rPr/>
              <w:t>​</w:t>
            </w:r>
          </w:p>
        </w:tc>
        <w:tc>
          <w:tcPr>
            <w:tcW w:w="379" w:type="dxa"/>
            <w:tcBorders/>
            <w:shd w:fill="CCEEFF" w:val="clear"/>
            <w:vAlign w:val="center"/>
          </w:tcPr>
          <w:p>
            <w:pPr>
              <w:pStyle w:val="TableContents"/>
              <w:spacing w:before="0" w:after="0"/>
              <w:ind w:left="0" w:right="0" w:hanging="0"/>
              <w:rPr/>
            </w:pPr>
            <w:r>
              <w:rPr/>
              <w:t>​</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0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Reclassification adjustment for net gain included in earnings</w:t>
            </w:r>
          </w:p>
        </w:tc>
        <w:tc>
          <w:tcPr>
            <w:tcW w:w="326" w:type="dxa"/>
            <w:tcBorders/>
            <w:shd w:fill="auto" w:val="clear"/>
            <w:vAlign w:val="center"/>
          </w:tcPr>
          <w:p>
            <w:pPr>
              <w:pStyle w:val="TableContents"/>
              <w:spacing w:before="0" w:after="0"/>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auto" w:val="clear"/>
            <w:vAlign w:val="center"/>
          </w:tcPr>
          <w:p>
            <w:pPr>
              <w:pStyle w:val="TableContents"/>
              <w:spacing w:before="0" w:after="0"/>
              <w:ind w:left="0" w:right="0" w:hanging="0"/>
              <w:rPr/>
            </w:pPr>
            <w:r>
              <w:rPr/>
              <w:t>​</w:t>
            </w:r>
          </w:p>
        </w:tc>
        <w:tc>
          <w:tcPr>
            <w:tcW w:w="37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50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unrealized loss</w:t>
            </w:r>
          </w:p>
        </w:tc>
        <w:tc>
          <w:tcPr>
            <w:tcW w:w="326" w:type="dxa"/>
            <w:tcBorders/>
            <w:shd w:fill="CCEEFF" w:val="clear"/>
            <w:vAlign w:val="center"/>
          </w:tcPr>
          <w:p>
            <w:pPr>
              <w:pStyle w:val="TableContents"/>
              <w:spacing w:before="0" w:after="0"/>
              <w:ind w:left="0" w:right="0" w:hanging="0"/>
              <w:rPr/>
            </w:pPr>
            <w:r>
              <w:rPr/>
              <w:t>​</w:t>
            </w:r>
          </w:p>
        </w:tc>
        <w:tc>
          <w:tcPr>
            <w:tcW w:w="3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26" w:type="dxa"/>
            <w:tcBorders/>
            <w:shd w:fill="CCEEFF" w:val="clear"/>
            <w:vAlign w:val="center"/>
          </w:tcPr>
          <w:p>
            <w:pPr>
              <w:pStyle w:val="TableContents"/>
              <w:spacing w:before="0" w:after="0"/>
              <w:ind w:left="0" w:right="0" w:hanging="0"/>
              <w:rPr/>
            </w:pPr>
            <w:r>
              <w:rPr/>
              <w:t>​</w:t>
            </w:r>
          </w:p>
        </w:tc>
        <w:tc>
          <w:tcPr>
            <w:tcW w:w="37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spacing w:before="0" w:after="0"/>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50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comprehensive loss</w:t>
            </w:r>
          </w:p>
        </w:tc>
        <w:tc>
          <w:tcPr>
            <w:tcW w:w="326" w:type="dxa"/>
            <w:tcBorders/>
            <w:shd w:fill="auto" w:val="clear"/>
            <w:vAlign w:val="center"/>
          </w:tcPr>
          <w:p>
            <w:pPr>
              <w:pStyle w:val="TableContents"/>
              <w:spacing w:before="0" w:after="0"/>
              <w:ind w:left="0" w:right="0" w:hanging="0"/>
              <w:rPr/>
            </w:pPr>
            <w:r>
              <w:rPr/>
              <w:t>​</w:t>
            </w:r>
          </w:p>
        </w:tc>
        <w:tc>
          <w:tcPr>
            <w:tcW w:w="3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(752)</w:t>
            </w:r>
          </w:p>
        </w:tc>
        <w:tc>
          <w:tcPr>
            <w:tcW w:w="326" w:type="dxa"/>
            <w:tcBorders/>
            <w:shd w:fill="auto" w:val="clear"/>
            <w:vAlign w:val="center"/>
          </w:tcPr>
          <w:p>
            <w:pPr>
              <w:pStyle w:val="TableContents"/>
              <w:spacing w:before="0" w:after="0"/>
              <w:ind w:left="0" w:right="0" w:hanging="0"/>
              <w:rPr/>
            </w:pPr>
            <w:r>
              <w:rPr/>
              <w:t>​</w:t>
            </w:r>
          </w:p>
        </w:tc>
        <w:tc>
          <w:tcPr>
            <w:tcW w:w="37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121</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(631)</w:t>
            </w:r>
          </w:p>
        </w:tc>
      </w:tr>
    </w:tbl>
    <w:p>
      <w:pPr>
        <w:pStyle w:val="TextBody"/>
        <w:spacing w:before="0" w:after="120"/>
        <w:ind w:left="0" w:right="0" w:hanging="0"/>
        <w:rPr/>
      </w:pPr>
      <w:r>
        <w:rPr/>
        <w:t>​</w:t>
      </w:r>
    </w:p>
    <w:tbl>
      <w:tblPr>
        <w:tblW w:w="9021" w:type="dxa"/>
        <w:jc w:val="left"/>
        <w:tblInd w:w="0" w:type="dxa"/>
        <w:tblCellMar>
          <w:top w:w="0" w:type="dxa"/>
          <w:left w:w="0" w:type="dxa"/>
          <w:bottom w:w="0" w:type="dxa"/>
          <w:right w:w="0" w:type="dxa"/>
        </w:tblCellMar>
      </w:tblPr>
      <w:tblGrid>
        <w:gridCol w:w="5011"/>
        <w:gridCol w:w="326"/>
        <w:gridCol w:w="275"/>
        <w:gridCol w:w="746"/>
        <w:gridCol w:w="326"/>
        <w:gridCol w:w="265"/>
        <w:gridCol w:w="680"/>
        <w:gridCol w:w="326"/>
        <w:gridCol w:w="253"/>
        <w:gridCol w:w="813"/>
      </w:tblGrid>
      <w:tr>
        <w:trPr/>
        <w:tc>
          <w:tcPr>
            <w:tcW w:w="5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5" w:type="dxa"/>
            <w:tcBorders/>
            <w:shd w:fill="auto" w:val="clear"/>
            <w:vAlign w:val="center"/>
          </w:tcPr>
          <w:p>
            <w:pPr>
              <w:pStyle w:val="TableContents"/>
              <w:spacing w:before="0" w:after="0"/>
              <w:ind w:left="0" w:right="0" w:hanging="0"/>
              <w:rPr/>
            </w:pPr>
            <w:r>
              <w:rPr/>
              <w:t>​</w:t>
            </w:r>
          </w:p>
        </w:tc>
        <w:tc>
          <w:tcPr>
            <w:tcW w:w="68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813" w:type="dxa"/>
            <w:tcBorders/>
            <w:shd w:fill="auto" w:val="clear"/>
            <w:vAlign w:val="center"/>
          </w:tcPr>
          <w:p>
            <w:pPr>
              <w:pStyle w:val="TableContents"/>
              <w:spacing w:before="0" w:after="0"/>
              <w:ind w:left="0" w:right="0" w:hanging="0"/>
              <w:rPr/>
            </w:pPr>
            <w:r>
              <w:rPr/>
              <w:t>​</w:t>
            </w:r>
          </w:p>
        </w:tc>
      </w:tr>
      <w:tr>
        <w:trPr/>
        <w:tc>
          <w:tcPr>
            <w:tcW w:w="5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84"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2022</w:t>
            </w:r>
          </w:p>
        </w:tc>
      </w:tr>
      <w:tr>
        <w:trPr/>
        <w:tc>
          <w:tcPr>
            <w:tcW w:w="5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26" w:type="dxa"/>
            <w:tcBorders/>
            <w:shd w:fill="auto" w:val="clear"/>
            <w:vAlign w:val="center"/>
          </w:tcPr>
          <w:p>
            <w:pPr>
              <w:pStyle w:val="TableContents"/>
              <w:spacing w:before="0" w:after="0"/>
              <w:ind w:left="0" w:right="0" w:hanging="0"/>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Tax Benefit</w:t>
            </w:r>
          </w:p>
        </w:tc>
        <w:tc>
          <w:tcPr>
            <w:tcW w:w="326" w:type="dxa"/>
            <w:tcBorders/>
            <w:shd w:fill="auto" w:val="clear"/>
            <w:vAlign w:val="center"/>
          </w:tcPr>
          <w:p>
            <w:pPr>
              <w:pStyle w:val="TableContents"/>
              <w:spacing w:before="0" w:after="0"/>
              <w:ind w:left="0" w:right="0" w:hanging="0"/>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26" w:type="dxa"/>
            <w:tcBorders/>
            <w:shd w:fill="auto" w:val="clear"/>
            <w:vAlign w:val="center"/>
          </w:tcPr>
          <w:p>
            <w:pPr>
              <w:pStyle w:val="TableContents"/>
              <w:spacing w:before="0" w:after="0"/>
              <w:ind w:left="0" w:right="0" w:hanging="0"/>
              <w:rPr/>
            </w:pPr>
            <w:r>
              <w:rPr/>
              <w:t>​</w:t>
            </w:r>
          </w:p>
        </w:tc>
        <w:tc>
          <w:tcPr>
            <w:tcW w:w="9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loss on available-for-sale investments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shd w:fill="CCEEFF" w:val="clear"/>
            <w:vAlign w:val="center"/>
          </w:tcPr>
          <w:p>
            <w:pPr>
              <w:pStyle w:val="TableContents"/>
              <w:spacing w:before="0" w:after="0"/>
              <w:ind w:left="0" w:right="0" w:hanging="0"/>
              <w:rPr/>
            </w:pPr>
            <w:r>
              <w:rPr/>
              <w:t>​</w:t>
            </w:r>
          </w:p>
        </w:tc>
        <w:tc>
          <w:tcPr>
            <w:tcW w:w="2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5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2,308</w:t>
            </w:r>
          </w:p>
        </w:tc>
        <w:tc>
          <w:tcPr>
            <w:tcW w:w="326" w:type="dxa"/>
            <w:tcBorders/>
            <w:shd w:fill="auto" w:val="clear"/>
            <w:vAlign w:val="center"/>
          </w:tcPr>
          <w:p>
            <w:pPr>
              <w:pStyle w:val="TableContents"/>
              <w:spacing w:before="0" w:after="0"/>
              <w:ind w:left="0" w:right="0" w:hanging="0"/>
              <w:rPr/>
            </w:pPr>
            <w:r>
              <w:rPr/>
              <w:t>​</w:t>
            </w:r>
          </w:p>
        </w:tc>
        <w:tc>
          <w:tcPr>
            <w:tcW w:w="265" w:type="dxa"/>
            <w:tcBorders/>
            <w:shd w:fill="auto" w:val="clear"/>
            <w:vAlign w:val="center"/>
          </w:tcPr>
          <w:p>
            <w:pPr>
              <w:pStyle w:val="TableContents"/>
              <w:spacing w:before="0" w:after="0"/>
              <w:ind w:left="0" w:right="0" w:hanging="0"/>
              <w:rPr/>
            </w:pPr>
            <w:r>
              <w:rPr/>
              <w:t>​</w:t>
            </w:r>
          </w:p>
        </w:tc>
        <w:tc>
          <w:tcPr>
            <w:tcW w:w="68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81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1,895</w:t>
            </w:r>
          </w:p>
        </w:tc>
      </w:tr>
      <w:tr>
        <w:trPr/>
        <w:tc>
          <w:tcPr>
            <w:tcW w:w="5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 - unconsolidated joint venture</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CCEEFF" w:val="clear"/>
            <w:vAlign w:val="center"/>
          </w:tcPr>
          <w:p>
            <w:pPr>
              <w:pStyle w:val="TableContents"/>
              <w:spacing w:before="0" w:after="0"/>
              <w:ind w:left="0" w:right="0" w:hanging="0"/>
              <w:rPr/>
            </w:pPr>
            <w:r>
              <w:rPr/>
              <w:t>​</w:t>
            </w:r>
          </w:p>
        </w:tc>
        <w:tc>
          <w:tcPr>
            <w:tcW w:w="265" w:type="dxa"/>
            <w:tcBorders/>
            <w:shd w:fill="CCEEFF" w:val="clear"/>
            <w:vAlign w:val="center"/>
          </w:tcPr>
          <w:p>
            <w:pPr>
              <w:pStyle w:val="TableContents"/>
              <w:spacing w:before="0" w:after="0"/>
              <w:ind w:left="0" w:right="0" w:hanging="0"/>
              <w:rPr/>
            </w:pPr>
            <w:r>
              <w:rPr/>
              <w:t>​</w:t>
            </w:r>
          </w:p>
        </w:tc>
        <w:tc>
          <w:tcPr>
            <w:tcW w:w="6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8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5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Reclassification adjustment for net loss included in earnings</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auto" w:val="clear"/>
            <w:vAlign w:val="center"/>
          </w:tcPr>
          <w:p>
            <w:pPr>
              <w:pStyle w:val="TableContents"/>
              <w:spacing w:before="0" w:after="0"/>
              <w:ind w:left="0" w:right="0" w:hanging="0"/>
              <w:rPr/>
            </w:pPr>
            <w:r>
              <w:rPr/>
              <w:t>​</w:t>
            </w:r>
          </w:p>
        </w:tc>
        <w:tc>
          <w:tcPr>
            <w:tcW w:w="26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w:t>
            </w:r>
          </w:p>
        </w:tc>
        <w:tc>
          <w:tcPr>
            <w:tcW w:w="25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5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unrealized gain</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2,446</w:t>
            </w:r>
          </w:p>
        </w:tc>
        <w:tc>
          <w:tcPr>
            <w:tcW w:w="326" w:type="dxa"/>
            <w:tcBorders/>
            <w:shd w:fill="CCEEFF" w:val="clear"/>
            <w:vAlign w:val="center"/>
          </w:tcPr>
          <w:p>
            <w:pPr>
              <w:pStyle w:val="TableContents"/>
              <w:spacing w:before="0" w:after="0"/>
              <w:ind w:left="0" w:right="0" w:hanging="0"/>
              <w:rPr/>
            </w:pPr>
            <w:r>
              <w:rPr/>
              <w:t>​</w:t>
            </w:r>
          </w:p>
        </w:tc>
        <w:tc>
          <w:tcPr>
            <w:tcW w:w="26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shd w:fill="CCEEFF" w:val="clear"/>
            <w:vAlign w:val="center"/>
          </w:tcPr>
          <w:p>
            <w:pPr>
              <w:pStyle w:val="TableContents"/>
              <w:spacing w:before="0" w:after="0"/>
              <w:ind w:left="0" w:right="0" w:hanging="0"/>
              <w:rPr/>
            </w:pPr>
            <w:r>
              <w:rPr/>
              <w:t>​</w:t>
            </w:r>
          </w:p>
        </w:tc>
        <w:tc>
          <w:tcPr>
            <w:tcW w:w="25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r>
      <w:tr>
        <w:trPr/>
        <w:tc>
          <w:tcPr>
            <w:tcW w:w="50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comprehensive income</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2,446</w:t>
            </w:r>
          </w:p>
        </w:tc>
        <w:tc>
          <w:tcPr>
            <w:tcW w:w="326" w:type="dxa"/>
            <w:tcBorders/>
            <w:shd w:fill="auto" w:val="clear"/>
            <w:vAlign w:val="center"/>
          </w:tcPr>
          <w:p>
            <w:pPr>
              <w:pStyle w:val="TableContents"/>
              <w:spacing w:before="0" w:after="0"/>
              <w:ind w:left="0" w:right="0" w:hanging="0"/>
              <w:rPr/>
            </w:pPr>
            <w:r>
              <w:rPr/>
              <w:t>​</w:t>
            </w:r>
          </w:p>
        </w:tc>
        <w:tc>
          <w:tcPr>
            <w:tcW w:w="26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(445)</w:t>
            </w:r>
          </w:p>
        </w:tc>
        <w:tc>
          <w:tcPr>
            <w:tcW w:w="326" w:type="dxa"/>
            <w:tcBorders/>
            <w:shd w:fill="auto" w:val="clear"/>
            <w:vAlign w:val="center"/>
          </w:tcPr>
          <w:p>
            <w:pPr>
              <w:pStyle w:val="TableContents"/>
              <w:spacing w:before="0" w:after="0"/>
              <w:ind w:left="0" w:right="0" w:hanging="0"/>
              <w:rPr/>
            </w:pPr>
            <w:r>
              <w:rPr/>
              <w:t>​</w:t>
            </w:r>
          </w:p>
        </w:tc>
        <w:tc>
          <w:tcPr>
            <w:tcW w:w="25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2,001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360" w:right="0" w:hanging="0"/>
        <w:rPr/>
      </w:pPr>
      <w:r>
        <w:rPr/>
        <w:t>​</w:t>
      </w:r>
    </w:p>
    <w:p>
      <w:pPr>
        <w:pStyle w:val="TextBody"/>
        <w:spacing w:before="0" w:after="0"/>
        <w:ind w:left="360" w:right="0" w:hanging="0"/>
        <w:rPr/>
      </w:pPr>
      <w:r>
        <w:rPr/>
        <w:t>​</w:t>
      </w:r>
    </w:p>
    <w:p>
      <w:pPr>
        <w:pStyle w:val="TextBody"/>
        <w:spacing w:before="0" w:after="0"/>
        <w:ind w:left="360" w:right="0" w:hanging="0"/>
        <w:rPr/>
      </w:pPr>
      <w:r>
        <w:rPr/>
        <w:t>​</w:t>
      </w:r>
    </w:p>
    <w:p>
      <w:pPr>
        <w:pStyle w:val="TextBody"/>
        <w:spacing w:before="0" w:after="0"/>
        <w:ind w:left="360" w:right="0" w:hanging="0"/>
        <w:rPr/>
      </w:pPr>
      <w:r>
        <w:rPr/>
        <w:t>​</w:t>
      </w:r>
    </w:p>
    <w:p>
      <w:pPr>
        <w:pStyle w:val="TextBody"/>
        <w:spacing w:before="0" w:after="240"/>
        <w:ind w:left="0" w:right="0" w:hanging="0"/>
        <w:rPr>
          <w:rFonts w:ascii="Times New Roman;Times;serif" w:hAnsi="Times New Roman;Times;serif"/>
          <w:b/>
          <w:sz w:val="20"/>
        </w:rPr>
      </w:pPr>
      <w:bookmarkStart w:id="1700" w:name="_Hlk100813088"/>
      <w:bookmarkEnd w:id="1700"/>
      <w:r>
        <w:rPr>
          <w:rFonts w:ascii="Times New Roman;Times;serif" w:hAnsi="Times New Roman;Times;serif"/>
          <w:b/>
          <w:sz w:val="20"/>
        </w:rPr>
        <w:t>14. Stockholders’ Equity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Dividends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both the three months ended March 31, 2023 and 2022, the Company paid cash dividends of $0.10 per share on the Company’s common stock for a total of $5.8 million and $5.9 million,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Stock Repurchase Program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Board approved a stock repurchase program (the “Stock Repurchase Program”) pursuant to which the Company is authorized to repurchase shares of its common stock. The program has no expiration 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three months ended March 31, 2023 and 2022, the Company did not repurchase shares of its common stock outstanding. As of March 31, 2023, the Company had a total authority of $80.0 million available for purchase of shares of its common stock. The Company may repurchase its common stock in open market purchases from time to time, in privately negotiated transactions or otherwise, pursuant to Rule 10b-18 under the Securities Exchange Act of 1934, as amended (the “Exchange Act”). The timing and amount of any additional shares to be repurchased will depend upon a variety of factors. Repurchases may be commenced or suspended at any time or from time to time without prior notice. The Stock Repurchase Program will continue until otherwise modified or terminated by the Company’s Board at any time in its sole discretion.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Issuance of Common Stock for Employee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March 24, 2023, the Company granted 12,796 restricted stock awards to certain employees pursuant to the Company’s 2015 Performance and Equity Incentive Plan (the “2015 Plan”). The restricted shares vest in equal annual installments on the first, second and third annual anniversary of the grant date, subject to the recipient’s continued employment through and on the applicable vesting date. The weighted average grant date fair value of the restricted shares was $39.42.</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On February 21, 2023, the Company granted 17,943 restricted stock awards to certain employees pursuant to the 2015 Plan. The restricted shares vest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On February 21,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1701" w:name="Tc_sLYgJ9nag0yXsfudWZ7Atg_9_9"/>
      <w:bookmarkStart w:id="1702" w:name="Tc_-IWA14Be3U2lwaqbLKfAJw_9_4"/>
      <w:bookmarkStart w:id="1703" w:name="Tc_p65tcKryfUugkHlN5nTiJA_9_0"/>
      <w:bookmarkStart w:id="1704" w:name="Tc_d54KdKXrNUCi-zsNuPYNbw_8_10"/>
      <w:bookmarkStart w:id="1705" w:name="Tc_32kLEkQjaUigsHibMgUhcA_8_9"/>
      <w:bookmarkStart w:id="1706" w:name="Tc_4QTZCmyv9EKdvk8yZP8N5Q_8_7"/>
      <w:bookmarkStart w:id="1707" w:name="Tc_5yAzmPHKA0KdxWV3vcZa8Q_8_5"/>
      <w:bookmarkStart w:id="1708" w:name="Tc_A26i0fwtUEyAISn2WFTeaA_8_4"/>
      <w:bookmarkStart w:id="1709" w:name="Tc_zA5Sgw9yT0uTxXgllEQY1Q_8_2"/>
      <w:bookmarkStart w:id="1710" w:name="Tc_4wJwoGilPUuW-QwAr9Soeg_8_0"/>
      <w:bookmarkStart w:id="1711" w:name="Tc_XutzqM6YkE-Oryhb6SBYdw_7_10"/>
      <w:bookmarkStart w:id="1712" w:name="Tc_mBTsYqWtGUOlDelgPEKvxw_7_9"/>
      <w:bookmarkStart w:id="1713" w:name="Tc_z46rvd04VEOLW-4Mg7zdmg_7_7"/>
      <w:bookmarkStart w:id="1714" w:name="Tc_lKVMIlVSQk6bewlCYPWmzg_7_4"/>
      <w:bookmarkStart w:id="1715" w:name="Tc_w7MgSR5NsUSPTa8qoPyTFQ_7_0"/>
      <w:bookmarkStart w:id="1716" w:name="Tc_wkkOe_6ED0SAgLOuUb1KLw_6_9"/>
      <w:bookmarkStart w:id="1717" w:name="Tc_r93fBeSq3kWNjAwRd-AuIw_6_4"/>
      <w:bookmarkStart w:id="1718" w:name="Tc_LbIEmpW4Vk-cXoCAvLWzOA_6_0"/>
      <w:bookmarkStart w:id="1719" w:name="Tc_Nz2-rP7ARES_ysNJAS340w_5_10"/>
      <w:bookmarkStart w:id="1720" w:name="Tc_RjVyNu7U50qSaBlmdj93PA_5_9"/>
      <w:bookmarkStart w:id="1721" w:name="Tc_AYcbeao_zE6sH2gD3odMsA_5_7"/>
      <w:bookmarkStart w:id="1722" w:name="Tc_RNMZ7uB_hUasb0N9C_wx6g_5_4"/>
      <w:bookmarkStart w:id="1723" w:name="Tc_EN0wBP8hpk-8mqIb_VQGvQ_5_0"/>
      <w:bookmarkStart w:id="1724" w:name="Tc_rPct67IDt0uIFJOr_Hg8Ig_4_10"/>
      <w:bookmarkStart w:id="1725" w:name="Tc_kx7XD9R0SUao8S6kheSgbA_4_7"/>
      <w:bookmarkStart w:id="1726" w:name="Tc_ybwAvQApC0S6V5fVXrNNbA_4_5"/>
      <w:bookmarkStart w:id="1727" w:name="Tc_AI8gj31un0KSUT_zC9nq9Q_4_2"/>
      <w:bookmarkStart w:id="1728" w:name="Tc_Jv9NOQ5OVEeOdAgSFHhz1A_4_0"/>
      <w:bookmarkStart w:id="1729" w:name="Tc_gRJvuH7gpEWKteGbsUVeUQ_3_10"/>
      <w:bookmarkStart w:id="1730" w:name="Tc_tXd8HC6GhUOZqlUCpzeqNQ_3_7"/>
      <w:bookmarkStart w:id="1731" w:name="Tc_IJbcXYFtlUWR5UeeH5jkPg_3_5"/>
      <w:bookmarkStart w:id="1732" w:name="Tc_iTPHW1snakWubvE4eTShkQ_3_2"/>
      <w:bookmarkStart w:id="1733" w:name="Tc_zUh_oHt760SuI33UYww0AA_2_10"/>
      <w:bookmarkStart w:id="1734" w:name="Tc_EKykQ3fj-EiKYRnIV_UeZw_2_5"/>
      <w:bookmarkStart w:id="1735" w:name="Tc_Jxg53a4dM06GGJmnB4-9zw_1_7"/>
      <w:bookmarkStart w:id="1736" w:name="Tc_8GKvtp3I-0Ss-pK3TQ3sNw_1_2"/>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r>
        <w:rPr>
          <w:rFonts w:ascii="Times New Roman;Times;serif" w:hAnsi="Times New Roman;Times;serif"/>
          <w:sz w:val="20"/>
        </w:rPr>
        <w:t>2023, the Company also granted 5,760 restricted stock awards to an employee pursuant to the 2015 Plan. The restricted shares vest in January 2030, subject to the recipient’s continued employment through and on the applicable vesting date. The weighted average grant date fair value of the restricted shares was $44.30.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April 8, 2022, the Company granted 4,361 restricted stock awards to an employee pursuant to the 2015 Plan. The restricted shares vest in January 2030, subject to the recipient’s continued employment through and on the applicable vesting date. The weighted average grant date fair value of the restricted shares was $55.73.</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February 22, 2022, the Company granted 25,594 restricted stock awards to certain employees pursuant to the 2015 Plan. The restricted shares vest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During the three months ended March 31, 2023, 8,531 of the restricted shares vested on the first annual anniversary. The weighted average grant date fair value of the restricted shares was $46.73.</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Following is a summary of non-vested restricted share activity:</w:t>
      </w:r>
    </w:p>
    <w:p>
      <w:pPr>
        <w:pStyle w:val="TextBody"/>
        <w:spacing w:before="0" w:after="0"/>
        <w:ind w:left="0" w:right="0" w:hanging="0"/>
        <w:rPr/>
      </w:pPr>
      <w:r>
        <w:rPr/>
        <w:t>​</w:t>
      </w:r>
    </w:p>
    <w:tbl>
      <w:tblPr>
        <w:tblW w:w="8511" w:type="dxa"/>
        <w:jc w:val="left"/>
        <w:tblInd w:w="0" w:type="dxa"/>
        <w:tblCellMar>
          <w:top w:w="0" w:type="dxa"/>
          <w:left w:w="0" w:type="dxa"/>
          <w:bottom w:w="0" w:type="dxa"/>
          <w:right w:w="0" w:type="dxa"/>
        </w:tblCellMar>
      </w:tblPr>
      <w:tblGrid>
        <w:gridCol w:w="2641"/>
        <w:gridCol w:w="109"/>
        <w:gridCol w:w="933"/>
        <w:gridCol w:w="114"/>
        <w:gridCol w:w="222"/>
        <w:gridCol w:w="1534"/>
        <w:gridCol w:w="109"/>
        <w:gridCol w:w="933"/>
        <w:gridCol w:w="114"/>
        <w:gridCol w:w="222"/>
        <w:gridCol w:w="1580"/>
      </w:tblGrid>
      <w:tr>
        <w:trPr/>
        <w:tc>
          <w:tcPr>
            <w:tcW w:w="2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677035" cy="175260"/>
                      <wp:effectExtent l="0" t="0" r="0" b="0"/>
                      <wp:wrapNone/>
                      <wp:docPr id="374" name="Frame374"/>
                      <a:graphic xmlns:a="http://schemas.openxmlformats.org/drawingml/2006/main">
                        <a:graphicData uri="http://schemas.microsoft.com/office/word/2010/wordprocessingShape">
                          <wps:wsp>
                            <wps:cNvSpPr txBox="1"/>
                            <wps:spPr>
                              <a:xfrm>
                                <a:off x="0" y="0"/>
                                <a:ext cx="1677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92455" cy="175260"/>
                      <wp:effectExtent l="0" t="0" r="0" b="0"/>
                      <wp:wrapNone/>
                      <wp:docPr id="376" name="Frame376"/>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2390" cy="175260"/>
                      <wp:effectExtent l="0" t="0" r="0" b="0"/>
                      <wp:wrapNone/>
                      <wp:docPr id="377" name="Frame377"/>
                      <a:graphic xmlns:a="http://schemas.openxmlformats.org/drawingml/2006/main">
                        <a:graphicData uri="http://schemas.microsoft.com/office/word/2010/wordprocessingShape">
                          <wps:wsp>
                            <wps:cNvSpPr txBox="1"/>
                            <wps:spPr>
                              <a:xfrm>
                                <a:off x="0" y="0"/>
                                <a:ext cx="72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40970" cy="175260"/>
                      <wp:effectExtent l="0" t="0" r="0" b="0"/>
                      <wp:wrapNone/>
                      <wp:docPr id="378" name="Frame378"/>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974090" cy="175260"/>
                      <wp:effectExtent l="0" t="0" r="0" b="0"/>
                      <wp:wrapNone/>
                      <wp:docPr id="379" name="Frame379"/>
                      <a:graphic xmlns:a="http://schemas.openxmlformats.org/drawingml/2006/main">
                        <a:graphicData uri="http://schemas.microsoft.com/office/word/2010/wordprocessingShape">
                          <wps:wsp>
                            <wps:cNvSpPr txBox="1"/>
                            <wps:spPr>
                              <a:xfrm>
                                <a:off x="0" y="0"/>
                                <a:ext cx="974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92455" cy="175260"/>
                      <wp:effectExtent l="0" t="0" r="0" b="0"/>
                      <wp:wrapNone/>
                      <wp:docPr id="381" name="Frame381"/>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72390" cy="175260"/>
                      <wp:effectExtent l="0" t="0" r="0" b="0"/>
                      <wp:wrapNone/>
                      <wp:docPr id="382" name="Frame382"/>
                      <a:graphic xmlns:a="http://schemas.openxmlformats.org/drawingml/2006/main">
                        <a:graphicData uri="http://schemas.microsoft.com/office/word/2010/wordprocessingShape">
                          <wps:wsp>
                            <wps:cNvSpPr txBox="1"/>
                            <wps:spPr>
                              <a:xfrm>
                                <a:off x="0" y="0"/>
                                <a:ext cx="72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40970" cy="175260"/>
                      <wp:effectExtent l="0" t="0" r="0" b="0"/>
                      <wp:wrapNone/>
                      <wp:docPr id="383" name="Frame383"/>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003300" cy="175260"/>
                      <wp:effectExtent l="0" t="0" r="0" b="0"/>
                      <wp:wrapNone/>
                      <wp:docPr id="384" name="Frame384"/>
                      <a:graphic xmlns:a="http://schemas.openxmlformats.org/drawingml/2006/main">
                        <a:graphicData uri="http://schemas.microsoft.com/office/word/2010/wordprocessingShape">
                          <wps:wsp>
                            <wps:cNvSpPr txBox="1"/>
                            <wps:spPr>
                              <a:xfrm>
                                <a:off x="0" y="0"/>
                                <a:ext cx="10033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80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c>
          <w:tcPr>
            <w:tcW w:w="109" w:type="dxa"/>
            <w:tcBorders/>
            <w:shd w:fill="auto" w:val="clear"/>
            <w:vAlign w:val="center"/>
          </w:tcPr>
          <w:p>
            <w:pPr>
              <w:pStyle w:val="TableContents"/>
              <w:spacing w:before="0" w:after="0"/>
              <w:ind w:left="0" w:right="0" w:hanging="0"/>
              <w:rPr/>
            </w:pPr>
            <w:r>
              <w:rPr/>
              <w:t>​</w:t>
            </w:r>
          </w:p>
        </w:tc>
        <w:tc>
          <w:tcPr>
            <w:tcW w:w="284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2022</w:t>
            </w:r>
          </w:p>
        </w:tc>
      </w:tr>
      <w:tr>
        <w:trPr/>
        <w:tc>
          <w:tcPr>
            <w:tcW w:w="26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rPr/>
            </w:pPr>
            <w:r>
              <w:rPr/>
              <w:t>​</w:t>
            </w:r>
          </w:p>
        </w:tc>
        <w:tc>
          <w:tcPr>
            <w:tcW w:w="114"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jc w:val="center"/>
              <w:rPr/>
            </w:pPr>
            <w:r>
              <w:rPr/>
              <w:t>​</w:t>
            </w:r>
          </w:p>
        </w:tc>
        <w:tc>
          <w:tcPr>
            <w:tcW w:w="153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09" w:type="dxa"/>
            <w:tcBorders/>
            <w:shd w:fill="auto" w:val="clear"/>
            <w:vAlign w:val="center"/>
          </w:tcPr>
          <w:p>
            <w:pPr>
              <w:pStyle w:val="TableContents"/>
              <w:spacing w:before="0" w:after="0"/>
              <w:ind w:left="0" w:right="0" w:hanging="0"/>
              <w:jc w:val="center"/>
              <w:rPr/>
            </w:pPr>
            <w:r>
              <w:rPr/>
              <w:t>​</w:t>
            </w:r>
          </w:p>
        </w:tc>
        <w:tc>
          <w:tcPr>
            <w:tcW w:w="933" w:type="dxa"/>
            <w:tcBorders/>
            <w:shd w:fill="auto" w:val="clear"/>
            <w:vAlign w:val="center"/>
          </w:tcPr>
          <w:p>
            <w:pPr>
              <w:pStyle w:val="TableContents"/>
              <w:spacing w:before="0" w:after="0"/>
              <w:ind w:left="0" w:right="0" w:hanging="0"/>
              <w:rPr/>
            </w:pPr>
            <w:r>
              <w:rPr/>
              <w:t>​</w:t>
            </w:r>
          </w:p>
        </w:tc>
        <w:tc>
          <w:tcPr>
            <w:tcW w:w="114"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pPr>
            <w:r>
              <w:rPr/>
              <w:t>​</w:t>
            </w:r>
          </w:p>
        </w:tc>
        <w:tc>
          <w:tcPr>
            <w:tcW w:w="158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6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14" w:type="dxa"/>
            <w:tcBorders/>
            <w:shd w:fill="auto" w:val="clear"/>
            <w:vAlign w:val="center"/>
          </w:tcPr>
          <w:p>
            <w:pPr>
              <w:pStyle w:val="TableContents"/>
              <w:spacing w:before="0" w:after="0"/>
              <w:ind w:left="0" w:right="0" w:hanging="0"/>
              <w:jc w:val="center"/>
              <w:rPr/>
            </w:pPr>
            <w:r>
              <w:rPr/>
              <w:t>​</w:t>
            </w:r>
          </w:p>
        </w:tc>
        <w:tc>
          <w:tcPr>
            <w:tcW w:w="222" w:type="dxa"/>
            <w:tcBorders/>
            <w:shd w:fill="auto" w:val="clear"/>
            <w:vAlign w:val="center"/>
          </w:tcPr>
          <w:p>
            <w:pPr>
              <w:pStyle w:val="TableContents"/>
              <w:spacing w:before="0" w:after="0"/>
              <w:ind w:left="0" w:right="0" w:hanging="0"/>
              <w:jc w:val="center"/>
              <w:rPr/>
            </w:pPr>
            <w:r>
              <w:rPr/>
              <w:t>​</w:t>
            </w:r>
          </w:p>
        </w:tc>
        <w:tc>
          <w:tcPr>
            <w:tcW w:w="153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shd w:fill="auto" w:val="clear"/>
            <w:vAlign w:val="center"/>
          </w:tcPr>
          <w:p>
            <w:pPr>
              <w:pStyle w:val="TableContents"/>
              <w:spacing w:before="0" w:after="0"/>
              <w:ind w:left="0" w:right="0" w:hanging="0"/>
              <w:jc w:val="center"/>
              <w:rPr/>
            </w:pPr>
            <w:r>
              <w:rPr/>
              <w:t>​</w:t>
            </w:r>
          </w:p>
        </w:tc>
        <w:tc>
          <w:tcPr>
            <w:tcW w:w="93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14" w:type="dxa"/>
            <w:tcBorders/>
            <w:shd w:fill="auto" w:val="clear"/>
            <w:vAlign w:val="center"/>
          </w:tcPr>
          <w:p>
            <w:pPr>
              <w:pStyle w:val="TableContents"/>
              <w:spacing w:before="0" w:after="0"/>
              <w:ind w:left="0" w:right="0" w:hanging="0"/>
              <w:jc w:val="center"/>
              <w:rPr/>
            </w:pPr>
            <w:r>
              <w:rPr/>
              <w:t>​</w:t>
            </w:r>
          </w:p>
        </w:tc>
        <w:tc>
          <w:tcPr>
            <w:tcW w:w="222" w:type="dxa"/>
            <w:tcBorders/>
            <w:shd w:fill="auto" w:val="clear"/>
            <w:vAlign w:val="center"/>
          </w:tcPr>
          <w:p>
            <w:pPr>
              <w:pStyle w:val="TableContents"/>
              <w:spacing w:before="0" w:after="0"/>
              <w:ind w:left="0" w:right="0" w:hanging="0"/>
              <w:jc w:val="center"/>
              <w:rPr/>
            </w:pPr>
            <w:r>
              <w:rPr/>
              <w:t>​</w:t>
            </w:r>
          </w:p>
        </w:tc>
        <w:tc>
          <w:tcPr>
            <w:tcW w:w="158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6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Non-Vested Restricted Shares</w:t>
            </w:r>
          </w:p>
        </w:tc>
        <w:tc>
          <w:tcPr>
            <w:tcW w:w="109" w:type="dxa"/>
            <w:tcBorders/>
            <w:shd w:fill="auto" w:val="clear"/>
            <w:vAlign w:val="center"/>
          </w:tcPr>
          <w:p>
            <w:pPr>
              <w:pStyle w:val="TableContents"/>
              <w:spacing w:before="0" w:after="0"/>
              <w:ind w:left="0" w:right="0" w:hanging="0"/>
              <w:rPr/>
            </w:pPr>
            <w:r>
              <w:rPr/>
              <w:t>​</w:t>
            </w:r>
          </w:p>
        </w:tc>
        <w:tc>
          <w:tcPr>
            <w:tcW w:w="93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14" w:type="dxa"/>
            <w:tcBorders/>
            <w:shd w:fill="auto" w:val="clear"/>
            <w:vAlign w:val="center"/>
          </w:tcPr>
          <w:p>
            <w:pPr>
              <w:pStyle w:val="TableContents"/>
              <w:spacing w:before="0" w:after="0"/>
              <w:ind w:left="0" w:right="0" w:hanging="0"/>
              <w:jc w:val="center"/>
              <w:rPr/>
            </w:pPr>
            <w:r>
              <w:rPr/>
              <w:t>​</w:t>
            </w:r>
          </w:p>
        </w:tc>
        <w:tc>
          <w:tcPr>
            <w:tcW w:w="222"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53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shd w:fill="auto" w:val="clear"/>
            <w:vAlign w:val="center"/>
          </w:tcPr>
          <w:p>
            <w:pPr>
              <w:pStyle w:val="TableContents"/>
              <w:spacing w:before="0" w:after="0"/>
              <w:ind w:left="0" w:right="0" w:hanging="0"/>
              <w:jc w:val="center"/>
              <w:rPr/>
            </w:pPr>
            <w:r>
              <w:rPr/>
              <w:t>​</w:t>
            </w:r>
          </w:p>
        </w:tc>
        <w:tc>
          <w:tcPr>
            <w:tcW w:w="93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14" w:type="dxa"/>
            <w:tcBorders/>
            <w:shd w:fill="auto" w:val="clear"/>
            <w:vAlign w:val="center"/>
          </w:tcPr>
          <w:p>
            <w:pPr>
              <w:pStyle w:val="TableContents"/>
              <w:spacing w:before="0" w:after="0"/>
              <w:ind w:left="0" w:right="0" w:hanging="0"/>
              <w:jc w:val="center"/>
              <w:rPr/>
            </w:pPr>
            <w:r>
              <w:rPr/>
              <w:t>​</w:t>
            </w:r>
          </w:p>
        </w:tc>
        <w:tc>
          <w:tcPr>
            <w:tcW w:w="222"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58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29,955</w:t>
            </w:r>
          </w:p>
        </w:tc>
        <w:tc>
          <w:tcPr>
            <w:tcW w:w="114"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48.04</w:t>
            </w:r>
          </w:p>
        </w:tc>
        <w:tc>
          <w:tcPr>
            <w:tcW w:w="109"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pPr>
            <w:r>
              <w:rPr/>
              <w:t>—</w:t>
            </w:r>
          </w:p>
        </w:tc>
        <w:tc>
          <w:tcPr>
            <w:tcW w:w="114"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80" w:type="dxa"/>
            <w:tcBorders/>
            <w:shd w:fill="CCEEFF" w:val="clear"/>
            <w:vAlign w:val="center"/>
          </w:tcPr>
          <w:p>
            <w:pPr>
              <w:pStyle w:val="TableContents"/>
              <w:spacing w:before="0" w:after="0"/>
              <w:ind w:left="0" w:right="0" w:hanging="0"/>
              <w:jc w:val="right"/>
              <w:rPr/>
            </w:pPr>
            <w:r>
              <w:rPr/>
              <w:t>—</w:t>
            </w:r>
          </w:p>
        </w:tc>
      </w:tr>
      <w:tr>
        <w:trPr/>
        <w:tc>
          <w:tcPr>
            <w:tcW w:w="2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109"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36,499</w:t>
            </w:r>
          </w:p>
        </w:tc>
        <w:tc>
          <w:tcPr>
            <w:tcW w:w="114"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42.59</w:t>
            </w:r>
          </w:p>
        </w:tc>
        <w:tc>
          <w:tcPr>
            <w:tcW w:w="109"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25,594</w:t>
            </w:r>
          </w:p>
        </w:tc>
        <w:tc>
          <w:tcPr>
            <w:tcW w:w="114"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8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46.73</w:t>
            </w:r>
          </w:p>
        </w:tc>
      </w:tr>
      <w:tr>
        <w:trPr/>
        <w:tc>
          <w:tcPr>
            <w:tcW w:w="2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(8,531)</w:t>
            </w:r>
          </w:p>
        </w:tc>
        <w:tc>
          <w:tcPr>
            <w:tcW w:w="114"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46.73</w:t>
            </w:r>
          </w:p>
        </w:tc>
        <w:tc>
          <w:tcPr>
            <w:tcW w:w="109"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pPr>
            <w:r>
              <w:rPr/>
              <w:t>—</w:t>
            </w:r>
          </w:p>
        </w:tc>
        <w:tc>
          <w:tcPr>
            <w:tcW w:w="114"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80" w:type="dxa"/>
            <w:tcBorders/>
            <w:shd w:fill="CCEEFF" w:val="clear"/>
            <w:vAlign w:val="center"/>
          </w:tcPr>
          <w:p>
            <w:pPr>
              <w:pStyle w:val="TableContents"/>
              <w:spacing w:before="0" w:after="0"/>
              <w:ind w:left="0" w:right="0" w:hanging="0"/>
              <w:jc w:val="right"/>
              <w:rPr/>
            </w:pPr>
            <w:r>
              <w:rPr/>
              <w:t>—</w:t>
            </w:r>
          </w:p>
        </w:tc>
      </w:tr>
      <w:tr>
        <w:trPr/>
        <w:tc>
          <w:tcPr>
            <w:tcW w:w="2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109" w:type="dxa"/>
            <w:tcBorders/>
            <w:shd w:fill="auto" w:val="clear"/>
            <w:vAlign w:val="center"/>
          </w:tcPr>
          <w:p>
            <w:pPr>
              <w:pStyle w:val="TableContents"/>
              <w:spacing w:before="0" w:after="0"/>
              <w:ind w:left="0" w:right="0" w:hanging="0"/>
              <w:rPr/>
            </w:pPr>
            <w:r>
              <w:rPr/>
              <w:t>​</w:t>
            </w:r>
          </w:p>
        </w:tc>
        <w:tc>
          <w:tcPr>
            <w:tcW w:w="93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4"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93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4"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80" w:type="dxa"/>
            <w:tcBorders/>
            <w:shd w:fill="auto" w:val="clear"/>
            <w:vAlign w:val="center"/>
          </w:tcPr>
          <w:p>
            <w:pPr>
              <w:pStyle w:val="TableContents"/>
              <w:spacing w:before="0" w:after="0"/>
              <w:ind w:left="0" w:right="0" w:hanging="0"/>
              <w:jc w:val="right"/>
              <w:rPr/>
            </w:pPr>
            <w:r>
              <w:rPr/>
              <w:t>—</w:t>
            </w:r>
          </w:p>
        </w:tc>
      </w:tr>
      <w:tr>
        <w:trPr/>
        <w:tc>
          <w:tcPr>
            <w:tcW w:w="2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end of period</w:t>
            </w:r>
          </w:p>
        </w:tc>
        <w:tc>
          <w:tcPr>
            <w:tcW w:w="109" w:type="dxa"/>
            <w:tcBorders/>
            <w:shd w:fill="CCEEFF" w:val="clear"/>
            <w:vAlign w:val="center"/>
          </w:tcPr>
          <w:p>
            <w:pPr>
              <w:pStyle w:val="TableContents"/>
              <w:spacing w:before="0" w:after="0"/>
              <w:ind w:left="0" w:right="0" w:hanging="0"/>
              <w:rPr/>
            </w:pPr>
            <w:r>
              <w:rPr/>
              <w:t>​</w:t>
            </w:r>
          </w:p>
        </w:tc>
        <w:tc>
          <w:tcPr>
            <w:tcW w:w="93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57,923</w:t>
            </w:r>
          </w:p>
        </w:tc>
        <w:tc>
          <w:tcPr>
            <w:tcW w:w="114"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c>
          <w:tcPr>
            <w:tcW w:w="109" w:type="dxa"/>
            <w:tcBorders/>
            <w:shd w:fill="CCEEFF" w:val="clear"/>
            <w:vAlign w:val="center"/>
          </w:tcPr>
          <w:p>
            <w:pPr>
              <w:pStyle w:val="TableContents"/>
              <w:spacing w:before="0" w:after="0"/>
              <w:ind w:left="0" w:right="0" w:hanging="0"/>
              <w:rPr/>
            </w:pPr>
            <w:r>
              <w:rPr/>
              <w:t>​</w:t>
            </w:r>
          </w:p>
        </w:tc>
        <w:tc>
          <w:tcPr>
            <w:tcW w:w="93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25,594</w:t>
            </w:r>
          </w:p>
        </w:tc>
        <w:tc>
          <w:tcPr>
            <w:tcW w:w="114"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80"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46.73</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Stock based compensation cost is measured at the grant date based on the fair value of the award and is typically recognized as expense on a straight-line basis over the requisite service period, which is the vesting period. Forfeitures are accounted for as they occur. During each of the three months ended March 31, 2023 and 2022, the Company recorded expense of $0.1 million, related to restricted stock awards.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March 31, 2023 and December 31, 2022, there was $2.5 million and $1.1 million, respectively, of unrecognized compensation cost, related to non-vested restricted shares. As of March 31, 2023, unrecognized compensation costs will be recognized over a weighted average period of 3.5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737" w:name="Tc_Xm5fSfFHOEG0-YP1aItyZg_14_14"/>
      <w:bookmarkStart w:id="1738" w:name="Tc_Xi0DhYHWyk-izXo2Dv2jxA_14_11"/>
      <w:bookmarkStart w:id="1739" w:name="Tc_mISxQ4UTgEW-WIQooFIUaw_14_8"/>
      <w:bookmarkStart w:id="1740" w:name="Tc_ebhutyU2BE-vXc3wJ63RCQ_14_5"/>
      <w:bookmarkStart w:id="1741" w:name="Tc_xgg_YEU2IkWxMzLM3zNrEw_14_2"/>
      <w:bookmarkStart w:id="1742" w:name="Tc_ls8MNxo76Umd11ph9AR2IQ_14_0"/>
      <w:bookmarkStart w:id="1743" w:name="Tc_StSvGB_YyUS5TADZ0pdjsA_13_0"/>
      <w:bookmarkStart w:id="1744" w:name="Tc_Ww1LoWqWTEWJHA2idsHjtQ_12_12"/>
      <w:bookmarkStart w:id="1745" w:name="Tc_P3O0i6hwCEOhCDA6D1v5qA_12_9"/>
      <w:bookmarkStart w:id="1746" w:name="Tc_gJP3CqscQk2yMzHw1WoS9Q_12_3"/>
      <w:bookmarkStart w:id="1747" w:name="Tc_nbfiAJFmyECM0MmRbxpIxA_12_0"/>
      <w:bookmarkStart w:id="1748" w:name="Tc_O3tV_F8oyEKWfiAu4nB5fg_11_14"/>
      <w:bookmarkStart w:id="1749" w:name="Tc_-qfqCg1VeECI7fDLPbxizA_11_11"/>
      <w:bookmarkStart w:id="1750" w:name="Tc_3c8lp_QWlUK1fyYytmzC3g_11_8"/>
      <w:bookmarkStart w:id="1751" w:name="Tc_hny4Rta8hEm9Jj3TDSCPsQ_11_5"/>
      <w:bookmarkStart w:id="1752" w:name="Tc_B0Ye2PUJvkOI1OTrtwfScg_11_2"/>
      <w:bookmarkStart w:id="1753" w:name="Tc_reKgkVspEUWf-1fWGgYg9g_11_0"/>
      <w:bookmarkStart w:id="1754" w:name="Tc_HBuKRhItq0aS97wMEYj7Kw_10_0"/>
      <w:bookmarkStart w:id="1755" w:name="Tc_ZI-R3kYJpEKdeYQPvzMc1A_8_14"/>
      <w:bookmarkStart w:id="1756" w:name="Tc_gJ45NQfxyEmdEilrvWlpjQ_8_11"/>
      <w:bookmarkStart w:id="1757" w:name="Tc_vHrn5KeQ9UOXzAOJxpTYXw_8_8"/>
      <w:bookmarkStart w:id="1758" w:name="Tc_nWKHYOq0akmQ-URXy-E3wQ_8_5"/>
      <w:bookmarkStart w:id="1759" w:name="Tc_3sDiOTOHukaZEBMdQmX6Ag_8_2"/>
      <w:bookmarkStart w:id="1760" w:name="Tc_h0a33BLo90eX1Vyg9vCOJA_8_0"/>
      <w:bookmarkStart w:id="1761" w:name="Tc_0SDPnXI9eESP6CbPxTTWBA_7_12"/>
      <w:bookmarkStart w:id="1762" w:name="Tc_gL0rVTuTrEKK_Y90H3eYfA_7_6"/>
      <w:bookmarkStart w:id="1763" w:name="Tc_ZxBT0xygDEGsH3tXJq3HEQ_7_3"/>
      <w:bookmarkStart w:id="1764" w:name="Tc_hgngwjwmR0mH3t-wc2KiCQ_7_0"/>
      <w:bookmarkStart w:id="1765" w:name="Tc_tbvhcFHGREu34ZGBOPywqQ_6_0"/>
      <w:bookmarkStart w:id="1766" w:name="Tc_BkKIHeMAS0mZjgtnwcKlSw_5_12"/>
      <w:bookmarkStart w:id="1767" w:name="Tc_S5YqBnfYj0iuhd6TBbcPIQ_5_3"/>
      <w:bookmarkStart w:id="1768" w:name="Tc_9LMAI2ej-Em1lXfGq2kLvg_5_0"/>
      <w:bookmarkStart w:id="1769" w:name="Tc_qLaz7b1eTU25AX4GoDMOHQ_4_14"/>
      <w:bookmarkStart w:id="1770" w:name="Tc_tg4R2wDhVkC0yf93S27UeA_4_11"/>
      <w:bookmarkStart w:id="1771" w:name="Tc_m5PMHIcekUCufvlqrTQ2dw_4_8"/>
      <w:bookmarkStart w:id="1772" w:name="Tc_AmwBL_7T4U6YMqcaZzEBkQ_4_6"/>
      <w:bookmarkStart w:id="1773" w:name="Tc_JHVmJnQUEEmHnnt65nAPJQ_4_5"/>
      <w:bookmarkStart w:id="1774" w:name="Tc_qcQfpSdayE-zwu6VQeuQqw_4_2"/>
      <w:bookmarkStart w:id="1775" w:name="Tc_o-Gxm2CYFkKjfcYo1zkZaQ_4_0"/>
      <w:bookmarkStart w:id="1776" w:name="Tc_2zFB38_yDkKH3QZT5GTClQ_3_0"/>
      <w:bookmarkStart w:id="1777" w:name="Tc_KbowBezoOE2R27pyjTK-nQ_2_14"/>
      <w:bookmarkStart w:id="1778" w:name="Tc_3xocfrO3OEKhqFTG54rr6g_2_11"/>
      <w:bookmarkStart w:id="1779" w:name="Tc_X_iAdea9o06gl_MvKmWCTw_2_8"/>
      <w:bookmarkStart w:id="1780" w:name="Tc_38AYeeLlFEKhJCvByAlDmw_2_5"/>
      <w:bookmarkStart w:id="1781" w:name="Tc_VrG6y9raaUamlz2SFwtY5A_2_2"/>
      <w:bookmarkStart w:id="1782" w:name="Tc_EaTJY6mGE0amxdtyxKaT6g_1_2"/>
      <w:bookmarkStart w:id="1783" w:name="_515e0239_a0d9_4413_a64c_c071846a6f71"/>
      <w:bookmarkStart w:id="1784" w:name="Tc_3bT9QJLdx0CMWQXj-AxkYg_14_14"/>
      <w:bookmarkStart w:id="1785" w:name="Tc_BADua-t0KkKkW3DmRysBjQ_14_11"/>
      <w:bookmarkStart w:id="1786" w:name="Tc_aQumg2K7VEWMnhGlAKTc7g_14_8"/>
      <w:bookmarkStart w:id="1787" w:name="Tc_vn5pj0Gp5k2aueqjs9_IHA_14_5"/>
      <w:bookmarkStart w:id="1788" w:name="Tc_ZIAUqGIenk6KrUIQTr4S8Q_14_2"/>
      <w:bookmarkStart w:id="1789" w:name="Tc_S6za7yGB3EOawQo_r4n79Q_14_0"/>
      <w:bookmarkStart w:id="1790" w:name="Tc_Zlk9BWJDB0a2Yk9ZhrEAMQ_13_0"/>
      <w:bookmarkStart w:id="1791" w:name="Tc_yoXvy1Chl0G5XVb67mnnxQ_12_12"/>
      <w:bookmarkStart w:id="1792" w:name="Tc_AZomgUOFE0mhm8iSzhWjyw_12_9"/>
      <w:bookmarkStart w:id="1793" w:name="Tc_kwZ7sNY24ki4MEl_tmyvUA_12_3"/>
      <w:bookmarkStart w:id="1794" w:name="Tc_4SaHVoJBCU2Y-8lNPlbTpg_12_0"/>
      <w:bookmarkStart w:id="1795" w:name="Tc_W5GirSkOLk6vwU9wV9ELBw_11_14"/>
      <w:bookmarkStart w:id="1796" w:name="Tc_1V390Hh0uEWA_JHnIsibhg_11_11"/>
      <w:bookmarkStart w:id="1797" w:name="Tc_nHTpcR7RL0yv4rvgVn5vNw_11_8"/>
      <w:bookmarkStart w:id="1798" w:name="Tc_ELBTKsMDQU-dZy8f0Ix0uQ_11_5"/>
      <w:bookmarkStart w:id="1799" w:name="Tc_2KPT7LLSVEKG6HG21OoI_g_11_2"/>
      <w:bookmarkStart w:id="1800" w:name="Tc_LlsxnrgiqU6IZq_1NUO7_A_11_0"/>
      <w:bookmarkStart w:id="1801" w:name="Tc_LVFxtOKswkyLuIlDJOlCCg_10_0"/>
      <w:bookmarkStart w:id="1802" w:name="Tc_ztSq93IzVUyfs49pNJsNDw_8_14"/>
      <w:bookmarkStart w:id="1803" w:name="Tc_DbYcDFUPxk24-3MQisyXDA_8_11"/>
      <w:bookmarkStart w:id="1804" w:name="Tc_UfDtiU0-xU-4IjjSW6EJSg_8_8"/>
      <w:bookmarkStart w:id="1805" w:name="Tc_WV01DYSsIk2qajKiFVk3og_8_5"/>
      <w:bookmarkStart w:id="1806" w:name="Tc_8x1SZOs7r0q5wSUmMvum9Q_8_2"/>
      <w:bookmarkStart w:id="1807" w:name="Tc_xpNnuTbBB0mHA2IKZgACLg_8_0"/>
      <w:bookmarkStart w:id="1808" w:name="Tc_dSGEBOH6u02ReDPxCSoO7Q_7_12"/>
      <w:bookmarkStart w:id="1809" w:name="Tc_9EpJLjr5qUqzCVtqL9NKcg_7_6"/>
      <w:bookmarkStart w:id="1810" w:name="Tc_FOd81ef8s0y0LEikqxz39g_7_3"/>
      <w:bookmarkStart w:id="1811" w:name="Tc_yLpfcKY6_0me0KBhQTV3_A_7_0"/>
      <w:bookmarkStart w:id="1812" w:name="Tc_Bpdk2E_CxUC9K-7JDgoNvg_6_0"/>
      <w:bookmarkStart w:id="1813" w:name="Tc_NK3fuwW0EUyc6m8IF6IgCw_5_12"/>
      <w:bookmarkStart w:id="1814" w:name="Tc_tKWrc9P5S0yba4HRJsAz0A_5_9"/>
      <w:bookmarkStart w:id="1815" w:name="Tc_9OkwSD0yoUOVhzojhC_Gfg_5_3"/>
      <w:bookmarkStart w:id="1816" w:name="Tc_q9-qatucGU---J4hrc_gOg_5_0"/>
      <w:bookmarkStart w:id="1817" w:name="Tc_5kUtNFsoH0GvOHsX_rvtGw_4_14"/>
      <w:bookmarkStart w:id="1818" w:name="Tc_dEIwp2bCvUKb0lRTc-ucbw_4_11"/>
      <w:bookmarkStart w:id="1819" w:name="Tc_JF11-FhVl0CjXGjMSN4GcA_4_8"/>
      <w:bookmarkStart w:id="1820" w:name="Tc_ZiqweDeTZUSuQtSovwZa8g_4_6"/>
      <w:bookmarkStart w:id="1821" w:name="Tc_4z38CXDb-0al7A9nNVAMsw_4_5"/>
      <w:bookmarkStart w:id="1822" w:name="Tc_GPiNTMQRJkePuH9bi32hRQ_4_2"/>
      <w:bookmarkStart w:id="1823" w:name="Tc_jz3NGk06WkSXUHdcuWVQZg_4_0"/>
      <w:bookmarkStart w:id="1824" w:name="Tc_p6XohFL88USZxzET-JEV5w_3_0"/>
      <w:bookmarkStart w:id="1825" w:name="Tc_UPLtZVrr6k-3vDzyJJQPFg_2_14"/>
      <w:bookmarkStart w:id="1826" w:name="Tc_8itiwwbn9Ue8a6SenunJhA_2_11"/>
      <w:bookmarkStart w:id="1827" w:name="Tc_EF0GA1jpDE-pVgMOE6POsA_2_8"/>
      <w:bookmarkStart w:id="1828" w:name="Tc_NxDP4985eEOK4jCZAmOc3g_2_5"/>
      <w:bookmarkStart w:id="1829" w:name="Tc_efepkN9QXE-bN9GtDTi8Cw_2_2"/>
      <w:bookmarkStart w:id="1830" w:name="Tc_o-hJUBigD0axNlnrBAJ_vg_1_2"/>
      <w:bookmarkStart w:id="1831" w:name="_b8b1664e_bbbc_4718_8f52_0b4f1c5091c4"/>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r>
        <w:rPr>
          <w:rFonts w:ascii="Times New Roman;Times;serif" w:hAnsi="Times New Roman;Times;serif"/>
          <w:b/>
          <w:sz w:val="20"/>
        </w:rPr>
        <w:t>15. Revenue Recognition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 consists primarily of real estate sales, hospitality operations, leasing operations and timber sales. Taxes collected from customers and remitted to governmental authorities (e.g., sales tax) are excluded from revenue, costs and expenses. The following represents revenue disaggregated by segment, good or service and timing:</w:t>
      </w:r>
    </w:p>
    <w:p>
      <w:pPr>
        <w:pStyle w:val="TextBody"/>
        <w:spacing w:before="0" w:after="0"/>
        <w:ind w:left="0" w:right="0" w:hanging="0"/>
        <w:rPr/>
      </w:pPr>
      <w:r>
        <w:rPr/>
        <w:t>​</w:t>
      </w:r>
    </w:p>
    <w:tbl>
      <w:tblPr>
        <w:tblW w:w="8112" w:type="dxa"/>
        <w:jc w:val="left"/>
        <w:tblInd w:w="0" w:type="dxa"/>
        <w:tblCellMar>
          <w:top w:w="0" w:type="dxa"/>
          <w:left w:w="0" w:type="dxa"/>
          <w:bottom w:w="0" w:type="dxa"/>
          <w:right w:w="0" w:type="dxa"/>
        </w:tblCellMar>
      </w:tblPr>
      <w:tblGrid>
        <w:gridCol w:w="2941"/>
        <w:gridCol w:w="109"/>
        <w:gridCol w:w="214"/>
        <w:gridCol w:w="687"/>
        <w:gridCol w:w="109"/>
        <w:gridCol w:w="217"/>
        <w:gridCol w:w="699"/>
        <w:gridCol w:w="109"/>
        <w:gridCol w:w="245"/>
        <w:gridCol w:w="790"/>
        <w:gridCol w:w="109"/>
        <w:gridCol w:w="211"/>
        <w:gridCol w:w="571"/>
        <w:gridCol w:w="109"/>
        <w:gridCol w:w="211"/>
        <w:gridCol w:w="781"/>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867535" cy="175260"/>
                      <wp:effectExtent l="0" t="0" r="0" b="0"/>
                      <wp:wrapNone/>
                      <wp:docPr id="385" name="Frame385"/>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5890" cy="175260"/>
                      <wp:effectExtent l="0" t="0" r="0" b="0"/>
                      <wp:wrapNone/>
                      <wp:docPr id="387" name="Frame387"/>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36245" cy="175260"/>
                      <wp:effectExtent l="0" t="0" r="0" b="0"/>
                      <wp:wrapNone/>
                      <wp:docPr id="388" name="Frame388"/>
                      <a:graphic xmlns:a="http://schemas.openxmlformats.org/drawingml/2006/main">
                        <a:graphicData uri="http://schemas.microsoft.com/office/word/2010/wordprocessingShape">
                          <wps:wsp>
                            <wps:cNvSpPr txBox="1"/>
                            <wps:spPr>
                              <a:xfrm>
                                <a:off x="0" y="0"/>
                                <a:ext cx="436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9215" cy="175260"/>
                      <wp:effectExtent l="0" t="0" r="0" b="0"/>
                      <wp:wrapNone/>
                      <wp:docPr id="389" name="Frame3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7795" cy="175260"/>
                      <wp:effectExtent l="0" t="0" r="0" b="0"/>
                      <wp:wrapNone/>
                      <wp:docPr id="390" name="Frame390"/>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43865" cy="175260"/>
                      <wp:effectExtent l="0" t="0" r="0" b="0"/>
                      <wp:wrapNone/>
                      <wp:docPr id="391" name="Frame391"/>
                      <a:graphic xmlns:a="http://schemas.openxmlformats.org/drawingml/2006/main">
                        <a:graphicData uri="http://schemas.microsoft.com/office/word/2010/wordprocessingShape">
                          <wps:wsp>
                            <wps:cNvSpPr txBox="1"/>
                            <wps:spPr>
                              <a:xfrm>
                                <a:off x="0" y="0"/>
                                <a:ext cx="443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55575" cy="175260"/>
                      <wp:effectExtent l="0" t="0" r="0" b="0"/>
                      <wp:wrapNone/>
                      <wp:docPr id="393" name="Frame393"/>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01650" cy="175260"/>
                      <wp:effectExtent l="0" t="0" r="0" b="0"/>
                      <wp:wrapNone/>
                      <wp:docPr id="394" name="Frame394"/>
                      <a:graphic xmlns:a="http://schemas.openxmlformats.org/drawingml/2006/main">
                        <a:graphicData uri="http://schemas.microsoft.com/office/word/2010/wordprocessingShape">
                          <wps:wsp>
                            <wps:cNvSpPr txBox="1"/>
                            <wps:spPr>
                              <a:xfrm>
                                <a:off x="0" y="0"/>
                                <a:ext cx="501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62585" cy="175260"/>
                      <wp:effectExtent l="0" t="0" r="0" b="0"/>
                      <wp:wrapNone/>
                      <wp:docPr id="397" name="Frame39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9215" cy="175260"/>
                      <wp:effectExtent l="0" t="0" r="0" b="0"/>
                      <wp:wrapNone/>
                      <wp:docPr id="398" name="Frame3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95935" cy="175260"/>
                      <wp:effectExtent l="0" t="0" r="0" b="0"/>
                      <wp:wrapNone/>
                      <wp:docPr id="400" name="Frame40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062"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r>
      <w:tr>
        <w:trPr/>
        <w:tc>
          <w:tcPr>
            <w:tcW w:w="29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shd w:fill="auto" w:val="clear"/>
            <w:vAlign w:val="center"/>
          </w:tcPr>
          <w:p>
            <w:pPr>
              <w:pStyle w:val="TableContents"/>
              <w:spacing w:before="0" w:after="0"/>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shd w:fill="auto" w:val="clear"/>
            <w:vAlign w:val="center"/>
          </w:tcPr>
          <w:p>
            <w:pPr>
              <w:pStyle w:val="TableContents"/>
              <w:spacing w:before="0" w:after="0"/>
              <w:ind w:left="0" w:right="0" w:hanging="0"/>
              <w:jc w:val="center"/>
              <w:rPr/>
            </w:pPr>
            <w:r>
              <w:rPr/>
              <w:t>​</w:t>
            </w:r>
          </w:p>
        </w:tc>
        <w:tc>
          <w:tcPr>
            <w:tcW w:w="10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shd w:fill="auto" w:val="clear"/>
            <w:vAlign w:val="center"/>
          </w:tcPr>
          <w:p>
            <w:pPr>
              <w:pStyle w:val="TableContents"/>
              <w:spacing w:before="0" w:after="0"/>
              <w:ind w:left="0" w:right="0" w:hanging="0"/>
              <w:jc w:val="center"/>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7"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69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revenue</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28,025</w:t>
            </w:r>
          </w:p>
        </w:tc>
        <w:tc>
          <w:tcPr>
            <w:tcW w:w="109"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5,914</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35,004</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6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24,499</w:t>
            </w:r>
          </w:p>
        </w:tc>
        <w:tc>
          <w:tcPr>
            <w:tcW w:w="109"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24,499</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Leasing revenue</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109"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11,396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11,790</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Timber revenue</w:t>
            </w:r>
          </w:p>
        </w:tc>
        <w:tc>
          <w:tcPr>
            <w:tcW w:w="109"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28,030</w:t>
            </w:r>
          </w:p>
        </w:tc>
        <w:tc>
          <w:tcPr>
            <w:tcW w:w="109"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24,855</w:t>
            </w:r>
          </w:p>
        </w:tc>
        <w:tc>
          <w:tcPr>
            <w:tcW w:w="109" w:type="dxa"/>
            <w:tcBorders/>
            <w:shd w:fill="auto" w:val="clear"/>
            <w:vAlign w:val="center"/>
          </w:tcPr>
          <w:p>
            <w:pPr>
              <w:pStyle w:val="TableContents"/>
              <w:spacing w:before="0" w:after="0"/>
              <w:ind w:left="0" w:right="0" w:hanging="0"/>
              <w:rPr/>
            </w:pPr>
            <w:r>
              <w:rPr/>
              <w:t>​</w:t>
            </w:r>
          </w:p>
        </w:tc>
        <w:tc>
          <w:tcPr>
            <w:tcW w:w="24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19,008</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1,098</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72,991</w:t>
            </w:r>
          </w:p>
        </w:tc>
      </w:tr>
      <w:tr>
        <w:trPr/>
        <w:tc>
          <w:tcPr>
            <w:tcW w:w="294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7"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69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28,025</w:t>
            </w:r>
          </w:p>
        </w:tc>
        <w:tc>
          <w:tcPr>
            <w:tcW w:w="109"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17,401</w:t>
            </w:r>
          </w:p>
        </w:tc>
        <w:tc>
          <w:tcPr>
            <w:tcW w:w="109"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7,612</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54,103</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Recognized over time</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7,098</w:t>
            </w:r>
          </w:p>
        </w:tc>
        <w:tc>
          <w:tcPr>
            <w:tcW w:w="109"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7,098</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Over lease term</w:t>
            </w:r>
          </w:p>
        </w:tc>
        <w:tc>
          <w:tcPr>
            <w:tcW w:w="109"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109"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11,396</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11,790</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28,030</w:t>
            </w:r>
          </w:p>
        </w:tc>
        <w:tc>
          <w:tcPr>
            <w:tcW w:w="109"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24,855</w:t>
            </w:r>
          </w:p>
        </w:tc>
        <w:tc>
          <w:tcPr>
            <w:tcW w:w="109" w:type="dxa"/>
            <w:tcBorders/>
            <w:shd w:fill="auto" w:val="clear"/>
            <w:vAlign w:val="center"/>
          </w:tcPr>
          <w:p>
            <w:pPr>
              <w:pStyle w:val="TableContents"/>
              <w:spacing w:before="0" w:after="0"/>
              <w:ind w:left="0" w:right="0" w:hanging="0"/>
              <w:rPr/>
            </w:pPr>
            <w:r>
              <w:rPr/>
              <w:t>​</w:t>
            </w:r>
          </w:p>
        </w:tc>
        <w:tc>
          <w:tcPr>
            <w:tcW w:w="24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19,008</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1,098</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72,991</w:t>
            </w:r>
          </w:p>
        </w:tc>
      </w:tr>
    </w:tbl>
    <w:p>
      <w:pPr>
        <w:pStyle w:val="TextBody"/>
        <w:spacing w:before="0" w:after="240"/>
        <w:ind w:left="0" w:right="0" w:hanging="0"/>
        <w:rPr/>
      </w:pPr>
      <w:r>
        <w:rPr/>
        <w:t>​</w:t>
      </w:r>
    </w:p>
    <w:tbl>
      <w:tblPr>
        <w:tblW w:w="7962" w:type="dxa"/>
        <w:jc w:val="left"/>
        <w:tblInd w:w="0" w:type="dxa"/>
        <w:tblCellMar>
          <w:top w:w="0" w:type="dxa"/>
          <w:left w:w="0" w:type="dxa"/>
          <w:bottom w:w="0" w:type="dxa"/>
          <w:right w:w="0" w:type="dxa"/>
        </w:tblCellMar>
      </w:tblPr>
      <w:tblGrid>
        <w:gridCol w:w="2941"/>
        <w:gridCol w:w="109"/>
        <w:gridCol w:w="214"/>
        <w:gridCol w:w="687"/>
        <w:gridCol w:w="109"/>
        <w:gridCol w:w="217"/>
        <w:gridCol w:w="699"/>
        <w:gridCol w:w="109"/>
        <w:gridCol w:w="245"/>
        <w:gridCol w:w="790"/>
        <w:gridCol w:w="109"/>
        <w:gridCol w:w="211"/>
        <w:gridCol w:w="421"/>
        <w:gridCol w:w="109"/>
        <w:gridCol w:w="211"/>
        <w:gridCol w:w="781"/>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867535" cy="175260"/>
                      <wp:effectExtent l="0" t="0" r="0" b="0"/>
                      <wp:wrapNone/>
                      <wp:docPr id="401" name="Frame401"/>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402" name="Frame4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5890" cy="175260"/>
                      <wp:effectExtent l="0" t="0" r="0" b="0"/>
                      <wp:wrapNone/>
                      <wp:docPr id="403" name="Frame403"/>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36245" cy="175260"/>
                      <wp:effectExtent l="0" t="0" r="0" b="0"/>
                      <wp:wrapNone/>
                      <wp:docPr id="404" name="Frame404"/>
                      <a:graphic xmlns:a="http://schemas.openxmlformats.org/drawingml/2006/main">
                        <a:graphicData uri="http://schemas.microsoft.com/office/word/2010/wordprocessingShape">
                          <wps:wsp>
                            <wps:cNvSpPr txBox="1"/>
                            <wps:spPr>
                              <a:xfrm>
                                <a:off x="0" y="0"/>
                                <a:ext cx="436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7795" cy="175260"/>
                      <wp:effectExtent l="0" t="0" r="0" b="0"/>
                      <wp:wrapNone/>
                      <wp:docPr id="406" name="Frame406"/>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43865" cy="175260"/>
                      <wp:effectExtent l="0" t="0" r="0" b="0"/>
                      <wp:wrapNone/>
                      <wp:docPr id="407" name="Frame407"/>
                      <a:graphic xmlns:a="http://schemas.openxmlformats.org/drawingml/2006/main">
                        <a:graphicData uri="http://schemas.microsoft.com/office/word/2010/wordprocessingShape">
                          <wps:wsp>
                            <wps:cNvSpPr txBox="1"/>
                            <wps:spPr>
                              <a:xfrm>
                                <a:off x="0" y="0"/>
                                <a:ext cx="443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55575" cy="175260"/>
                      <wp:effectExtent l="0" t="0" r="0" b="0"/>
                      <wp:wrapNone/>
                      <wp:docPr id="409" name="Frame409"/>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01650" cy="175260"/>
                      <wp:effectExtent l="0" t="0" r="0" b="0"/>
                      <wp:wrapNone/>
                      <wp:docPr id="410" name="Frame410"/>
                      <a:graphic xmlns:a="http://schemas.openxmlformats.org/drawingml/2006/main">
                        <a:graphicData uri="http://schemas.microsoft.com/office/word/2010/wordprocessingShape">
                          <wps:wsp>
                            <wps:cNvSpPr txBox="1"/>
                            <wps:spPr>
                              <a:xfrm>
                                <a:off x="0" y="0"/>
                                <a:ext cx="501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215" cy="175260"/>
                      <wp:effectExtent l="0" t="0" r="0" b="0"/>
                      <wp:wrapNone/>
                      <wp:docPr id="411" name="Frame4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67335" cy="175260"/>
                      <wp:effectExtent l="0" t="0" r="0" b="0"/>
                      <wp:wrapNone/>
                      <wp:docPr id="413" name="Frame413"/>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95935" cy="175260"/>
                      <wp:effectExtent l="0" t="0" r="0" b="0"/>
                      <wp:wrapNone/>
                      <wp:docPr id="416" name="Frame41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912"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2022</w:t>
            </w:r>
          </w:p>
        </w:tc>
      </w:tr>
      <w:tr>
        <w:trPr/>
        <w:tc>
          <w:tcPr>
            <w:tcW w:w="29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shd w:fill="auto" w:val="clear"/>
            <w:vAlign w:val="center"/>
          </w:tcPr>
          <w:p>
            <w:pPr>
              <w:pStyle w:val="TableContents"/>
              <w:spacing w:before="0" w:after="0"/>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shd w:fill="auto" w:val="clear"/>
            <w:vAlign w:val="center"/>
          </w:tcPr>
          <w:p>
            <w:pPr>
              <w:pStyle w:val="TableContents"/>
              <w:spacing w:before="0" w:after="0"/>
              <w:ind w:left="0" w:right="0" w:hanging="0"/>
              <w:jc w:val="center"/>
              <w:rPr/>
            </w:pPr>
            <w:r>
              <w:rPr/>
              <w:t>​</w:t>
            </w:r>
          </w:p>
        </w:tc>
        <w:tc>
          <w:tcPr>
            <w:tcW w:w="10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shd w:fill="auto" w:val="clear"/>
            <w:vAlign w:val="center"/>
          </w:tcPr>
          <w:p>
            <w:pPr>
              <w:pStyle w:val="TableContents"/>
              <w:spacing w:before="0" w:after="0"/>
              <w:ind w:left="0" w:right="0" w:hanging="0"/>
              <w:jc w:val="center"/>
              <w:rPr/>
            </w:pPr>
            <w:r>
              <w:rPr/>
              <w:t>​</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7"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69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revenue</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32,674</w:t>
            </w:r>
          </w:p>
        </w:tc>
        <w:tc>
          <w:tcPr>
            <w:tcW w:w="109"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36,774</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6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16,227</w:t>
            </w:r>
          </w:p>
        </w:tc>
        <w:tc>
          <w:tcPr>
            <w:tcW w:w="109"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16,321</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Leasing revenue</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8,822</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Timber revenue</w:t>
            </w:r>
          </w:p>
        </w:tc>
        <w:tc>
          <w:tcPr>
            <w:tcW w:w="109"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2,954</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2,954</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32,715</w:t>
            </w:r>
          </w:p>
        </w:tc>
        <w:tc>
          <w:tcPr>
            <w:tcW w:w="109"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16,238</w:t>
            </w:r>
          </w:p>
        </w:tc>
        <w:tc>
          <w:tcPr>
            <w:tcW w:w="109" w:type="dxa"/>
            <w:tcBorders/>
            <w:shd w:fill="auto" w:val="clear"/>
            <w:vAlign w:val="center"/>
          </w:tcPr>
          <w:p>
            <w:pPr>
              <w:pStyle w:val="TableContents"/>
              <w:spacing w:before="0" w:after="0"/>
              <w:ind w:left="0" w:right="0" w:hanging="0"/>
              <w:rPr/>
            </w:pPr>
            <w:r>
              <w:rPr/>
              <w:t>​</w:t>
            </w:r>
          </w:p>
        </w:tc>
        <w:tc>
          <w:tcPr>
            <w:tcW w:w="24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15,396</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522</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64,871</w:t>
            </w:r>
          </w:p>
        </w:tc>
      </w:tr>
      <w:tr>
        <w:trPr/>
        <w:tc>
          <w:tcPr>
            <w:tcW w:w="294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687"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69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32,674</w:t>
            </w:r>
          </w:p>
        </w:tc>
        <w:tc>
          <w:tcPr>
            <w:tcW w:w="109"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9,916</w:t>
            </w:r>
          </w:p>
        </w:tc>
        <w:tc>
          <w:tcPr>
            <w:tcW w:w="109"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49,738</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Recognized over time</w:t>
            </w:r>
          </w:p>
        </w:tc>
        <w:tc>
          <w:tcPr>
            <w:tcW w:w="109"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6,311</w:t>
            </w:r>
          </w:p>
        </w:tc>
        <w:tc>
          <w:tcPr>
            <w:tcW w:w="109"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6,311</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Over lease term</w:t>
            </w:r>
          </w:p>
        </w:tc>
        <w:tc>
          <w:tcPr>
            <w:tcW w:w="109"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8,822</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32,715</w:t>
            </w:r>
          </w:p>
        </w:tc>
        <w:tc>
          <w:tcPr>
            <w:tcW w:w="109"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16,238</w:t>
            </w:r>
          </w:p>
        </w:tc>
        <w:tc>
          <w:tcPr>
            <w:tcW w:w="109" w:type="dxa"/>
            <w:tcBorders/>
            <w:shd w:fill="auto" w:val="clear"/>
            <w:vAlign w:val="center"/>
          </w:tcPr>
          <w:p>
            <w:pPr>
              <w:pStyle w:val="TableContents"/>
              <w:spacing w:before="0" w:after="0"/>
              <w:ind w:left="0" w:right="0" w:hanging="0"/>
              <w:rPr/>
            </w:pPr>
            <w:r>
              <w:rPr/>
              <w:t>​</w:t>
            </w:r>
          </w:p>
        </w:tc>
        <w:tc>
          <w:tcPr>
            <w:tcW w:w="24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15,396</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522</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64,871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360" w:right="0" w:hanging="0"/>
        <w:rPr/>
      </w:pPr>
      <w:r>
        <w:rPr/>
        <w:t>​</w:t>
      </w:r>
    </w:p>
    <w:p>
      <w:pPr>
        <w:pStyle w:val="TextBody"/>
        <w:spacing w:before="0" w:after="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832" w:name="Tc_7Gx7xkwCnU2sAL04XW30Bw_22_5"/>
      <w:bookmarkStart w:id="1833" w:name="Tc_bNlVOBb1JUO7F9bEiZDTxg_22_2"/>
      <w:bookmarkStart w:id="1834" w:name="Tc_pflU2gbbfU641gfaYZlDUA_22_0"/>
      <w:bookmarkStart w:id="1835" w:name="Tc_xtVVY2eox0OpZRCYQDfuhA_21_0"/>
      <w:bookmarkStart w:id="1836" w:name="Tc_EZuYANK780SkSXvGz0bPzA_20_0"/>
      <w:bookmarkStart w:id="1837" w:name="Tc_XDHL70kXwEe-s4ggn_CtkQ_19_3"/>
      <w:bookmarkStart w:id="1838" w:name="Tc_VTBUW7gH2k-h4r5AIP7BCw_19_0"/>
      <w:bookmarkStart w:id="1839" w:name="Tc_dQZpeo6onEeuFYgY3L49zw_18_3"/>
      <w:bookmarkStart w:id="1840" w:name="Tc_tFXcDcZkjki-GHRWm2q2Yw_18_0"/>
      <w:bookmarkStart w:id="1841" w:name="Tc_AyKpqd91L0y-CJ5CTwLNxw_17_0"/>
      <w:bookmarkStart w:id="1842" w:name="Tc_RQ1k-VhR5k22kEuYTHxijQ_16_0"/>
      <w:bookmarkStart w:id="1843" w:name="Tc_uZypDxczs0GSqsYZhA3Owg_15_0"/>
      <w:bookmarkStart w:id="1844" w:name="Tc_RDS4OHkbHk2n5-jwRmmOdQ_14_0"/>
      <w:bookmarkStart w:id="1845" w:name="Tc_RiPDkQmGFkqdKkvbU_-U3Q_13_0"/>
      <w:bookmarkStart w:id="1846" w:name="Tc_piihNbcp8UyeAWVa-1gbTg_12_0"/>
      <w:bookmarkStart w:id="1847" w:name="Tc_7O0b51dXZ0ir8ebP7H4sdQ_11_0"/>
      <w:bookmarkStart w:id="1848" w:name="Tc_-ra51ZdhCk6mIA6zTvATAA_10_0"/>
      <w:bookmarkStart w:id="1849" w:name="Tc_tc3SNiItTku5FvR5H9wfHA_9_0"/>
      <w:bookmarkStart w:id="1850" w:name="Tc_SNpOj__bOkWLtLFz9os7Eg_8_0"/>
      <w:bookmarkStart w:id="1851" w:name="Tc_twLTirLovUWRVeBVbl9KjA_7_0"/>
      <w:bookmarkStart w:id="1852" w:name="Tc_mPmsuUVodU2elB0qIO_G4A_6_3"/>
      <w:bookmarkStart w:id="1853" w:name="Tc_xWqlB5T1sUqhdyFnSpjGuw_6_0"/>
      <w:bookmarkStart w:id="1854" w:name="Tc_2tOyNCDdHUqt2AH3F9oDJQ_5_5"/>
      <w:bookmarkStart w:id="1855" w:name="Tc_aOVAWw400ESIBqupEyICQA_5_2"/>
      <w:bookmarkStart w:id="1856" w:name="Tc_j12TOnQfJkmBebIxpaum1g_5_0"/>
      <w:bookmarkStart w:id="1857" w:name="Tc_RJvHWiJ150qA-hBjyYbLhQ_4_0"/>
      <w:bookmarkStart w:id="1858" w:name="Tc_9gB2-iFaNUS4xdJM_B1dSg_3_5"/>
      <w:bookmarkStart w:id="1859" w:name="Tc_33_pfj5WOU277fou36vI1w_3_2"/>
      <w:bookmarkStart w:id="1860" w:name="Tc_2ySwgib0tUCa5sd2XgBH-A_2_2"/>
      <w:bookmarkStart w:id="1861" w:name="Tc_aRXd2vech0ezh8_nhUNLOw_1_2"/>
      <w:bookmarkStart w:id="1862" w:name="_Hlk129685669"/>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r>
        <w:rPr>
          <w:rFonts w:ascii="Times New Roman;Times;serif" w:hAnsi="Times New Roman;Times;serif"/>
          <w:b/>
          <w:sz w:val="20"/>
        </w:rPr>
        <w:t>16. Other Income (Expense),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income (expense), net consists of the following:</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563"/>
        <w:gridCol w:w="326"/>
        <w:gridCol w:w="211"/>
        <w:gridCol w:w="688"/>
        <w:gridCol w:w="326"/>
        <w:gridCol w:w="211"/>
        <w:gridCol w:w="688"/>
        <w:gridCol w:w="192"/>
      </w:tblGrid>
      <w:tr>
        <w:trPr/>
        <w:tc>
          <w:tcPr>
            <w:tcW w:w="75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802505" cy="175260"/>
                      <wp:effectExtent l="0" t="0" r="0" b="0"/>
                      <wp:wrapNone/>
                      <wp:docPr id="417" name="Frame417"/>
                      <a:graphic xmlns:a="http://schemas.openxmlformats.org/drawingml/2006/main">
                        <a:graphicData uri="http://schemas.microsoft.com/office/word/2010/wordprocessingShape">
                          <wps:wsp>
                            <wps:cNvSpPr txBox="1"/>
                            <wps:spPr>
                              <a:xfrm>
                                <a:off x="0" y="0"/>
                                <a:ext cx="4802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36880" cy="175260"/>
                      <wp:effectExtent l="0" t="0" r="0" b="0"/>
                      <wp:wrapNone/>
                      <wp:docPr id="420" name="Frame420"/>
                      <a:graphic xmlns:a="http://schemas.openxmlformats.org/drawingml/2006/main">
                        <a:graphicData uri="http://schemas.microsoft.com/office/word/2010/wordprocessingShape">
                          <wps:wsp>
                            <wps:cNvSpPr txBox="1"/>
                            <wps:spPr>
                              <a:xfrm>
                                <a:off x="0" y="0"/>
                                <a:ext cx="436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36880" cy="175260"/>
                      <wp:effectExtent l="0" t="0" r="0" b="0"/>
                      <wp:wrapNone/>
                      <wp:docPr id="423" name="Frame423"/>
                      <a:graphic xmlns:a="http://schemas.openxmlformats.org/drawingml/2006/main">
                        <a:graphicData uri="http://schemas.microsoft.com/office/word/2010/wordprocessingShape">
                          <wps:wsp>
                            <wps:cNvSpPr txBox="1"/>
                            <wps:spPr>
                              <a:xfrm>
                                <a:off x="0" y="0"/>
                                <a:ext cx="436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21920" cy="175260"/>
                      <wp:effectExtent l="0" t="0" r="0" b="0"/>
                      <wp:wrapNone/>
                      <wp:docPr id="424" name="Frame424"/>
                      <a:graphic xmlns:a="http://schemas.openxmlformats.org/drawingml/2006/main">
                        <a:graphicData uri="http://schemas.microsoft.com/office/word/2010/wordprocessingShape">
                          <wps:wsp>
                            <wps:cNvSpPr txBox="1"/>
                            <wps:spPr>
                              <a:xfrm>
                                <a:off x="0" y="0"/>
                                <a:ext cx="121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2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2" w:type="dxa"/>
            <w:tcBorders/>
            <w:shd w:fill="auto" w:val="clear"/>
            <w:vAlign w:val="center"/>
          </w:tcPr>
          <w:p>
            <w:pPr>
              <w:pStyle w:val="TableContents"/>
              <w:spacing w:before="0" w:after="0"/>
              <w:ind w:left="0" w:right="0" w:hanging="0"/>
              <w:jc w:val="center"/>
              <w:rPr/>
            </w:pPr>
            <w:r>
              <w:rPr/>
              <w:t>​</w:t>
            </w:r>
          </w:p>
        </w:tc>
      </w:tr>
      <w:tr>
        <w:trPr/>
        <w:tc>
          <w:tcPr>
            <w:tcW w:w="75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2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92" w:type="dxa"/>
            <w:tcBorders/>
            <w:shd w:fill="auto" w:val="clear"/>
            <w:vAlign w:val="center"/>
          </w:tcPr>
          <w:p>
            <w:pPr>
              <w:pStyle w:val="TableContents"/>
              <w:spacing w:before="0" w:after="0"/>
              <w:ind w:left="0" w:right="0" w:hanging="0"/>
              <w:jc w:val="center"/>
              <w:rPr/>
            </w:pPr>
            <w:r>
              <w:rPr/>
              <w:t>​</w:t>
            </w:r>
          </w:p>
        </w:tc>
      </w:tr>
      <w:tr>
        <w:trPr/>
        <w:tc>
          <w:tcPr>
            <w:tcW w:w="75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2" w:type="dxa"/>
            <w:tcBorders/>
            <w:shd w:fill="auto" w:val="clear"/>
            <w:vAlign w:val="center"/>
          </w:tcPr>
          <w:p>
            <w:pPr>
              <w:pStyle w:val="TableContents"/>
              <w:spacing w:before="0" w:after="0"/>
              <w:ind w:left="0" w:right="0" w:hanging="0"/>
              <w:jc w:val="center"/>
              <w:rPr/>
            </w:pPr>
            <w:r>
              <w:rPr/>
              <w:t> </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Investment income, net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8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88" w:type="dxa"/>
            <w:tcBorders/>
            <w:shd w:fill="CCEEFF" w:val="clear"/>
            <w:vAlign w:val="center"/>
          </w:tcPr>
          <w:p>
            <w:pPr>
              <w:pStyle w:val="TableContents"/>
              <w:spacing w:before="0" w:after="0"/>
              <w:ind w:left="0" w:right="0" w:hanging="0"/>
              <w:jc w:val="right"/>
              <w:rPr/>
            </w:pPr>
            <w:r>
              <w:rPr/>
              <w:t>  </w:t>
            </w:r>
          </w:p>
        </w:tc>
        <w:tc>
          <w:tcPr>
            <w:tcW w:w="192" w:type="dxa"/>
            <w:tcBorders/>
            <w:shd w:fill="CCEEFF" w:val="clear"/>
            <w:vAlign w:val="center"/>
          </w:tcPr>
          <w:p>
            <w:pPr>
              <w:pStyle w:val="TableContents"/>
              <w:spacing w:before="0" w:after="0"/>
              <w:ind w:left="0" w:right="0" w:hanging="0"/>
              <w:rPr/>
            </w:pPr>
            <w:r>
              <w:rPr/>
              <w:t> </w:t>
            </w:r>
          </w:p>
        </w:tc>
      </w:tr>
      <w:tr>
        <w:trPr/>
        <w:tc>
          <w:tcPr>
            <w:tcW w:w="75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dividend and accretion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92" w:type="dxa"/>
            <w:tcBorders/>
            <w:shd w:fill="auto" w:val="clear"/>
            <w:vAlign w:val="center"/>
          </w:tcPr>
          <w:p>
            <w:pPr>
              <w:pStyle w:val="TableContents"/>
              <w:spacing w:before="0" w:after="0"/>
              <w:ind w:left="0" w:right="0" w:hanging="0"/>
              <w:rPr/>
            </w:pPr>
            <w:r>
              <w:rPr/>
              <w:t>​</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 on investments,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92" w:type="dxa"/>
            <w:tcBorders/>
            <w:shd w:fill="CCEEFF" w:val="clear"/>
            <w:vAlign w:val="center"/>
          </w:tcPr>
          <w:p>
            <w:pPr>
              <w:pStyle w:val="TableContents"/>
              <w:spacing w:before="0" w:after="0"/>
              <w:ind w:left="0" w:right="0" w:hanging="0"/>
              <w:rPr/>
            </w:pPr>
            <w:r>
              <w:rPr/>
              <w:t>​</w:t>
            </w:r>
          </w:p>
        </w:tc>
      </w:tr>
      <w:tr>
        <w:trPr/>
        <w:tc>
          <w:tcPr>
            <w:tcW w:w="75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from investments in SPEs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192" w:type="dxa"/>
            <w:tcBorders/>
            <w:shd w:fill="auto" w:val="clear"/>
            <w:vAlign w:val="center"/>
          </w:tcPr>
          <w:p>
            <w:pPr>
              <w:pStyle w:val="TableContents"/>
              <w:spacing w:before="0" w:after="0"/>
              <w:ind w:left="0" w:right="0" w:hanging="0"/>
              <w:rPr/>
            </w:pPr>
            <w:r>
              <w:rPr/>
              <w:t>​</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earned on notes receivable and other interest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92" w:type="dxa"/>
            <w:tcBorders/>
            <w:shd w:fill="CCEEFF" w:val="clear"/>
            <w:vAlign w:val="center"/>
          </w:tcPr>
          <w:p>
            <w:pPr>
              <w:pStyle w:val="TableContents"/>
              <w:spacing w:before="0" w:after="0"/>
              <w:ind w:left="0" w:right="0" w:hanging="0"/>
              <w:rPr/>
            </w:pPr>
            <w:r>
              <w:rPr/>
              <w:t>​</w:t>
            </w:r>
          </w:p>
        </w:tc>
      </w:tr>
      <w:tr>
        <w:trPr/>
        <w:tc>
          <w:tcPr>
            <w:tcW w:w="756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investment income,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2,921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2,300</w:t>
            </w:r>
          </w:p>
        </w:tc>
        <w:tc>
          <w:tcPr>
            <w:tcW w:w="192" w:type="dxa"/>
            <w:tcBorders/>
            <w:shd w:fill="auto" w:val="clear"/>
            <w:vAlign w:val="center"/>
          </w:tcPr>
          <w:p>
            <w:pPr>
              <w:pStyle w:val="TableContents"/>
              <w:spacing w:before="0" w:after="0"/>
              <w:ind w:left="0" w:right="0" w:hanging="0"/>
              <w:rPr/>
            </w:pPr>
            <w:r>
              <w:rPr/>
              <w:t>​</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right"/>
              <w:rPr/>
            </w:pPr>
            <w:r>
              <w:rPr/>
              <w:t>  </w:t>
            </w:r>
          </w:p>
        </w:tc>
        <w:tc>
          <w:tcPr>
            <w:tcW w:w="192" w:type="dxa"/>
            <w:tcBorders/>
            <w:shd w:fill="CCEEFF" w:val="clear"/>
            <w:vAlign w:val="center"/>
          </w:tcPr>
          <w:p>
            <w:pPr>
              <w:pStyle w:val="TableContents"/>
              <w:spacing w:before="0" w:after="0"/>
              <w:ind w:left="0" w:right="0" w:hanging="0"/>
              <w:rPr/>
            </w:pPr>
            <w:r>
              <w:rPr/>
              <w:t>​</w:t>
            </w:r>
          </w:p>
        </w:tc>
      </w:tr>
      <w:tr>
        <w:trPr/>
        <w:tc>
          <w:tcPr>
            <w:tcW w:w="75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incurred for project financing and other 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(1,944)</w:t>
            </w:r>
          </w:p>
        </w:tc>
        <w:tc>
          <w:tcPr>
            <w:tcW w:w="192" w:type="dxa"/>
            <w:tcBorders/>
            <w:shd w:fill="auto" w:val="clear"/>
            <w:vAlign w:val="center"/>
          </w:tcPr>
          <w:p>
            <w:pPr>
              <w:pStyle w:val="TableContents"/>
              <w:spacing w:before="0" w:after="0"/>
              <w:ind w:left="0" w:right="0" w:hanging="0"/>
              <w:rPr/>
            </w:pPr>
            <w:r>
              <w:rPr/>
              <w:t>​</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and amortization of discount and issuance costs for Senior Notes issued by SPE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(2,209)</w:t>
            </w:r>
          </w:p>
        </w:tc>
        <w:tc>
          <w:tcPr>
            <w:tcW w:w="192" w:type="dxa"/>
            <w:tcBorders/>
            <w:shd w:fill="CCEEFF" w:val="clear"/>
            <w:vAlign w:val="center"/>
          </w:tcPr>
          <w:p>
            <w:pPr>
              <w:pStyle w:val="TableContents"/>
              <w:spacing w:before="0" w:after="0"/>
              <w:ind w:left="0" w:right="0" w:hanging="0"/>
              <w:rPr/>
            </w:pPr>
            <w:r>
              <w:rPr/>
              <w:t>​</w:t>
            </w:r>
          </w:p>
        </w:tc>
      </w:tr>
      <w:tr>
        <w:trPr/>
        <w:tc>
          <w:tcPr>
            <w:tcW w:w="756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(6,209)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(4,153)</w:t>
            </w:r>
          </w:p>
        </w:tc>
        <w:tc>
          <w:tcPr>
            <w:tcW w:w="192" w:type="dxa"/>
            <w:tcBorders/>
            <w:shd w:fill="auto" w:val="clear"/>
            <w:vAlign w:val="center"/>
          </w:tcPr>
          <w:p>
            <w:pPr>
              <w:pStyle w:val="TableContents"/>
              <w:spacing w:before="0" w:after="0"/>
              <w:ind w:left="0" w:right="0" w:hanging="0"/>
              <w:rPr/>
            </w:pPr>
            <w:r>
              <w:rPr/>
              <w:t>​</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Gain on contributions to unconsolidated joint ventures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482</w:t>
            </w:r>
          </w:p>
        </w:tc>
        <w:tc>
          <w:tcPr>
            <w:tcW w:w="192" w:type="dxa"/>
            <w:tcBorders/>
            <w:shd w:fill="CCEEFF" w:val="clear"/>
            <w:vAlign w:val="center"/>
          </w:tcPr>
          <w:p>
            <w:pPr>
              <w:pStyle w:val="TableContents"/>
              <w:spacing w:before="0" w:after="0"/>
              <w:ind w:left="0" w:right="0" w:hanging="0"/>
              <w:rPr/>
            </w:pPr>
            <w:r>
              <w:rPr/>
              <w:t>​</w:t>
            </w:r>
          </w:p>
        </w:tc>
      </w:tr>
      <w:tr>
        <w:trPr/>
        <w:tc>
          <w:tcPr>
            <w:tcW w:w="756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Equity in income (loss) from unconsolidated joint ventures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3,663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(495)</w:t>
            </w:r>
          </w:p>
        </w:tc>
        <w:tc>
          <w:tcPr>
            <w:tcW w:w="192" w:type="dxa"/>
            <w:tcBorders/>
            <w:shd w:fill="auto" w:val="clear"/>
            <w:vAlign w:val="center"/>
          </w:tcPr>
          <w:p>
            <w:pPr>
              <w:pStyle w:val="TableContents"/>
              <w:spacing w:before="0" w:after="0"/>
              <w:ind w:left="0" w:right="0" w:hanging="0"/>
              <w:rPr/>
            </w:pPr>
            <w:r>
              <w:rPr/>
              <w:t>​</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right"/>
              <w:rPr/>
            </w:pPr>
            <w:r>
              <w:rPr/>
              <w:t>  </w:t>
            </w:r>
          </w:p>
        </w:tc>
        <w:tc>
          <w:tcPr>
            <w:tcW w:w="192" w:type="dxa"/>
            <w:tcBorders/>
            <w:shd w:fill="CCEEFF" w:val="clear"/>
            <w:vAlign w:val="center"/>
          </w:tcPr>
          <w:p>
            <w:pPr>
              <w:pStyle w:val="TableContents"/>
              <w:spacing w:before="0" w:after="0"/>
              <w:ind w:left="0" w:right="0" w:hanging="0"/>
              <w:rPr/>
            </w:pPr>
            <w:r>
              <w:rPr/>
              <w:t>​</w:t>
            </w:r>
          </w:p>
        </w:tc>
      </w:tr>
      <w:tr>
        <w:trPr/>
        <w:tc>
          <w:tcPr>
            <w:tcW w:w="75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Accretion income from retained interest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92" w:type="dxa"/>
            <w:tcBorders/>
            <w:shd w:fill="auto" w:val="clear"/>
            <w:vAlign w:val="center"/>
          </w:tcPr>
          <w:p>
            <w:pPr>
              <w:pStyle w:val="TableContents"/>
              <w:spacing w:before="0" w:after="0"/>
              <w:ind w:left="0" w:right="0" w:hanging="0"/>
              <w:rPr/>
            </w:pPr>
            <w:r>
              <w:rPr/>
              <w:t>​</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insurance recoveries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192" w:type="dxa"/>
            <w:tcBorders/>
            <w:shd w:fill="CCEEFF" w:val="clear"/>
            <w:vAlign w:val="center"/>
          </w:tcPr>
          <w:p>
            <w:pPr>
              <w:pStyle w:val="TableContents"/>
              <w:spacing w:before="0" w:after="0"/>
              <w:ind w:left="0" w:right="0" w:hanging="0"/>
              <w:rPr/>
            </w:pPr>
            <w:r>
              <w:rPr/>
              <w:t>​</w:t>
            </w:r>
          </w:p>
        </w:tc>
      </w:tr>
      <w:tr>
        <w:trPr/>
        <w:tc>
          <w:tcPr>
            <w:tcW w:w="75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from hurricane damage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92" w:type="dxa"/>
            <w:tcBorders/>
            <w:shd w:fill="auto" w:val="clear"/>
            <w:vAlign w:val="center"/>
          </w:tcPr>
          <w:p>
            <w:pPr>
              <w:pStyle w:val="TableContents"/>
              <w:spacing w:before="0" w:after="0"/>
              <w:ind w:left="0" w:right="0" w:hanging="0"/>
              <w:rPr/>
            </w:pPr>
            <w:r>
              <w:rPr/>
              <w:t>​</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Miscellaneous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c>
          <w:tcPr>
            <w:tcW w:w="192" w:type="dxa"/>
            <w:tcBorders/>
            <w:shd w:fill="CCEEFF" w:val="clear"/>
            <w:vAlign w:val="center"/>
          </w:tcPr>
          <w:p>
            <w:pPr>
              <w:pStyle w:val="TableContents"/>
              <w:spacing w:before="0" w:after="0"/>
              <w:ind w:left="0" w:right="0" w:hanging="0"/>
              <w:rPr/>
            </w:pPr>
            <w:r>
              <w:rPr/>
              <w:t>​</w:t>
            </w:r>
          </w:p>
        </w:tc>
      </w:tr>
      <w:tr>
        <w:trPr/>
        <w:tc>
          <w:tcPr>
            <w:tcW w:w="756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income (expense),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713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(369)</w:t>
            </w:r>
          </w:p>
        </w:tc>
        <w:tc>
          <w:tcPr>
            <w:tcW w:w="192" w:type="dxa"/>
            <w:tcBorders/>
            <w:shd w:fill="auto" w:val="clear"/>
            <w:vAlign w:val="center"/>
          </w:tcPr>
          <w:p>
            <w:pPr>
              <w:pStyle w:val="TableContents"/>
              <w:spacing w:before="0" w:after="0"/>
              <w:ind w:left="0" w:right="0" w:hanging="0"/>
              <w:rPr/>
            </w:pPr>
            <w:r>
              <w:rPr/>
              <w:t>​</w:t>
            </w:r>
          </w:p>
        </w:tc>
      </w:tr>
      <w:tr>
        <w:trPr/>
        <w:tc>
          <w:tcPr>
            <w:tcW w:w="756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other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1,618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(2,235)</w:t>
            </w:r>
          </w:p>
        </w:tc>
        <w:tc>
          <w:tcPr>
            <w:tcW w:w="192"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 Income,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Interest, dividend and accretion income includes interest income accrued or received on the Company’s investments and amortization of the premium or accretion of discount related to the Company’s available-for-sale securities, which is amortized based on an effective interest rate method over the term of the available-for-sale securities. Unrealized gain on investments, net includes unrealized gains or losses on investments - equity securities.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Interest income from investments in SPEs primarily includes interest earned on the investments held by Panama City Timber Finance Company, LLC, which is used to pay the interest expense for Senior Notes held by Northwest Florida Timber Finance, LLC.</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Interest earned on the Company’s notes receivable and other interest includes interest earned on notes receivable and on the Company’s unimproved land contribution to the unconsolidated Latitude Margaritaville Watersound JV as home sales are transacted in the community. See Note 4. </w:t>
      </w:r>
      <w:r>
        <w:rPr>
          <w:rFonts w:ascii="Times New Roman;Times;serif" w:hAnsi="Times New Roman;Times;serif"/>
          <w:i/>
          <w:sz w:val="20"/>
        </w:rPr>
        <w:t>Joint Ventures</w:t>
      </w:r>
      <w:r>
        <w:rPr>
          <w:rFonts w:ascii="Times New Roman;Times;serif" w:hAnsi="Times New Roman;Times;serif"/>
          <w:sz w:val="20"/>
        </w:rPr>
        <w:t xml:space="preserve"> and Note 8. </w:t>
      </w:r>
      <w:r>
        <w:rPr>
          <w:rFonts w:ascii="Times New Roman;Times;serif" w:hAnsi="Times New Roman;Times;serif"/>
          <w:i/>
          <w:sz w:val="20"/>
        </w:rPr>
        <w:t>Other Assets</w:t>
      </w:r>
      <w:r>
        <w:rPr>
          <w:rFonts w:ascii="Times New Roman;Times;serif" w:hAnsi="Times New Roman;Times;serif"/>
          <w:sz w:val="20"/>
        </w:rPr>
        <w:t xml:space="preserve"> for additional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Interest expense includes interest incurred related to the Company’s project financing, Senior Notes issued by Northwest Florida Timber Finance, LLC, CDD debt and finance leases. Interest expense also includes amortization of debt discount and premium and debt issuance costs. Discount and issuance costs for the Senior Notes issued by Northwest Florida Timber Finance, LLC, are amortized based on the effective interest method at an effective rate of 4.9%.</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three months ended March 31, 2023 and 2022, the Company capitalized $1.3 million and $0.3 million, respectively, in interest related to projects under development or construction. These amounts are included within investment in real estate, net on the Company’s condensed consolidated balance sheets.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Gain on Contributions to Unconsolidated Joint Ventures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Gain on contributions to unconsolidated joint ventures for the three months ended March 31, 2023 and 2022, </w:t>
      </w:r>
      <w:r>
        <w:rPr>
          <w:rFonts w:ascii="TimesNewRomanPSMT" w:hAnsi="TimesNewRomanPSMT"/>
          <w:sz w:val="20"/>
        </w:rPr>
        <w:t>include a gain of $0.5</w:t>
      </w:r>
      <w:r>
        <w:rPr>
          <w:rFonts w:ascii="Times New Roman;Times;serif" w:hAnsi="Times New Roman;Times;serif"/>
          <w:sz w:val="20"/>
        </w:rPr>
        <w:t xml:space="preserve"> </w:t>
      </w:r>
      <w:r>
        <w:rPr>
          <w:rFonts w:ascii="TimesNewRomanPSMT" w:hAnsi="TimesNewRomanPSMT"/>
          <w:sz w:val="20"/>
        </w:rPr>
        <w:t>million and $0.1</w:t>
      </w:r>
      <w:r>
        <w:rPr>
          <w:rFonts w:ascii="Times New Roman;Times;serif" w:hAnsi="Times New Roman;Times;serif"/>
          <w:sz w:val="20"/>
        </w:rPr>
        <w:t xml:space="preserve"> </w:t>
      </w:r>
      <w:r>
        <w:rPr>
          <w:rFonts w:ascii="TimesNewRomanPSMT" w:hAnsi="TimesNewRomanPSMT"/>
          <w:sz w:val="20"/>
        </w:rPr>
        <w:t xml:space="preserve">million, respectively, on </w:t>
      </w:r>
      <w:r>
        <w:rPr>
          <w:rFonts w:ascii="Times New Roman;Times;serif" w:hAnsi="Times New Roman;Times;serif"/>
          <w:sz w:val="20"/>
        </w:rPr>
        <w:t xml:space="preserve">additional infrastructure improvements </w:t>
      </w:r>
      <w:r>
        <w:rPr>
          <w:rFonts w:ascii="TimesNewRomanPSMT" w:hAnsi="TimesNewRomanPSMT"/>
          <w:sz w:val="20"/>
        </w:rPr>
        <w:t xml:space="preserve">contributed to the Company’s unconsolidated Latitude Margaritaville Watersound JV. </w:t>
      </w:r>
      <w:r>
        <w:rPr>
          <w:rFonts w:ascii="Times New Roman;Times;serif" w:hAnsi="Times New Roman;Times;serif"/>
          <w:sz w:val="20"/>
        </w:rPr>
        <w:t xml:space="preserve">The three months ended March 31, 2022, also include a gain of $0.4 million on land contributed to the Company’s unconsolidated Electric Cart Watersound JV.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Equity in Income (Loss) from Unconsolidated Joint Ventures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Equity in income (loss) from unconsolidated joint ventures includes the Company’s proportionate share of earnings or losses of unconsolidated JVs accounted for by the equity method. Equity in income (loss) from unconsolidated joint ventures during the three months ended March 31, 2023 and 2022, includes $3.9 million of income and $0.6 of loss, respectively, related to the Latitude Margaritaville Watersound JV.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Income (Expense),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income (expense), net primarily includes income from the Company’s retained interest investments, gain on insurance recovery, loss from hurricane damage and other income and expense items. The Company records the accretion of investment income from its retained interest investment over the life of the retained interest using the effective yield method at a rate of 7.8%. During the three months ended March 31, 2022, the Company had a gain on insurance recovery of $0.7 million and incurred loss from hurricane damage of less than $0.1 million, related to Hurricane Michael. In November 2022, the Company closed out the claim related to Hurricane Michael.</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Miscellaneous income (expense), net during the three months ended March 31, 2023, includes income of $0.5 million related to a gain on retained interest investment. Miscellaneous income (expense), net during the three months ended March 31, 2022, includes $0.4 million of income received from the Pier Park CDD for repayment of subordinated notes and expenses of $1.1 million for design costs no longer pursued and $0.6 million for a homeowner’s association special assessment.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863" w:name="_Hlk86076672"/>
      <w:bookmarkEnd w:id="1863"/>
      <w:r>
        <w:rPr>
          <w:rFonts w:ascii="Times New Roman;Times;serif" w:hAnsi="Times New Roman;Times;serif"/>
          <w:b/>
          <w:sz w:val="20"/>
        </w:rPr>
        <w:t>17. Segment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conducts primarily all of its business in the following three reportable segments: (1) residential, (2) hospitality and (3) commercial. The Company’s reportable segments are strategic business units that offer different products and services. They are each managed separately and decisions about allocations of resources are determined by management based on these strategic business units. The Company uses income before income taxes and non-controlling interest and other qualitative measures for purposes of making decisions about allocating resources to each segment and assessing each segment’s performance, which the Company believes represents current performance measures.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accounting policies of the segments are set forth in Note 2 to the Company’s consolidated financial statements contained in Item 15 of the Company’s Annual Report on Form 10-K for the year ended December 31, 2022. Total revenue represents sales to unaffiliated customers, as reported in the Company’s condensed consolidated statements of income. All significant intercompany transactions have been eliminated in consolidation. The caption entitled “Other” consists of mitigation credit, title and insurance business revenue and cost of revenue; corporate operating expenses; corporate depreciation and amortization and corporate other income and expense items.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864" w:name="Tc_XlOfs7bGUUagTVbzAwGCzA_8_5"/>
      <w:bookmarkStart w:id="1865" w:name="Tc_U4vVdMtM8EmLrJGsnTmdkw_8_2"/>
      <w:bookmarkStart w:id="1866" w:name="Tc_fIj0_GTfgUOuUkww1D89AQ_8_0"/>
      <w:bookmarkStart w:id="1867" w:name="Tc_nrkkU_iJ_k--Ok4ozQ7_Zg_7_0"/>
      <w:bookmarkStart w:id="1868" w:name="Tc_Tf3dmmmGH0yMJFeIHr-DEw_6_0"/>
      <w:bookmarkStart w:id="1869" w:name="Tc_pxJx31HLlUSerZz2PDjs2Q_5_0"/>
      <w:bookmarkStart w:id="1870" w:name="Tc_5Yuf00sMsE-taCd0_WLwTA_4_5"/>
      <w:bookmarkStart w:id="1871" w:name="Tc_7iegitWAnE-fDvBTCWrQ1w_4_2"/>
      <w:bookmarkStart w:id="1872" w:name="Tc_KrutDxVSMECMyq6WAdWZgw_4_0"/>
      <w:bookmarkStart w:id="1873" w:name="Tc_4FxITlb0w0ewmKHxGjXd-w_3_0"/>
      <w:bookmarkStart w:id="1874" w:name="Tc_mRS3_4FwLEunCTT4FLX79Q_2_5"/>
      <w:bookmarkStart w:id="1875" w:name="Tc_KSSxZbN9YUKY03mv7CY1RQ_2_2"/>
      <w:bookmarkStart w:id="1876" w:name="Tc_1aEN6uUuTkO7PGeW85ytEQ_1_5"/>
      <w:bookmarkStart w:id="1877" w:name="Tc_4XzyA9xSS0uEwTTcHNJVIA_1_2"/>
      <w:bookmarkStart w:id="1878" w:name="_c0d94182_3da4_4bbb_9a88_68f9c7c82256"/>
      <w:bookmarkStart w:id="1879" w:name="Tc_E6ZHqp_Of0-l3zGXBP1knQ_16_5"/>
      <w:bookmarkStart w:id="1880" w:name="Tc_qFj0qL6S70ueTKPEGjdraw_16_2"/>
      <w:bookmarkStart w:id="1881" w:name="Tc_LKhXNQrRSE2l86Nz5O3S6g_16_0"/>
      <w:bookmarkStart w:id="1882" w:name="Tc_QBl7c1wS80C-wHN9sEg8kg_15_0"/>
      <w:bookmarkStart w:id="1883" w:name="Tc_sc10oNk54ES5gEDj2xW8Pw_14_0"/>
      <w:bookmarkStart w:id="1884" w:name="Tc_8UzgPsnNQECQK5T0SWfkCA_13_0"/>
      <w:bookmarkStart w:id="1885" w:name="Tc_n8VT69dqckGJ0X42kyF7-w_12_5"/>
      <w:bookmarkStart w:id="1886" w:name="Tc_ZE13J81rSEKrN7uHe5Xt9Q_12_2"/>
      <w:bookmarkStart w:id="1887" w:name="Tc_ge91Qgaa6EW0FN4A0UAwuw_12_0"/>
      <w:bookmarkStart w:id="1888" w:name="Tc_mOR2WLnjWUm_-_Gj4YrFyg_11_0"/>
      <w:bookmarkStart w:id="1889" w:name="Tc_v29rqBcQqEOUdCfDmpgcTw_9_5"/>
      <w:bookmarkStart w:id="1890" w:name="Tc_T1s8AsjC1060Yp0pK5TvQw_9_2"/>
      <w:bookmarkStart w:id="1891" w:name="Tc_prSaam_Ix0uvphWYYWxq0A_9_0"/>
      <w:bookmarkStart w:id="1892" w:name="Tc_HNLpi3IGnUiwn5RrrbodeQ_8_0"/>
      <w:bookmarkStart w:id="1893" w:name="Tc_1X8p1TevP0qENqYd0CLkuA_7_0"/>
      <w:bookmarkStart w:id="1894" w:name="Tc_4zt4gPMqaEiHYNMx5YU7Kg_6_0"/>
      <w:bookmarkStart w:id="1895" w:name="Tc_3CjYSHv_gEOHiGK1tvWNIw_5_5"/>
      <w:bookmarkStart w:id="1896" w:name="Tc_0okoOhc2-UKvKYAQf5rpnw_5_2"/>
      <w:bookmarkStart w:id="1897" w:name="Tc_pCCeLkc-zUWQi_nX0GAYBA_5_0"/>
      <w:bookmarkStart w:id="1898" w:name="Tc_oFBsxznZhEyxynWPMmmgGw_4_0"/>
      <w:bookmarkStart w:id="1899" w:name="Tc_X9g1cHNcXkaOnRp0fyH1Jw_3_5"/>
      <w:bookmarkStart w:id="1900" w:name="Tc_y7l6Wja1zEaDUN7nrFMc6w_3_2"/>
      <w:bookmarkStart w:id="1901" w:name="Tc_bq5tFKZAJEeDhhxt9K97rA_2_2"/>
      <w:bookmarkStart w:id="1902" w:name="Tc_aVbgMpDxZ0yCcvwSYqRX3w_1_2"/>
      <w:bookmarkStart w:id="1903" w:name="_d8a97f70_7094_45ff_91ee_475f6a8e798d"/>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r>
        <w:rPr>
          <w:rFonts w:ascii="Times New Roman;Times;serif" w:hAnsi="Times New Roman;Times;serif"/>
          <w:sz w:val="20"/>
        </w:rPr>
        <w:t>Information by business segment is as follows:</w:t>
      </w:r>
    </w:p>
    <w:p>
      <w:pPr>
        <w:pStyle w:val="TextBody"/>
        <w:spacing w:before="0" w:after="0"/>
        <w:ind w:left="0" w:right="0" w:hanging="0"/>
        <w:rPr/>
      </w:pPr>
      <w:r>
        <w:rPr/>
        <w:t>​</w:t>
      </w:r>
    </w:p>
    <w:tbl>
      <w:tblPr>
        <w:tblW w:w="6117" w:type="dxa"/>
        <w:jc w:val="left"/>
        <w:tblInd w:w="0" w:type="dxa"/>
        <w:tblCellMar>
          <w:top w:w="0" w:type="dxa"/>
          <w:left w:w="0" w:type="dxa"/>
          <w:bottom w:w="0" w:type="dxa"/>
          <w:right w:w="0" w:type="dxa"/>
        </w:tblCellMar>
      </w:tblPr>
      <w:tblGrid>
        <w:gridCol w:w="3616"/>
        <w:gridCol w:w="326"/>
        <w:gridCol w:w="211"/>
        <w:gridCol w:w="691"/>
        <w:gridCol w:w="326"/>
        <w:gridCol w:w="211"/>
        <w:gridCol w:w="736"/>
      </w:tblGrid>
      <w:tr>
        <w:trPr/>
        <w:tc>
          <w:tcPr>
            <w:tcW w:w="3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296160" cy="175260"/>
                      <wp:effectExtent l="0" t="0" r="0" b="0"/>
                      <wp:wrapNone/>
                      <wp:docPr id="425" name="Frame425"/>
                      <a:graphic xmlns:a="http://schemas.openxmlformats.org/drawingml/2006/main">
                        <a:graphicData uri="http://schemas.microsoft.com/office/word/2010/wordprocessingShape">
                          <wps:wsp>
                            <wps:cNvSpPr txBox="1"/>
                            <wps:spPr>
                              <a:xfrm>
                                <a:off x="0" y="0"/>
                                <a:ext cx="2296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38785" cy="175260"/>
                      <wp:effectExtent l="0" t="0" r="0" b="0"/>
                      <wp:wrapNone/>
                      <wp:docPr id="428" name="Frame42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67360" cy="175260"/>
                      <wp:effectExtent l="0" t="0" r="0" b="0"/>
                      <wp:wrapNone/>
                      <wp:docPr id="431" name="Frame431"/>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revenue:</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  </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Residential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32,715</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16,238</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15,396</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Consolidated operating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72,991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64,871</w:t>
            </w:r>
          </w:p>
        </w:tc>
      </w:tr>
      <w:tr>
        <w:trPr/>
        <w:tc>
          <w:tcPr>
            <w:tcW w:w="36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rPr/>
            </w:pPr>
            <w:r>
              <w:rPr/>
              <w:t>​</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pPr>
            <w:r>
              <w:rPr/>
              <w:t>  </w:t>
            </w:r>
          </w:p>
        </w:tc>
      </w:tr>
      <w:tr>
        <w:trPr/>
        <w:tc>
          <w:tcPr>
            <w:tcW w:w="361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Residential </w:t>
            </w:r>
            <w:r>
              <w:rPr>
                <w:rFonts w:ascii="Times New Roman;Times;serif" w:hAnsi="Times New Roman;Times;serif"/>
                <w:sz w:val="15"/>
              </w:rPr>
              <w:t>(a)</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15,577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16,566</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r>
      <w:tr>
        <w:trPr/>
        <w:tc>
          <w:tcPr>
            <w:tcW w:w="361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(b)</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4,841</w:t>
            </w:r>
          </w:p>
        </w:tc>
      </w:tr>
      <w:tr>
        <w:trPr/>
        <w:tc>
          <w:tcPr>
            <w:tcW w:w="361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(2,455)</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Consolidated income before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12,922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17,989</w:t>
            </w:r>
          </w:p>
        </w:tc>
      </w:tr>
      <w:tr>
        <w:trPr/>
        <w:tc>
          <w:tcPr>
            <w:tcW w:w="3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r>
    </w:tbl>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2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The three months ended March 31, 2023 and 2022 includes $3.9</w:t>
            </w:r>
            <w:r>
              <w:rPr>
                <w:caps w:val="false"/>
                <w:smallCaps w:val="false"/>
              </w:rPr>
              <w:t xml:space="preserve"> </w:t>
            </w:r>
            <w:r>
              <w:rPr>
                <w:rFonts w:ascii="Times New Roman;Times;serif" w:hAnsi="Times New Roman;Times;serif"/>
                <w:b w:val="false"/>
                <w:i w:val="false"/>
                <w:caps w:val="false"/>
                <w:smallCaps w:val="false"/>
                <w:sz w:val="18"/>
              </w:rPr>
              <w:t>million of equity in income from unconsolidated joint ventures and $0.6</w:t>
            </w:r>
            <w:r>
              <w:rPr>
                <w:caps w:val="false"/>
                <w:smallCaps w:val="false"/>
              </w:rPr>
              <w:t xml:space="preserve"> </w:t>
            </w:r>
            <w:r>
              <w:rPr>
                <w:rFonts w:ascii="Times New Roman;Times;serif" w:hAnsi="Times New Roman;Times;serif"/>
                <w:b w:val="false"/>
                <w:i w:val="false"/>
                <w:caps w:val="false"/>
                <w:smallCaps w:val="false"/>
                <w:sz w:val="18"/>
              </w:rPr>
              <w:t xml:space="preserve">of equity in loss from unconsolidated joint ventures, respectively, related to the Latitude Margaritaville Watersound JV. See Note 4. </w:t>
            </w:r>
            <w:r>
              <w:rPr>
                <w:rFonts w:ascii="Times New Roman;Times;serif" w:hAnsi="Times New Roman;Times;serif"/>
                <w:b w:val="false"/>
                <w:i/>
                <w:sz w:val="18"/>
              </w:rPr>
              <w:t xml:space="preserve">Joint Ventures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90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The three months ended March 31, 2022, includes a gain of $0.4</w:t>
            </w:r>
            <w:r>
              <w:rPr>
                <w:caps w:val="false"/>
                <w:smallCaps w:val="false"/>
              </w:rPr>
              <w:t xml:space="preserve"> </w:t>
            </w:r>
            <w:r>
              <w:rPr>
                <w:rFonts w:ascii="Times New Roman;Times;serif" w:hAnsi="Times New Roman;Times;serif"/>
                <w:b w:val="false"/>
                <w:i w:val="false"/>
                <w:caps w:val="false"/>
                <w:smallCaps w:val="false"/>
                <w:sz w:val="18"/>
              </w:rPr>
              <w:t xml:space="preserve">million on land contributed to the unconsolidated Electric Cart Watersound JV. See Note 4. </w:t>
            </w:r>
            <w:r>
              <w:rPr>
                <w:rFonts w:ascii="Times New Roman;Times;serif" w:hAnsi="Times New Roman;Times;serif"/>
                <w:b w:val="false"/>
                <w:i/>
                <w:sz w:val="18"/>
              </w:rPr>
              <w:t xml:space="preserve">Joint Ventures </w:t>
            </w:r>
            <w:r>
              <w:rPr>
                <w:rFonts w:ascii="TimesNewRomanPSMT" w:hAnsi="TimesNewRomanPSMT"/>
                <w:b w:val="false"/>
                <w:i w:val="false"/>
                <w:caps w:val="false"/>
                <w:smallCaps w:val="false"/>
                <w:sz w:val="18"/>
              </w:rPr>
              <w:t xml:space="preserve">and Note 16. </w:t>
            </w:r>
            <w:r>
              <w:rPr>
                <w:rFonts w:ascii="TimesNewRomanPS-ItalicMT" w:hAnsi="TimesNewRomanPS-ItalicMT"/>
                <w:b w:val="false"/>
                <w:i/>
                <w:sz w:val="18"/>
              </w:rPr>
              <w:t xml:space="preserve">Other Income (Expense), Net </w:t>
            </w:r>
            <w:r>
              <w:rPr>
                <w:rFonts w:ascii="TimesNewRomanPSMT" w:hAnsi="TimesNewRomanPSMT"/>
                <w:b w:val="false"/>
                <w:i w:val="false"/>
                <w:caps w:val="false"/>
                <w:smallCaps w:val="false"/>
                <w:sz w:val="18"/>
              </w:rPr>
              <w:t>for additional information</w:t>
            </w:r>
            <w:r>
              <w:rPr>
                <w:rFonts w:ascii="Times New Roman;Times;serif" w:hAnsi="Times New Roman;Times;serif"/>
                <w:b w:val="false"/>
                <w:i w:val="false"/>
                <w:caps w:val="false"/>
                <w:smallCaps w:val="false"/>
                <w:sz w:val="18"/>
              </w:rPr>
              <w:t>.</w:t>
            </w:r>
          </w:p>
        </w:tc>
      </w:tr>
    </w:tbl>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99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Includes gain on insurance recovery of and $0.7</w:t>
            </w:r>
            <w:r>
              <w:rPr>
                <w:caps w:val="false"/>
                <w:smallCaps w:val="false"/>
              </w:rPr>
              <w:t xml:space="preserve"> </w:t>
            </w:r>
            <w:r>
              <w:rPr>
                <w:rFonts w:ascii="Times New Roman;Times;serif" w:hAnsi="Times New Roman;Times;serif"/>
                <w:b w:val="false"/>
                <w:i w:val="false"/>
                <w:caps w:val="false"/>
                <w:smallCaps w:val="false"/>
                <w:sz w:val="18"/>
              </w:rPr>
              <w:t xml:space="preserve">million during the three months ended March 31, 2022, related to Hurricane Michael. See </w:t>
            </w:r>
            <w:r>
              <w:rPr>
                <w:rFonts w:ascii="TimesNewRomanPSMT" w:hAnsi="TimesNewRomanPSMT"/>
                <w:b w:val="false"/>
                <w:i w:val="false"/>
                <w:caps w:val="false"/>
                <w:smallCaps w:val="false"/>
                <w:sz w:val="18"/>
              </w:rPr>
              <w:t xml:space="preserve">Note 16. </w:t>
            </w:r>
            <w:r>
              <w:rPr>
                <w:rFonts w:ascii="TimesNewRomanPS-ItalicMT" w:hAnsi="TimesNewRomanPS-ItalicMT"/>
                <w:b w:val="false"/>
                <w:i/>
                <w:sz w:val="18"/>
              </w:rPr>
              <w:t xml:space="preserve">Other Income (Expense), Net </w:t>
            </w:r>
            <w:r>
              <w:rPr>
                <w:rFonts w:ascii="Times New Roman;Times;serif" w:hAnsi="Times New Roman;Times;serif"/>
                <w:b w:val="false"/>
                <w:i w:val="false"/>
                <w:caps w:val="false"/>
                <w:smallCaps w:val="false"/>
                <w:sz w:val="18"/>
              </w:rPr>
              <w:t>for additional information.</w:t>
            </w:r>
          </w:p>
        </w:tc>
      </w:tr>
    </w:tbl>
    <w:p>
      <w:pPr>
        <w:pStyle w:val="TextBody"/>
        <w:spacing w:before="0" w:after="0"/>
        <w:ind w:left="0" w:right="0" w:hanging="0"/>
        <w:rPr/>
      </w:pPr>
      <w:r>
        <w:rPr/>
        <w:t>​</w:t>
      </w:r>
    </w:p>
    <w:tbl>
      <w:tblPr>
        <w:tblW w:w="4212" w:type="dxa"/>
        <w:jc w:val="left"/>
        <w:tblInd w:w="0" w:type="dxa"/>
        <w:tblCellMar>
          <w:top w:w="0" w:type="dxa"/>
          <w:left w:w="0" w:type="dxa"/>
          <w:bottom w:w="0" w:type="dxa"/>
          <w:right w:w="0" w:type="dxa"/>
        </w:tblCellMar>
      </w:tblPr>
      <w:tblGrid>
        <w:gridCol w:w="1171"/>
        <w:gridCol w:w="326"/>
        <w:gridCol w:w="211"/>
        <w:gridCol w:w="931"/>
        <w:gridCol w:w="326"/>
        <w:gridCol w:w="211"/>
        <w:gridCol w:w="1036"/>
      </w:tblGrid>
      <w:tr>
        <w:trPr/>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743585" cy="175260"/>
                      <wp:effectExtent l="0" t="0" r="0" b="0"/>
                      <wp:wrapNone/>
                      <wp:docPr id="432" name="Frame432"/>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91185" cy="175260"/>
                      <wp:effectExtent l="0" t="0" r="0" b="0"/>
                      <wp:wrapNone/>
                      <wp:docPr id="435" name="Frame43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57860" cy="175260"/>
                      <wp:effectExtent l="0" t="0" r="0" b="0"/>
                      <wp:wrapNone/>
                      <wp:docPr id="438" name="Frame43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1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1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  </w:t>
            </w:r>
          </w:p>
        </w:tc>
      </w:tr>
      <w:tr>
        <w:trPr/>
        <w:tc>
          <w:tcPr>
            <w:tcW w:w="11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Residential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231,372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231,054</w:t>
            </w:r>
          </w:p>
        </w:tc>
      </w:tr>
      <w:tr>
        <w:trPr/>
        <w:tc>
          <w:tcPr>
            <w:tcW w:w="11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435,376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420,329</w:t>
            </w:r>
          </w:p>
        </w:tc>
      </w:tr>
      <w:tr>
        <w:trPr/>
        <w:tc>
          <w:tcPr>
            <w:tcW w:w="11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491,600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470,629</w:t>
            </w:r>
          </w:p>
        </w:tc>
      </w:tr>
      <w:tr>
        <w:trPr/>
        <w:tc>
          <w:tcPr>
            <w:tcW w:w="11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307,911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308,827</w:t>
            </w:r>
          </w:p>
        </w:tc>
      </w:tr>
      <w:tr>
        <w:trPr/>
        <w:tc>
          <w:tcPr>
            <w:tcW w:w="11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1,466,259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1,430,839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360" w:right="0" w:hanging="0"/>
        <w:rPr/>
      </w:pPr>
      <w:r>
        <w:rPr/>
        <w:t>​</w:t>
      </w:r>
    </w:p>
    <w:p>
      <w:pPr>
        <w:pStyle w:val="TextBody"/>
        <w:spacing w:before="0" w:after="0"/>
        <w:ind w:left="36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18. Commitments and Contingencies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establishes an accrued liability when it is both probable that a material loss has been incurred and the amount of the loss can be reasonably estimated. The Company will evaluate the range of reasonably estimated losses and record an accrued liability based on what it believes to be the minimum amount in the range, unless it believes an amount within the range is a better estimate than any other amount. In such cases, there may be an exposure to loss in excess of the amounts accrued. The Company evaluates quarterly whether further developments could affect the amount of the accrued liability previously established or would make a loss contingency both probable and reasonably estimable.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also provides disclosure when it believes it is reasonably possible that a material loss will be incurred or when it believes it is reasonably possible that the amount of a loss will exceed the recorded liability. The Company reviews loss contingencies at least quarterly to determine whether the likelihood of loss has changed and to assess whether a reasonable estimate of the loss or range of loss can be made. This estimated range of possible losses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is subject to a variety of litigation, claims, other disputes and governmental proceedings that arise from time to time in the ordinary course of its business, including litigation related to its prior homebuilding and development activities. The Company cannot make assurances that it will be successful in defending these matters. Based on current knowledge, the Company does not believe that loss contingencies arising from pending litigation, claims, other disputes and governmental proceedings, including those described herein, will have a material adverse effect on the consolidated financial position or liquidity of the Company. However, in light of the inherent uncertainties involved in these matters, an adverse outcome in one or more of these matters could be material to the Company’s results of operations or cash flows for any particular reporting period.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 range of loss can be reasonably estimated. As assessments and cleanups proceed, these accruals are reviewed and adjusted, if necessary, as additional information becomes available. The Company is in the process of assessing certain properties in regard to the effects, if any, on the environment from the disposal or release of wastes or substances. Management is unable to quantify future rehabilitation costs above present accruals at this time or provide a reasonably estimated range of loss.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litigation, claims and disputes, including environmental matters, are pending against the Company. Accrued aggregate liabilities related to the matters described above and other litigation matters were $0.4 million as of both March 31, 2023 and December 31, 2022. Significant judgment is required in both the determination of probability and whether the amount of an exposure is reasonably estimable. Due to uncertainties related to these matters, accruals are based only on the information available at the time. As additional information becomes available, management reassesses potential liabilities related to pending claims and litigation and may revise its previous estimates, which could materially affect the Company’s results of operations for any particular reporting period.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has retained certain self-insurance risks with respect to losses for third party liability and property damage, including its timber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2020, the Company, as lender, entered into a $10.0 million secured revolving promissory note with the unconsolidated Latitude Margaritaville Watersound JV, as borrower. As of both March 31, 2023 and December 31, 2022, there was no balance outstanding on the Latitude JV Note. </w:t>
      </w:r>
      <w:r>
        <w:rPr>
          <w:rFonts w:ascii="TimesNewRomanPSMT" w:hAnsi="TimesNewRomanPSMT"/>
          <w:sz w:val="20"/>
        </w:rPr>
        <w:t xml:space="preserve">The </w:t>
      </w:r>
      <w:r>
        <w:rPr>
          <w:rFonts w:ascii="Times New Roman;Times;serif" w:hAnsi="Times New Roman;Times;serif"/>
          <w:sz w:val="20"/>
        </w:rPr>
        <w:t xml:space="preserve">Latitude JV Note was provided by the Company </w:t>
      </w:r>
      <w:r>
        <w:rPr>
          <w:rFonts w:ascii="TimesNewRomanPSMT" w:hAnsi="TimesNewRomanPSMT"/>
          <w:sz w:val="20"/>
        </w:rPr>
        <w:t xml:space="preserve">to finance the development of the pod-level, non-spine infrastructure. </w:t>
      </w:r>
      <w:r>
        <w:rPr>
          <w:rFonts w:ascii="Times New Roman;Times;serif" w:hAnsi="Times New Roman;Times;serif"/>
          <w:sz w:val="20"/>
        </w:rPr>
        <w:t xml:space="preserve">Future advances, if any, will be repaid </w:t>
      </w:r>
      <w:r>
        <w:rPr>
          <w:rFonts w:ascii="TimesNewRomanPSMT" w:hAnsi="TimesNewRomanPSMT"/>
          <w:sz w:val="20"/>
        </w:rPr>
        <w:t xml:space="preserve">by the JV as each home is sold by the JV, with the aggregate unpaid principal and all accrued and unpaid interest due at maturity in June 2025. The </w:t>
      </w:r>
      <w:r>
        <w:rPr>
          <w:rFonts w:ascii="Times New Roman;Times;serif" w:hAnsi="Times New Roman;Times;serif"/>
          <w:sz w:val="20"/>
        </w:rPr>
        <w:t xml:space="preserve">note is secured by a mortgage and security interest in and on the real property and improvements located on the real property of the JV.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March 31, 2023 and December 31, 2022, the Company was required to provide surety bonds that guarantee completion and maintenance of certain infrastructure in certain development projects and mitigation banks, as well as other financial guarantees of $22.0 million and $38.1 million, respectively, as well as standby letters of credit in the amount of $9.1 million and $17.3 million, respectively, which may potentially result in liability to the Company if certain obligations of the Company are not met.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March 31, 2023, the Company had a total of $76.9 million in construction and development related contractual obligations, of which a significant portion will be funded through committed or new financing arrangements.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2019, the Company’s unconsolidated Pier Park TPS JV, entered into a $14.4 million loan (the “Pier Park TPS JV Loan”). The loan bears interest at LIBOR plus 2.5% and provides for monthly principal and interest payments with a final balloon payment at maturity in January 2026. The loan is secured by the real and personal property and certain other Security Interests. In connection with the loan, the Company, a wholly-owned subsidiary of the Company and the Company’s JV partner entered into a joint and several payment and performance guarantee in favor of the lender. The Company’s liability as guarantor under the Pier Park TPS JV Loan has been reduced to 25% of the outstanding principal balance, which requires maintaining a certain debt service coverage. The guarantee contains customary provisions providing for full recourse upon the occurrence of certain events. The Pier Park TPS JV entered into an interest rate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swap to hedge cash flows tied to changes in the underlying floating interest rate tied to LIBOR. The interest rate swap matures in January 2026 and fixed the variable rate on the related debt, initially at $14.4 million to a rate of 5.2%. As of March 31, 2023 and December 31, 2022, $13.7 million and $13.8 million, respectively, was outstanding on the Pier Park TPS JV Loan. See Note 4. </w:t>
      </w:r>
      <w:r>
        <w:rPr>
          <w:rFonts w:ascii="Times New Roman;Times;serif" w:hAnsi="Times New Roman;Times;serif"/>
          <w:i/>
          <w:sz w:val="20"/>
        </w:rPr>
        <w:t>Joint Ventures</w:t>
      </w:r>
      <w:r>
        <w:rPr>
          <w:rFonts w:ascii="Times New Roman;Times;serif" w:hAnsi="Times New Roman;Times;serif"/>
          <w:sz w:val="20"/>
        </w:rPr>
        <w:t xml:space="preserve"> and Note 6.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2020, the Company’s unconsolidated Latitude Margaritaville Watersound JV, entered into a $45.0 million loan, as amended (the “Latitude Margaritaville Watersound JV Loan”). The loan bears interest at SOFR plus 2.5%, with a floor of 3.0%. The loan provides for monthly interest payments with a final balloon payment at maturity in December 2025, with an option to extend the maturity date by one year, subject to bank approval. The loan is secured by the real and personal property and certain other Security Interests. In connection with the loan, the Company and the Company’s JV partner entered into an unconditional guaranty of completion of certain homes and related improvements in favor of the lender. As of March 31, 2023 and December 31, 2022, $25.1 million and $30.0 million, respectively, was outstanding on the Latitude Margaritaville Watersound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2021, the Company’s unconsolidated Watersound Fountains Independent Living JV, entered into a $41.9 million loan (the “Watersound Fountains JV Loan”). The loan bears interest at LIBOR plus 2.0%, with a floor of 2.5%. The loan provides for interest only payments for the first forty-eight months and principal and interest payments thereafter with a final balloon payment at maturity in April 2026. The loan includes an option for an extension of the maturity date by twelve months, subject to certain conditions, which would provide for continued monthly principal and interest payments with a final balloon payment at the extended maturity date. The loan is secured by the real property and certain other Security Interests. In connection with the loan, the Company executed a guarantee in favor of the lender to guarantee the completion of the project and payment and performance of the borrower under the Watersound Fountains JV Loan. The Company’s liability as guarantor under the loan will be reduced to 50% of the outstanding principal amount upon issuance of the certificate of occupancy and reduced to 25% and a further 0% of the outstanding principal balance upon reaching and maintaining certain debt service coverage. The guarantee contains customary provisions providing for full recourse upon the occurrence of certain events. The Company is the sole guarantor and receives a quarterly fee related to the guarantee from its JV partners based on the JV partners’ ownership percentage. As of March 31, 2023 and December 31, 2022, $28.1 million and $21.3 million, respectively, was outstanding on the Watersound Fountains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September 2022, the Company’s unconsolidated Electric Cart Watersound JV, entered into a $5.4 million loan (the “Electric Cart Watersound JV Loan”). The loan bears interest at SOFR plus 1.8%, with a floor of 2.1%. The loan provides for interest only payments for the first twenty-four months and principal and interest payments thereafter with a final balloon payment at maturity in September 2032. The loan is secured by the real property and certain other Security Interests. In connection with the loan, the Company, a wholly-owned subsidiary of the Company and the Electric Cart Watersound JV entered into a joint and several payment and performance guarantee in favor of the lender. After the initial forty-eight months of the loan, the Company’s liability as guarantor under the loan will be reduced to 50% of the outstanding principal balance upon reaching a certain debt service coverage and other conditions. The Company is the sole guarantor and receives a quarterly fee related to the guarantee from its JV partner based on the JV partner’s ownership percentage. As of March 31, 2023 and December 31, 2022, $2.0 million and $0.8 million, respectively, was outstanding on the Electric Cart Watersound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20"/>
        </w:rPr>
        <w:t>The Company has assessed the need to record a liability for the guarantees related to the Company’s unconsolidated JVs and did not record an obligation as of both March 31, 2023 and December 31, 2022. As of both March 31, 2023 and December 31, 2022, allowance for credit losses related to the contingent aspect of these guarantees, based on historical experience and economic trends, was $0.1 million and is included within other liabilities on the condensed consolidated balance sheets.</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19. Subsequent Event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April 26, 2023, the Company’s Board of Directors declared a cash dividend of $0.10 </w:t>
      </w:r>
      <w:r>
        <w:rPr>
          <w:rFonts w:ascii="Times New Roman;Times;serif" w:hAnsi="Times New Roman;Times;serif"/>
          <w:b w:val="false"/>
          <w:i w:val="false"/>
          <w:caps w:val="false"/>
          <w:smallCaps w:val="false"/>
          <w:sz w:val="20"/>
        </w:rPr>
        <w:t>per share</w:t>
      </w:r>
      <w:r>
        <w:rPr>
          <w:rFonts w:ascii="Times New Roman;Times;serif" w:hAnsi="Times New Roman;Times;serif"/>
          <w:sz w:val="20"/>
        </w:rPr>
        <w:t xml:space="preserve"> on the Company’s common stock, payable on June 15, 2023 to shareholders of record at the close of business on May 17,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904" w:name="Item2ManagementsDiscussionandAnalysisofF"/>
      <w:bookmarkStart w:id="1905" w:name="_Hlk116503292_0"/>
      <w:bookmarkStart w:id="1906" w:name="_Hlk109372469_0"/>
      <w:bookmarkStart w:id="1907" w:name="_68ef8c8f_c93e_4af9_990a_5468e89a5f86"/>
      <w:bookmarkEnd w:id="1904"/>
      <w:bookmarkEnd w:id="1905"/>
      <w:bookmarkEnd w:id="1906"/>
      <w:bookmarkEnd w:id="1907"/>
      <w:r>
        <w:rPr>
          <w:rFonts w:ascii="Times New Roman;Times;serif" w:hAnsi="Times New Roman;Times;serif"/>
          <w:b/>
          <w:sz w:val="20"/>
        </w:rPr>
        <w:t>Item 2.         </w:t>
      </w:r>
      <w:r>
        <w:rPr>
          <w:rFonts w:ascii="Times New Roman;Times;serif" w:hAnsi="Times New Roman;Times;serif"/>
          <w:b/>
          <w:i/>
          <w:sz w:val="20"/>
        </w:rPr>
        <w:t>Management’s Discussion and Analysis of Financial Condition and Results of Operations</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The statements in this discussion regarding industry outlook, our expectations regarding our future performance, liquidity and capital resources and other non-historical statements are forward-looking statements. These forward-looking statements are subject to risks and uncertainties, including the risks and uncertainties described in “Forward-Looking Statements” below and “Risk Factors” on page 6 of our annual report on Form 10-K. Our actual results may differ materially from those contained in or implied by any forward-looking statements. We assume no obligation to revise or publicly release any revision to any forward-looking statements contained in this quarterly report on Form 10-Q, unless required by law.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Business Overview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St. Joe is a real estate development, asset management and operating company with all of its real estate assets and operations in Northwest Florida. We intend to use existing assets for residential, hospitality and commercial ventures. We have significant residential and commercial land-use entitlements. We actively seek higher and better uses for our real estate assets through a range of development activities. As part of our core business strategy, we have created a meaningful portion of our business through joint ventures and limited partnerships over the past several years. We enter into these arrangements for the purposes of developing real estate and other business activities, which we believe allows us to complement our growth strategy, leverage industry expertise and diversify our business. We may also partner with or explore the sale of discrete assets when we and/or others can better deploy resources. We seek to enhance the value of our owned real estate assets by developing residential, commercial and hospitality projects to meet market demand. Approximately 86% of our real estate is located in Florida’s Bay, Gulf, and Walton counties. Approximately 90% of our real estate land holdings are located within fifteen miles of the Gulf of Mexico.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our present capital structure, liquidity and land provide us with years of opportunities to increase recurring revenue and long-term value for our shareholders. We intend to focus on our core business activity of real estate development, asset management and operations. We continue to develop a broad range of asset types that we believe will provide acceptable rates of return, grow recurring revenues and support future business. Capital commitments will be funded with cash proceeds from completed projects, existing cash, owned-land, partner capital and financing arrangements. We do not anticipate immediate benefits from investments. Timing of projects may be subject to delays caused by factors beyond our control. We may also choose to operate rather than lease assets, lease rather than sell assets, or sell improved rather than unimproved land that may delay revenue and profits.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real estate investment strategy focuses on projects that meet long-term risk-adjusted return criteria. Our practice is to only incur such expenditures when our analysis indicates that a project will generate a return equal to or greater than the threshold return over its life.</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Highlights for the first quarter of 2023 compared to the first quarter of 2022 include:</w:t>
      </w:r>
    </w:p>
    <w:tbl>
      <w:tblPr>
        <w:tblW w:w="6951" w:type="dxa"/>
        <w:jc w:val="left"/>
        <w:tblInd w:w="0" w:type="dxa"/>
        <w:tblCellMar>
          <w:top w:w="28" w:type="dxa"/>
          <w:left w:w="28" w:type="dxa"/>
          <w:bottom w:w="28" w:type="dxa"/>
          <w:right w:w="28" w:type="dxa"/>
        </w:tblCellMar>
      </w:tblPr>
      <w:tblGrid>
        <w:gridCol w:w="124"/>
        <w:gridCol w:w="256"/>
        <w:gridCol w:w="65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Total revenue increased by 12.5% to $73.0 million, compared to $64.9 million.</w:t>
            </w:r>
          </w:p>
        </w:tc>
      </w:tr>
    </w:tbl>
    <w:tbl>
      <w:tblPr>
        <w:tblW w:w="3816" w:type="dxa"/>
        <w:jc w:val="left"/>
        <w:tblInd w:w="0" w:type="dxa"/>
        <w:tblCellMar>
          <w:top w:w="28" w:type="dxa"/>
          <w:left w:w="28" w:type="dxa"/>
          <w:bottom w:w="28" w:type="dxa"/>
          <w:right w:w="28" w:type="dxa"/>
        </w:tblCellMar>
      </w:tblPr>
      <w:tblGrid>
        <w:gridCol w:w="124"/>
        <w:gridCol w:w="256"/>
        <w:gridCol w:w="3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Hospitality revenue increased by 50.3%.</w:t>
            </w:r>
          </w:p>
        </w:tc>
      </w:tr>
    </w:tbl>
    <w:tbl>
      <w:tblPr>
        <w:tblW w:w="3546" w:type="dxa"/>
        <w:jc w:val="left"/>
        <w:tblInd w:w="0" w:type="dxa"/>
        <w:tblCellMar>
          <w:top w:w="28" w:type="dxa"/>
          <w:left w:w="28" w:type="dxa"/>
          <w:bottom w:w="28" w:type="dxa"/>
          <w:right w:w="28" w:type="dxa"/>
        </w:tblCellMar>
      </w:tblPr>
      <w:tblGrid>
        <w:gridCol w:w="124"/>
        <w:gridCol w:w="256"/>
        <w:gridCol w:w="31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Leasing revenue increased by 34.1%.</w:t>
            </w:r>
          </w:p>
        </w:tc>
      </w:tr>
    </w:tbl>
    <w:tbl>
      <w:tblPr>
        <w:tblW w:w="3711" w:type="dxa"/>
        <w:jc w:val="left"/>
        <w:tblInd w:w="0" w:type="dxa"/>
        <w:tblCellMar>
          <w:top w:w="28" w:type="dxa"/>
          <w:left w:w="28" w:type="dxa"/>
          <w:bottom w:w="28" w:type="dxa"/>
          <w:right w:w="28" w:type="dxa"/>
        </w:tblCellMar>
      </w:tblPr>
      <w:tblGrid>
        <w:gridCol w:w="124"/>
        <w:gridCol w:w="256"/>
        <w:gridCol w:w="3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Real estate revenue decreased by 4.9%.</w:t>
            </w:r>
          </w:p>
        </w:tc>
      </w:tr>
    </w:tbl>
    <w:tbl>
      <w:tblPr>
        <w:tblW w:w="7161" w:type="dxa"/>
        <w:jc w:val="left"/>
        <w:tblInd w:w="0" w:type="dxa"/>
        <w:tblCellMar>
          <w:top w:w="28" w:type="dxa"/>
          <w:left w:w="28" w:type="dxa"/>
          <w:bottom w:w="28" w:type="dxa"/>
          <w:right w:w="28" w:type="dxa"/>
        </w:tblCellMar>
      </w:tblPr>
      <w:tblGrid>
        <w:gridCol w:w="124"/>
        <w:gridCol w:w="256"/>
        <w:gridCol w:w="6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Homesite closings volume increased 80.7% to 327 homesites from 181 homesites.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 xml:space="preserve">Latitude Margaritaville Watersound JV, an unconsolidated joint venture, completed 149 home sale transactions, compared to 18 home sale transactions.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Net income attributable to the Company decreased to $10.4 million compared to $13.4 million with pre-opening expenses of $2.4 million in the first quarter of 2023 for new hotels, and other cost increases, partially offset by increased equity in income from unconsolidated joint ventures.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936" w:right="0" w:hanging="0"/>
        <w:rPr/>
      </w:pPr>
      <w:r>
        <w:rPr/>
        <w:t>​</w:t>
      </w:r>
    </w:p>
    <w:p>
      <w:pPr>
        <w:pStyle w:val="TextBody"/>
        <w:spacing w:before="0" w:after="240"/>
        <w:ind w:left="0" w:right="0" w:hanging="0"/>
        <w:rPr>
          <w:rFonts w:ascii="Times New Roman;Times;serif" w:hAnsi="Times New Roman;Times;serif"/>
          <w:b/>
          <w:sz w:val="20"/>
        </w:rPr>
      </w:pPr>
      <w:bookmarkStart w:id="1908" w:name="_Hlk116503273"/>
      <w:bookmarkStart w:id="1909" w:name="_Hlk116503282"/>
      <w:bookmarkEnd w:id="1908"/>
      <w:bookmarkEnd w:id="1909"/>
      <w:r>
        <w:rPr>
          <w:rFonts w:ascii="Times New Roman;Times;serif" w:hAnsi="Times New Roman;Times;serif"/>
          <w:b/>
          <w:sz w:val="20"/>
        </w:rPr>
        <w:t>Market Conditions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Throughout the first quarter of 2023, we continued to generate positive financial results. While macroeconomic factors such as inflation, rising interest rates, supply chain disruptions, financial institution disruptions and geopolitical conflicts, among other things, have created economic headwinds and impacted buyer sentiment, demand across our segments remains strong. We believe this is primarily the result of the continued growth of Northwest Florida, which we attribute to the region’s high quality of life, natural beauty and outstanding amenities, as well as the evolving flexibility in the workplace.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Despite the strong demand across our segments, we also continue to feel the impact from the aforementioned macroeconomic factors, including supply chain disruptions which have extended homesite and home deliveries in certain residential communities and extended the time to complete hospitality and commercial projects. In addition, inflation and rising interest rates, have increased operating costs and loan rates, as compared to prior periods. We generally have not seen a material increase in cancellation rates, and therefore the impact relates primarily to the timing of revenue recognition. In addition, while rising interest rates have negatively impacted buyers’ ability to obtain financing and the housing market generally, homebuilders have performed on their contractual obligations with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Given our diverse portfolio of residential holdings, the mix of sales and pricing from different communities may also impact revenue and margins period over period, as discussed in more detail below.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Reportable Segments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conduct primarily all of our business in the following three reportable segments: (1) residential, (2) hospitality and (3) commercial.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sets forth the relative contribution of these reportable segments to our consolidated operating revenue:</w:t>
      </w:r>
    </w:p>
    <w:tbl>
      <w:tblPr>
        <w:tblW w:w="6137" w:type="dxa"/>
        <w:jc w:val="left"/>
        <w:tblInd w:w="0" w:type="dxa"/>
        <w:tblCellMar>
          <w:top w:w="0" w:type="dxa"/>
          <w:left w:w="0" w:type="dxa"/>
          <w:bottom w:w="0" w:type="dxa"/>
          <w:right w:w="0" w:type="dxa"/>
        </w:tblCellMar>
      </w:tblPr>
      <w:tblGrid>
        <w:gridCol w:w="2821"/>
        <w:gridCol w:w="326"/>
        <w:gridCol w:w="911"/>
        <w:gridCol w:w="623"/>
        <w:gridCol w:w="911"/>
        <w:gridCol w:w="391"/>
        <w:gridCol w:w="154"/>
      </w:tblGrid>
      <w:tr>
        <w:trPr/>
        <w:tc>
          <w:tcPr>
            <w:tcW w:w="2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791335" cy="175260"/>
                      <wp:effectExtent l="0" t="0" r="0" b="0"/>
                      <wp:wrapNone/>
                      <wp:docPr id="439" name="Frame439"/>
                      <a:graphic xmlns:a="http://schemas.openxmlformats.org/drawingml/2006/main">
                        <a:graphicData uri="http://schemas.microsoft.com/office/word/2010/wordprocessingShape">
                          <wps:wsp>
                            <wps:cNvSpPr txBox="1"/>
                            <wps:spPr>
                              <a:xfrm>
                                <a:off x="0" y="0"/>
                                <a:ext cx="1791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78485" cy="175260"/>
                      <wp:effectExtent l="0" t="0" r="0" b="0"/>
                      <wp:wrapNone/>
                      <wp:docPr id="441" name="Frame441"/>
                      <a:graphic xmlns:a="http://schemas.openxmlformats.org/drawingml/2006/main">
                        <a:graphicData uri="http://schemas.microsoft.com/office/word/2010/wordprocessingShape">
                          <wps:wsp>
                            <wps:cNvSpPr txBox="1"/>
                            <wps:spPr>
                              <a:xfrm>
                                <a:off x="0" y="0"/>
                                <a:ext cx="578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95605" cy="175260"/>
                      <wp:effectExtent l="0" t="0" r="0" b="0"/>
                      <wp:wrapNone/>
                      <wp:docPr id="442" name="Frame442"/>
                      <a:graphic xmlns:a="http://schemas.openxmlformats.org/drawingml/2006/main">
                        <a:graphicData uri="http://schemas.microsoft.com/office/word/2010/wordprocessingShape">
                          <wps:wsp>
                            <wps:cNvSpPr txBox="1"/>
                            <wps:spPr>
                              <a:xfrm>
                                <a:off x="0" y="0"/>
                                <a:ext cx="395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78485" cy="175260"/>
                      <wp:effectExtent l="0" t="0" r="0" b="0"/>
                      <wp:wrapNone/>
                      <wp:docPr id="443" name="Frame443"/>
                      <a:graphic xmlns:a="http://schemas.openxmlformats.org/drawingml/2006/main">
                        <a:graphicData uri="http://schemas.microsoft.com/office/word/2010/wordprocessingShape">
                          <wps:wsp>
                            <wps:cNvSpPr txBox="1"/>
                            <wps:spPr>
                              <a:xfrm>
                                <a:off x="0" y="0"/>
                                <a:ext cx="578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48285" cy="175260"/>
                      <wp:effectExtent l="0" t="0" r="0" b="0"/>
                      <wp:wrapNone/>
                      <wp:docPr id="444" name="Frame444"/>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97790" cy="175260"/>
                      <wp:effectExtent l="0" t="0" r="0" b="0"/>
                      <wp:wrapNone/>
                      <wp:docPr id="445" name="Frame44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4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23" w:type="dxa"/>
            <w:tcBorders/>
            <w:shd w:fill="auto" w:val="clear"/>
            <w:vAlign w:val="center"/>
          </w:tcPr>
          <w:p>
            <w:pPr>
              <w:pStyle w:val="TableContents"/>
              <w:spacing w:before="0" w:after="0"/>
              <w:ind w:left="0" w:right="0" w:hanging="0"/>
              <w:rPr/>
            </w:pPr>
            <w:r>
              <w:rPr/>
              <w:t>    </w:t>
            </w:r>
          </w:p>
        </w:tc>
        <w:tc>
          <w:tcPr>
            <w:tcW w:w="9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91"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Segment Operating Revenue</w:t>
            </w:r>
          </w:p>
        </w:tc>
        <w:tc>
          <w:tcPr>
            <w:tcW w:w="326" w:type="dxa"/>
            <w:tcBorders/>
            <w:shd w:fill="CCEEFF" w:val="clear"/>
            <w:vAlign w:val="center"/>
          </w:tcPr>
          <w:p>
            <w:pPr>
              <w:pStyle w:val="TableContents"/>
              <w:spacing w:before="0" w:after="0"/>
              <w:ind w:left="0" w:right="0" w:hanging="0"/>
              <w:rPr/>
            </w:pPr>
            <w:r>
              <w:rPr/>
              <w:t> </w:t>
            </w:r>
          </w:p>
        </w:tc>
        <w:tc>
          <w:tcPr>
            <w:tcW w:w="911" w:type="dxa"/>
            <w:tcBorders/>
            <w:shd w:fill="CCEEFF" w:val="clear"/>
            <w:vAlign w:val="center"/>
          </w:tcPr>
          <w:p>
            <w:pPr>
              <w:pStyle w:val="TableContents"/>
              <w:spacing w:before="0" w:after="0"/>
              <w:ind w:left="0" w:right="0" w:hanging="0"/>
              <w:jc w:val="right"/>
              <w:rPr/>
            </w:pPr>
            <w:r>
              <w:rPr/>
              <w:t>  </w:t>
            </w:r>
          </w:p>
        </w:tc>
        <w:tc>
          <w:tcPr>
            <w:tcW w:w="623" w:type="dxa"/>
            <w:tcBorders/>
            <w:shd w:fill="CCEEFF" w:val="clear"/>
            <w:vAlign w:val="center"/>
          </w:tcPr>
          <w:p>
            <w:pPr>
              <w:pStyle w:val="TableContents"/>
              <w:spacing w:before="0" w:after="0"/>
              <w:ind w:left="0" w:right="0" w:hanging="0"/>
              <w:rPr/>
            </w:pPr>
            <w:r>
              <w:rPr/>
              <w:t> </w:t>
            </w:r>
          </w:p>
        </w:tc>
        <w:tc>
          <w:tcPr>
            <w:tcW w:w="911" w:type="dxa"/>
            <w:tcBorders/>
            <w:shd w:fill="CCEEFF" w:val="clear"/>
            <w:vAlign w:val="center"/>
          </w:tcPr>
          <w:p>
            <w:pPr>
              <w:pStyle w:val="TableContents"/>
              <w:spacing w:before="0" w:after="0"/>
              <w:ind w:left="0" w:right="0" w:hanging="0"/>
              <w:jc w:val="right"/>
              <w:rPr/>
            </w:pPr>
            <w:r>
              <w:rPr/>
              <w:t>  </w:t>
            </w:r>
          </w:p>
        </w:tc>
        <w:tc>
          <w:tcPr>
            <w:tcW w:w="391" w:type="dxa"/>
            <w:tcBorders/>
            <w:shd w:fill="CCEEFF" w:val="clear"/>
            <w:vAlign w:val="center"/>
          </w:tcPr>
          <w:p>
            <w:pPr>
              <w:pStyle w:val="TableContents"/>
              <w:spacing w:before="0" w:after="0"/>
              <w:ind w:left="0" w:right="0" w:hanging="0"/>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Residential</w:t>
            </w:r>
          </w:p>
        </w:tc>
        <w:tc>
          <w:tcPr>
            <w:tcW w:w="326" w:type="dxa"/>
            <w:tcBorders/>
            <w:shd w:fill="auto" w:val="clear"/>
            <w:vAlign w:val="center"/>
          </w:tcPr>
          <w:p>
            <w:pPr>
              <w:pStyle w:val="TableContents"/>
              <w:spacing w:before="0" w:after="0"/>
              <w:ind w:left="0" w:right="0" w:hanging="0"/>
              <w:rPr/>
            </w:pPr>
            <w:r>
              <w:rPr/>
              <w:t> </w:t>
            </w:r>
          </w:p>
        </w:tc>
        <w:tc>
          <w:tcPr>
            <w:tcW w:w="9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6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 w:type="dxa"/>
            <w:tcBorders/>
            <w:shd w:fill="auto" w:val="clear"/>
            <w:vAlign w:val="center"/>
          </w:tcPr>
          <w:p>
            <w:pPr>
              <w:pStyle w:val="TableContents"/>
              <w:spacing w:before="0" w:after="0"/>
              <w:ind w:left="0" w:right="0" w:hanging="0"/>
              <w:rPr/>
            </w:pPr>
            <w:r>
              <w:rPr/>
              <w:t>​</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w:t>
            </w:r>
          </w:p>
        </w:tc>
        <w:tc>
          <w:tcPr>
            <w:tcW w:w="326" w:type="dxa"/>
            <w:tcBorders/>
            <w:shd w:fill="CCEEFF" w:val="clear"/>
            <w:vAlign w:val="center"/>
          </w:tcPr>
          <w:p>
            <w:pPr>
              <w:pStyle w:val="TableContents"/>
              <w:spacing w:before="0" w:after="0"/>
              <w:ind w:left="0" w:right="0" w:hanging="0"/>
              <w:rPr/>
            </w:pPr>
            <w:r>
              <w:rPr/>
              <w:t> </w:t>
            </w:r>
          </w:p>
        </w:tc>
        <w:tc>
          <w:tcPr>
            <w:tcW w:w="9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6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spacing w:before="0" w:after="0"/>
              <w:ind w:left="0" w:right="0" w:hanging="0"/>
              <w:rPr/>
            </w:pPr>
            <w:r>
              <w:rPr/>
              <w:t>​</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w:t>
            </w:r>
          </w:p>
        </w:tc>
        <w:tc>
          <w:tcPr>
            <w:tcW w:w="326" w:type="dxa"/>
            <w:tcBorders/>
            <w:shd w:fill="auto" w:val="clear"/>
            <w:vAlign w:val="center"/>
          </w:tcPr>
          <w:p>
            <w:pPr>
              <w:pStyle w:val="TableContents"/>
              <w:spacing w:before="0" w:after="0"/>
              <w:ind w:left="0" w:right="0" w:hanging="0"/>
              <w:rPr/>
            </w:pPr>
            <w:r>
              <w:rPr/>
              <w:t> </w:t>
            </w:r>
          </w:p>
        </w:tc>
        <w:tc>
          <w:tcPr>
            <w:tcW w:w="9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6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 w:type="dxa"/>
            <w:tcBorders/>
            <w:shd w:fill="auto" w:val="clear"/>
            <w:vAlign w:val="center"/>
          </w:tcPr>
          <w:p>
            <w:pPr>
              <w:pStyle w:val="TableContents"/>
              <w:spacing w:before="0" w:after="0"/>
              <w:ind w:left="0" w:right="0" w:hanging="0"/>
              <w:rPr/>
            </w:pPr>
            <w:r>
              <w:rPr/>
              <w:t>​</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 </w:t>
            </w:r>
          </w:p>
        </w:tc>
        <w:tc>
          <w:tcPr>
            <w:tcW w:w="9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6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spacing w:before="0" w:after="0"/>
              <w:ind w:left="0" w:right="0" w:hanging="0"/>
              <w:rPr/>
            </w:pPr>
            <w:r>
              <w:rPr/>
              <w:t>​</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Consolidated operating revenue</w:t>
            </w:r>
          </w:p>
        </w:tc>
        <w:tc>
          <w:tcPr>
            <w:tcW w:w="326" w:type="dxa"/>
            <w:tcBorders/>
            <w:shd w:fill="auto" w:val="clear"/>
            <w:vAlign w:val="center"/>
          </w:tcPr>
          <w:p>
            <w:pPr>
              <w:pStyle w:val="TableContents"/>
              <w:spacing w:before="0" w:after="0"/>
              <w:ind w:left="0" w:right="0" w:hanging="0"/>
              <w:rPr/>
            </w:pPr>
            <w:r>
              <w:rPr/>
              <w:t> </w:t>
            </w:r>
          </w:p>
        </w:tc>
        <w:tc>
          <w:tcPr>
            <w:tcW w:w="9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62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For more information regarding our reportable segments see Note 17. </w:t>
      </w:r>
      <w:r>
        <w:rPr>
          <w:rFonts w:ascii="Times New Roman;Times;serif" w:hAnsi="Times New Roman;Times;serif"/>
          <w:i/>
          <w:sz w:val="20"/>
        </w:rPr>
        <w:t>Segment Information</w:t>
      </w:r>
      <w:r>
        <w:rPr>
          <w:rFonts w:ascii="Times New Roman;Times;serif" w:hAnsi="Times New Roman;Times;serif"/>
          <w:sz w:val="20"/>
        </w:rPr>
        <w:t>.</w:t>
      </w:r>
    </w:p>
    <w:p>
      <w:pPr>
        <w:pStyle w:val="TextBody"/>
        <w:spacing w:before="0" w:after="240"/>
        <w:ind w:left="0" w:right="0" w:hanging="0"/>
        <w:rPr>
          <w:rFonts w:ascii="Times New Roman;Times;serif" w:hAnsi="Times New Roman;Times;serif"/>
          <w:b/>
          <w:sz w:val="20"/>
        </w:rPr>
      </w:pPr>
      <w:bookmarkStart w:id="1910" w:name="_Hlk84937211"/>
      <w:bookmarkStart w:id="1911" w:name="_Hlk108602048"/>
      <w:bookmarkEnd w:id="1910"/>
      <w:bookmarkEnd w:id="1911"/>
      <w:r>
        <w:rPr>
          <w:rFonts w:ascii="Times New Roman;Times;serif" w:hAnsi="Times New Roman;Times;serif"/>
          <w:b/>
          <w:sz w:val="20"/>
        </w:rPr>
        <w:t>Residential Segment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residential segment typically plans and develops residential communities of various sizes across a wide range of price points and sells homesites to homebuilders or retail consumers. Our residential segment also evaluates opportunities to enter into JV agreements for specific communities such as Latitude Margaritaville Watersound.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residential segment includes the Watersound Origins, Watersound Origins West, Watersound Camp Creek, Breakfast Point East, Titus Park, Ward Creek, College Station, Park Place, Salt Creek at Mexico Beach, WindMark Beach and SouthWood communities, which are large scale, multi-phase communities with current development activity, sales activity or future phases. Homesites in these communities are developed based on market demand and sold primarily to homebuilders and on a limited basis to retail customers.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East Lake Creek, East Lake Powell, Lake Powell, Teachee, West Bay Creek and West Laird communities have phases of homesites in preliminary planning. Homesites in these communities will be developed based on market demand and sold primarily to homebuilders and on a limited basis to retail customers.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SummerCamp Beach community has homesites available for sale and along with the RiverCamps community, both have additional lands for future development.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Latitude Margaritaville Watersound community is a planned 55+ active adult residential community in Bay County, Florida. The community is located near the Intracoastal Waterway with convenient access to the Northwest Florida Beaches International Airport. The community is being developed through our unconsolidated Latitude Margaritaville Watersound JV with our partner Minto Communities USA, a homebuilder and community developer, and is estimated to include approximately 3,500 residential homes, which will be developed in smaller increments of discrete neighborhoods. As of March 31, 2023, the unconsolidated Latitude Margaritaville Watersound JV had 679 homes under contract, which are expected to result in a sales value of approximately $337.8 million at closing of the homes.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residential homesite pipeline by community/project is as follows:</w:t>
      </w:r>
    </w:p>
    <w:tbl>
      <w:tblPr>
        <w:tblW w:w="9765" w:type="dxa"/>
        <w:jc w:val="left"/>
        <w:tblInd w:w="0" w:type="dxa"/>
        <w:tblCellMar>
          <w:top w:w="0" w:type="dxa"/>
          <w:left w:w="0" w:type="dxa"/>
          <w:bottom w:w="0" w:type="dxa"/>
          <w:right w:w="0" w:type="dxa"/>
        </w:tblCellMar>
      </w:tblPr>
      <w:tblGrid>
        <w:gridCol w:w="3226"/>
        <w:gridCol w:w="109"/>
        <w:gridCol w:w="1576"/>
        <w:gridCol w:w="109"/>
        <w:gridCol w:w="109"/>
        <w:gridCol w:w="1051"/>
        <w:gridCol w:w="109"/>
        <w:gridCol w:w="1186"/>
        <w:gridCol w:w="109"/>
        <w:gridCol w:w="1366"/>
        <w:gridCol w:w="109"/>
        <w:gridCol w:w="706"/>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48510" cy="175260"/>
                      <wp:effectExtent l="0" t="0" r="0" b="0"/>
                      <wp:wrapNone/>
                      <wp:docPr id="446" name="Frame446"/>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4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000760" cy="175260"/>
                      <wp:effectExtent l="0" t="0" r="0" b="0"/>
                      <wp:wrapNone/>
                      <wp:docPr id="448" name="Frame448"/>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9215" cy="175260"/>
                      <wp:effectExtent l="0" t="0" r="0" b="0"/>
                      <wp:wrapNone/>
                      <wp:docPr id="449" name="Frame4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50" name="Frame4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67385" cy="175260"/>
                      <wp:effectExtent l="0" t="0" r="0" b="0"/>
                      <wp:wrapNone/>
                      <wp:docPr id="451" name="Frame451"/>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9215" cy="175260"/>
                      <wp:effectExtent l="0" t="0" r="0" b="0"/>
                      <wp:wrapNone/>
                      <wp:docPr id="452" name="Frame4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753110" cy="175260"/>
                      <wp:effectExtent l="0" t="0" r="0" b="0"/>
                      <wp:wrapNone/>
                      <wp:docPr id="453" name="Frame453"/>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215" cy="175260"/>
                      <wp:effectExtent l="0" t="0" r="0" b="0"/>
                      <wp:wrapNone/>
                      <wp:docPr id="454" name="Frame4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867410" cy="175260"/>
                      <wp:effectExtent l="0" t="0" r="0" b="0"/>
                      <wp:wrapNone/>
                      <wp:docPr id="455" name="Frame455"/>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56" name="Frame4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48310" cy="175260"/>
                      <wp:effectExtent l="0" t="0" r="0" b="0"/>
                      <wp:wrapNone/>
                      <wp:docPr id="457" name="Frame457"/>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636" w:type="dxa"/>
            <w:gridSpan w:val="7"/>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Residential Homesite Pipeline</w:t>
            </w:r>
            <w:r>
              <w:rPr>
                <w:rFonts w:ascii="Times New Roman;Times;serif" w:hAnsi="Times New Roman;Times;serif"/>
                <w:sz w:val="16"/>
              </w:rPr>
              <w:t xml:space="preserve"> </w:t>
            </w:r>
            <w:r>
              <w:rPr>
                <w:rFonts w:ascii="Times New Roman;Times;serif" w:hAnsi="Times New Roman;Times;serif"/>
                <w:b/>
                <w:sz w:val="12"/>
              </w:rPr>
              <w:t>(a)</w:t>
            </w:r>
          </w:p>
        </w:tc>
      </w:tr>
      <w:tr>
        <w:trPr/>
        <w:tc>
          <w:tcPr>
            <w:tcW w:w="32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Platted or </w:t>
            </w:r>
          </w:p>
        </w:tc>
        <w:tc>
          <w:tcPr>
            <w:tcW w:w="109" w:type="dxa"/>
            <w:tcBorders/>
            <w:shd w:fill="auto" w:val="clear"/>
            <w:vAlign w:val="center"/>
          </w:tcPr>
          <w:p>
            <w:pPr>
              <w:pStyle w:val="TableContents"/>
              <w:spacing w:before="0" w:after="0"/>
              <w:ind w:left="0" w:right="0" w:hanging="0"/>
              <w:jc w:val="center"/>
              <w:rPr/>
            </w:pPr>
            <w:r>
              <w:rPr/>
              <w:t>​</w:t>
            </w:r>
          </w:p>
        </w:tc>
        <w:tc>
          <w:tcPr>
            <w:tcW w:w="118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r>
      <w:tr>
        <w:trPr/>
        <w:tc>
          <w:tcPr>
            <w:tcW w:w="32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Under</w:t>
            </w:r>
          </w:p>
        </w:tc>
        <w:tc>
          <w:tcPr>
            <w:tcW w:w="109" w:type="dxa"/>
            <w:tcBorders/>
            <w:shd w:fill="auto" w:val="clear"/>
            <w:vAlign w:val="center"/>
          </w:tcPr>
          <w:p>
            <w:pPr>
              <w:pStyle w:val="TableContents"/>
              <w:spacing w:before="0" w:after="0"/>
              <w:ind w:left="0" w:right="0" w:hanging="0"/>
              <w:jc w:val="center"/>
              <w:rPr/>
            </w:pPr>
            <w:r>
              <w:rPr/>
              <w:t>​</w:t>
            </w:r>
          </w:p>
        </w:tc>
        <w:tc>
          <w:tcPr>
            <w:tcW w:w="11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or</w:t>
            </w:r>
          </w:p>
        </w:tc>
        <w:tc>
          <w:tcPr>
            <w:tcW w:w="109"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Entitlements with</w:t>
            </w:r>
          </w:p>
        </w:tc>
        <w:tc>
          <w:tcPr>
            <w:tcW w:w="109"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r>
      <w:tr>
        <w:trPr/>
        <w:tc>
          <w:tcPr>
            <w:tcW w:w="32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Community/Project</w:t>
            </w:r>
          </w:p>
        </w:tc>
        <w:tc>
          <w:tcPr>
            <w:tcW w:w="109" w:type="dxa"/>
            <w:tcBorders/>
            <w:shd w:fill="auto" w:val="clear"/>
            <w:vAlign w:val="center"/>
          </w:tcPr>
          <w:p>
            <w:pPr>
              <w:pStyle w:val="TableContents"/>
              <w:spacing w:before="0" w:after="0"/>
              <w:ind w:left="0" w:right="0" w:hanging="0"/>
              <w:rPr/>
            </w:pPr>
            <w:r>
              <w:rPr/>
              <w:t>​</w:t>
            </w:r>
          </w:p>
        </w:tc>
        <w:tc>
          <w:tcPr>
            <w:tcW w:w="15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Location</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shd w:fill="auto" w:val="clear"/>
            <w:vAlign w:val="center"/>
          </w:tcPr>
          <w:p>
            <w:pPr>
              <w:pStyle w:val="TableContents"/>
              <w:spacing w:before="0" w:after="0"/>
              <w:ind w:left="0" w:right="0" w:hanging="0"/>
              <w:jc w:val="center"/>
              <w:rPr/>
            </w:pPr>
            <w:r>
              <w:rPr/>
              <w:t>​</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Permitting</w:t>
            </w:r>
          </w:p>
        </w:tc>
        <w:tc>
          <w:tcPr>
            <w:tcW w:w="109" w:type="dxa"/>
            <w:tcBorders/>
            <w:shd w:fill="auto" w:val="clear"/>
            <w:vAlign w:val="center"/>
          </w:tcPr>
          <w:p>
            <w:pPr>
              <w:pStyle w:val="TableContents"/>
              <w:spacing w:before="0" w:after="0"/>
              <w:ind w:left="0" w:right="0" w:hanging="0"/>
              <w:jc w:val="center"/>
              <w:rPr/>
            </w:pPr>
            <w:r>
              <w:rPr/>
              <w:t>​</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Concept Plan</w:t>
            </w:r>
          </w:p>
        </w:tc>
        <w:tc>
          <w:tcPr>
            <w:tcW w:w="109" w:type="dxa"/>
            <w:tcBorders/>
            <w:shd w:fill="auto" w:val="cle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Breakfast Point East </w:t>
            </w:r>
            <w:r>
              <w:rPr>
                <w:rFonts w:ascii="Times New Roman;Times;serif" w:hAnsi="Times New Roman;Times;serif"/>
                <w:sz w:val="14"/>
              </w:rPr>
              <w:t>(b)</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266</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College Station</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East Lake Creek </w:t>
            </w:r>
            <w:r>
              <w:rPr>
                <w:rFonts w:ascii="Times New Roman;Times;serif" w:hAnsi="Times New Roman;Times;serif"/>
                <w:sz w:val="14"/>
              </w:rPr>
              <w:t>(b)</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r>
      <w:tr>
        <w:trPr/>
        <w:tc>
          <w:tcPr>
            <w:tcW w:w="322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East Lake Powell </w:t>
            </w:r>
            <w:r>
              <w:rPr>
                <w:rFonts w:ascii="Times New Roman;Times;serif" w:hAnsi="Times New Roman;Times;serif"/>
                <w:sz w:val="14"/>
              </w:rPr>
              <w:t>(c)</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Lake Powell </w:t>
            </w:r>
            <w:r>
              <w:rPr>
                <w:rFonts w:ascii="Times New Roman;Times;serif" w:hAnsi="Times New Roman;Times;serif"/>
                <w:sz w:val="14"/>
              </w:rPr>
              <w:t>(d)</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1,352</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1,352</w:t>
            </w:r>
          </w:p>
        </w:tc>
      </w:tr>
      <w:tr>
        <w:trPr/>
        <w:tc>
          <w:tcPr>
            <w:tcW w:w="322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Latitude Margaritaville Watersound </w:t>
            </w:r>
            <w:r>
              <w:rPr>
                <w:rFonts w:ascii="Times New Roman;Times;serif" w:hAnsi="Times New Roman;Times;serif"/>
                <w:sz w:val="14"/>
              </w:rPr>
              <w:t>(d) (e)</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720</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687</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1,581</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2,988</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Salt Creek at Mexico Beach </w:t>
            </w:r>
            <w:r>
              <w:rPr>
                <w:rFonts w:ascii="Times New Roman;Times;serif" w:hAnsi="Times New Roman;Times;serif"/>
                <w:sz w:val="14"/>
              </w:rPr>
              <w:t>(b)</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367</w:t>
            </w:r>
          </w:p>
        </w:tc>
      </w:tr>
      <w:tr>
        <w:trPr/>
        <w:tc>
          <w:tcPr>
            <w:tcW w:w="322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Salt Creek at Mexico Beach Townhomes </w:t>
            </w:r>
            <w:r>
              <w:rPr>
                <w:rFonts w:ascii="Times New Roman;Times;serif" w:hAnsi="Times New Roman;Times;serif"/>
                <w:sz w:val="14"/>
              </w:rPr>
              <w:t>(b)</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Park Place</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r>
      <w:tr>
        <w:trPr/>
        <w:tc>
          <w:tcPr>
            <w:tcW w:w="322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RiverCamps </w:t>
            </w:r>
            <w:r>
              <w:rPr>
                <w:rFonts w:ascii="Times New Roman;Times;serif" w:hAnsi="Times New Roman;Times;serif"/>
                <w:sz w:val="14"/>
              </w:rPr>
              <w:t>(c)</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SouthWood </w:t>
            </w:r>
            <w:r>
              <w:rPr>
                <w:rFonts w:ascii="Times New Roman;Times;serif" w:hAnsi="Times New Roman;Times;serif"/>
                <w:sz w:val="14"/>
              </w:rPr>
              <w:t>(f)</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Leon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920</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1,016</w:t>
            </w:r>
          </w:p>
        </w:tc>
      </w:tr>
      <w:tr>
        <w:trPr/>
        <w:tc>
          <w:tcPr>
            <w:tcW w:w="322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SummerCamp Beach </w:t>
            </w:r>
            <w:r>
              <w:rPr>
                <w:rFonts w:ascii="Times New Roman;Times;serif" w:hAnsi="Times New Roman;Times;serif"/>
                <w:sz w:val="14"/>
              </w:rPr>
              <w:t>(b)</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Franklin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Teachee </w:t>
            </w:r>
            <w:r>
              <w:rPr>
                <w:rFonts w:ascii="Times New Roman;Times;serif" w:hAnsi="Times New Roman;Times;serif"/>
                <w:sz w:val="14"/>
              </w:rPr>
              <w:t>(d)</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Titus Park</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560</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907</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Ward Creek </w:t>
            </w:r>
            <w:r>
              <w:rPr>
                <w:rFonts w:ascii="Times New Roman;Times;serif" w:hAnsi="Times New Roman;Times;serif"/>
                <w:sz w:val="14"/>
              </w:rPr>
              <w:t>(d)</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601</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1,472</w:t>
            </w:r>
          </w:p>
        </w:tc>
      </w:tr>
      <w:tr>
        <w:trPr/>
        <w:tc>
          <w:tcPr>
            <w:tcW w:w="322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Watersound Camp Creek </w:t>
            </w:r>
            <w:r>
              <w:rPr>
                <w:rFonts w:ascii="Times New Roman;Times;serif" w:hAnsi="Times New Roman;Times;serif"/>
                <w:sz w:val="14"/>
              </w:rPr>
              <w:t>(f)</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Walton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Watersound Origins </w:t>
            </w:r>
            <w:r>
              <w:rPr>
                <w:rFonts w:ascii="Times New Roman;Times;serif" w:hAnsi="Times New Roman;Times;serif"/>
                <w:sz w:val="14"/>
              </w:rPr>
              <w:t>(f)</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Walton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r>
      <w:tr>
        <w:trPr/>
        <w:tc>
          <w:tcPr>
            <w:tcW w:w="322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Watersound Origins West </w:t>
            </w:r>
            <w:r>
              <w:rPr>
                <w:rFonts w:ascii="Times New Roman;Times;serif" w:hAnsi="Times New Roman;Times;serif"/>
                <w:sz w:val="14"/>
              </w:rPr>
              <w:t>(d)</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Walton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234</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1,694</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1,996</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West Bay Creek </w:t>
            </w:r>
            <w:r>
              <w:rPr>
                <w:rFonts w:ascii="Times New Roman;Times;serif" w:hAnsi="Times New Roman;Times;serif"/>
                <w:sz w:val="14"/>
              </w:rPr>
              <w:t>(d)</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5,250</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5,250</w:t>
            </w:r>
          </w:p>
        </w:tc>
      </w:tr>
      <w:tr>
        <w:trPr/>
        <w:tc>
          <w:tcPr>
            <w:tcW w:w="322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West Laird </w:t>
            </w:r>
            <w:r>
              <w:rPr>
                <w:rFonts w:ascii="Times New Roman;Times;serif" w:hAnsi="Times New Roman;Times;serif"/>
                <w:sz w:val="14"/>
              </w:rPr>
              <w:t>(d)</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1,068</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1,117</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2,185</w:t>
            </w:r>
          </w:p>
        </w:tc>
      </w:tr>
      <w:tr>
        <w:trPr/>
        <w:tc>
          <w:tcPr>
            <w:tcW w:w="322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WindMark Beach </w:t>
            </w:r>
            <w:r>
              <w:rPr>
                <w:rFonts w:ascii="Times New Roman;Times;serif" w:hAnsi="Times New Roman;Times;serif"/>
                <w:sz w:val="14"/>
              </w:rPr>
              <w:t>(f)</w:t>
            </w:r>
          </w:p>
        </w:tc>
        <w:tc>
          <w:tcPr>
            <w:tcW w:w="109" w:type="dxa"/>
            <w:tcBorders/>
            <w:shd w:fill="CCEEFF" w:val="clear"/>
            <w:vAlign w:val="center"/>
          </w:tcPr>
          <w:p>
            <w:pPr>
              <w:pStyle w:val="TableContents"/>
              <w:spacing w:before="0" w:after="0"/>
              <w:ind w:left="0" w:right="0" w:hanging="0"/>
              <w:rPr/>
            </w:pPr>
            <w:r>
              <w:rPr/>
              <w:t>​</w:t>
            </w:r>
          </w:p>
        </w:tc>
        <w:tc>
          <w:tcPr>
            <w:tcW w:w="15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Gulf County, FL</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109" w:type="dxa"/>
            <w:tcBorders/>
            <w:shd w:fill="CCEEFF" w:val="clear"/>
            <w:vAlign w:val="center"/>
          </w:tcPr>
          <w:p>
            <w:pPr>
              <w:pStyle w:val="TableContents"/>
              <w:spacing w:before="0" w:after="0"/>
              <w:ind w:left="0" w:right="0" w:hanging="0"/>
              <w:jc w:val="right"/>
              <w:rPr/>
            </w:pPr>
            <w:r>
              <w:rPr/>
              <w:t>​</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549</w:t>
            </w:r>
          </w:p>
        </w:tc>
        <w:tc>
          <w:tcPr>
            <w:tcW w:w="109" w:type="dxa"/>
            <w:tcBorders/>
            <w:shd w:fill="CCEEFF" w:val="clear"/>
            <w:vAlign w:val="center"/>
          </w:tcPr>
          <w:p>
            <w:pPr>
              <w:pStyle w:val="TableContents"/>
              <w:spacing w:before="0" w:after="0"/>
              <w:ind w:left="0" w:right="0" w:hanging="0"/>
              <w:jc w:val="right"/>
              <w:rPr/>
            </w:pPr>
            <w:r>
              <w:rPr/>
              <w:t>​</w:t>
            </w:r>
          </w:p>
        </w:tc>
        <w:tc>
          <w:tcPr>
            <w:tcW w:w="13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109" w:type="dxa"/>
            <w:tcBorders/>
            <w:shd w:fill="CCEEFF" w:val="clear"/>
            <w:vAlign w:val="center"/>
          </w:tcPr>
          <w:p>
            <w:pPr>
              <w:pStyle w:val="TableContents"/>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992</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Total Homesites</w:t>
            </w:r>
          </w:p>
        </w:tc>
        <w:tc>
          <w:tcPr>
            <w:tcW w:w="109"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2,556</w:t>
            </w:r>
          </w:p>
        </w:tc>
        <w:tc>
          <w:tcPr>
            <w:tcW w:w="109" w:type="dxa"/>
            <w:tcBorders/>
            <w:shd w:fill="auto" w:val="clear"/>
            <w:vAlign w:val="center"/>
          </w:tcPr>
          <w:p>
            <w:pPr>
              <w:pStyle w:val="TableContents"/>
              <w:spacing w:before="0" w:after="0"/>
              <w:ind w:left="0" w:right="0" w:hanging="0"/>
              <w:jc w:val="right"/>
              <w:rPr/>
            </w:pPr>
            <w:r>
              <w:rPr/>
              <w:t>​</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3,530</w:t>
            </w:r>
          </w:p>
        </w:tc>
        <w:tc>
          <w:tcPr>
            <w:tcW w:w="109" w:type="dxa"/>
            <w:tcBorders/>
            <w:shd w:fill="auto" w:val="clear"/>
            <w:vAlign w:val="center"/>
          </w:tcPr>
          <w:p>
            <w:pPr>
              <w:pStyle w:val="TableContents"/>
              <w:spacing w:before="0" w:after="0"/>
              <w:ind w:left="0" w:right="0" w:hanging="0"/>
              <w:jc w:val="right"/>
              <w:rPr/>
            </w:pPr>
            <w:r>
              <w:rPr/>
              <w:t>​</w:t>
            </w:r>
          </w:p>
        </w:tc>
        <w:tc>
          <w:tcPr>
            <w:tcW w:w="13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17,041</w:t>
            </w:r>
          </w:p>
        </w:tc>
        <w:tc>
          <w:tcPr>
            <w:tcW w:w="109" w:type="dxa"/>
            <w:tcBorders/>
            <w:shd w:fill="auto" w:val="clear"/>
            <w:vAlign w:val="center"/>
          </w:tcPr>
          <w:p>
            <w:pPr>
              <w:pStyle w:val="TableContents"/>
              <w:spacing w:before="0" w:after="0"/>
              <w:ind w:left="0" w:right="0" w:hanging="0"/>
              <w:jc w:val="right"/>
              <w:rPr/>
            </w:pPr>
            <w:r>
              <w:rPr/>
              <w:t>​</w:t>
            </w:r>
          </w:p>
        </w:tc>
        <w:tc>
          <w:tcPr>
            <w:tcW w:w="70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18"/>
              </w:rPr>
            </w:pPr>
            <w:r>
              <w:rPr>
                <w:rFonts w:ascii="Times New Roman;Times;serif" w:hAnsi="Times New Roman;Times;serif"/>
                <w:b/>
                <w:sz w:val="18"/>
              </w:rPr>
              <w:t>23,127</w:t>
            </w:r>
          </w:p>
        </w:tc>
      </w:tr>
    </w:tbl>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number of homesites are preliminary and are subject to change. Includes homesites platted or currently in concept planning, engineering, permitting or development. We have significant additional entitlements for future residential homesites on our land holdings.</w:t>
            </w:r>
          </w:p>
        </w:tc>
      </w:tr>
    </w:tbl>
    <w:tbl>
      <w:tblPr>
        <w:tblW w:w="3137" w:type="dxa"/>
        <w:jc w:val="left"/>
        <w:tblInd w:w="0" w:type="dxa"/>
        <w:tblCellMar>
          <w:top w:w="0" w:type="dxa"/>
          <w:left w:w="0" w:type="dxa"/>
          <w:bottom w:w="0" w:type="dxa"/>
          <w:right w:w="0" w:type="dxa"/>
        </w:tblCellMar>
      </w:tblPr>
      <w:tblGrid>
        <w:gridCol w:w="331"/>
        <w:gridCol w:w="2806"/>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28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Planned Unit Development (“PUD”).</w:t>
            </w:r>
          </w:p>
        </w:tc>
      </w:tr>
    </w:tbl>
    <w:tbl>
      <w:tblPr>
        <w:tblW w:w="2867" w:type="dxa"/>
        <w:jc w:val="left"/>
        <w:tblInd w:w="0" w:type="dxa"/>
        <w:tblCellMar>
          <w:top w:w="0" w:type="dxa"/>
          <w:left w:w="0" w:type="dxa"/>
          <w:bottom w:w="0" w:type="dxa"/>
          <w:right w:w="0" w:type="dxa"/>
        </w:tblCellMar>
      </w:tblPr>
      <w:tblGrid>
        <w:gridCol w:w="316"/>
        <w:gridCol w:w="255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25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Development Agreement (“DA”).</w:t>
            </w:r>
          </w:p>
        </w:tc>
      </w:tr>
    </w:tbl>
    <w:tbl>
      <w:tblPr>
        <w:tblW w:w="3272" w:type="dxa"/>
        <w:jc w:val="left"/>
        <w:tblInd w:w="0" w:type="dxa"/>
        <w:tblCellMar>
          <w:top w:w="0" w:type="dxa"/>
          <w:left w:w="0" w:type="dxa"/>
          <w:bottom w:w="0" w:type="dxa"/>
          <w:right w:w="0" w:type="dxa"/>
        </w:tblCellMar>
      </w:tblPr>
      <w:tblGrid>
        <w:gridCol w:w="331"/>
        <w:gridCol w:w="2941"/>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29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Detailed Specific Area Plan (“DSAP”).</w:t>
            </w:r>
          </w:p>
        </w:tc>
      </w:tr>
    </w:tbl>
    <w:tbl>
      <w:tblPr>
        <w:tblW w:w="7667" w:type="dxa"/>
        <w:jc w:val="left"/>
        <w:tblInd w:w="0" w:type="dxa"/>
        <w:tblCellMar>
          <w:top w:w="0" w:type="dxa"/>
          <w:left w:w="0" w:type="dxa"/>
          <w:bottom w:w="0" w:type="dxa"/>
          <w:right w:w="0" w:type="dxa"/>
        </w:tblCellMar>
      </w:tblPr>
      <w:tblGrid>
        <w:gridCol w:w="316"/>
        <w:gridCol w:w="735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(e)</w:t>
            </w:r>
          </w:p>
        </w:tc>
        <w:tc>
          <w:tcPr>
            <w:tcW w:w="73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unconsolidated Latitude Margaritaville Watersound JV builds and sells homes in this community.</w:t>
            </w:r>
          </w:p>
        </w:tc>
      </w:tr>
    </w:tbl>
    <w:tbl>
      <w:tblPr>
        <w:tblW w:w="3467" w:type="dxa"/>
        <w:jc w:val="left"/>
        <w:tblInd w:w="0" w:type="dxa"/>
        <w:tblCellMar>
          <w:top w:w="0" w:type="dxa"/>
          <w:left w:w="0" w:type="dxa"/>
          <w:bottom w:w="0" w:type="dxa"/>
          <w:right w:w="0" w:type="dxa"/>
        </w:tblCellMar>
      </w:tblPr>
      <w:tblGrid>
        <w:gridCol w:w="301"/>
        <w:gridCol w:w="3166"/>
      </w:tblGrid>
      <w:tr>
        <w:trPr/>
        <w:tc>
          <w:tcPr>
            <w:tcW w:w="30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(f)</w:t>
            </w:r>
          </w:p>
        </w:tc>
        <w:tc>
          <w:tcPr>
            <w:tcW w:w="316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Development of Regional Impact (“DRI”).</w:t>
            </w:r>
          </w:p>
        </w:tc>
      </w:tr>
    </w:tbl>
    <w:p>
      <w:pPr>
        <w:pStyle w:val="TextBody"/>
        <w:spacing w:before="0" w:after="240"/>
        <w:ind w:left="0" w:right="0" w:firstLine="360"/>
        <w:rPr>
          <w:rFonts w:ascii="Times New Roman;Times;serif" w:hAnsi="Times New Roman;Times;serif"/>
          <w:sz w:val="20"/>
        </w:rPr>
      </w:pPr>
      <w:bookmarkStart w:id="1912" w:name="_Hlk108602076"/>
      <w:bookmarkEnd w:id="1912"/>
      <w:r>
        <w:rPr>
          <w:rFonts w:ascii="Times New Roman;Times;serif" w:hAnsi="Times New Roman;Times;serif"/>
          <w:sz w:val="20"/>
        </w:rPr>
        <w:t>In addition to the communities listed above, we have a number of other residential project concepts in various stages of planning and evaluation.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March 31, 2023, we had eighteen different homebuilders within our residential communities. As of March 31, 2023, we had 1,915 residential homesites under contract, which are expected to result in revenue of approximately $165.0 million, plus residuals, at closing of the homesites over the next several years. By comparison, as of March 31, 2022, we had 2,294 residential homesites under contract, with an expected revenue of approximately $175.6 million, plus residuals. The change in homesites under contract is due to increased homesite transactions in the first quarter of 2023 and amount of available homesites in current phases of the residential communities. There were no cancellations of any contracts held by builders in the current period. The number of homesites under contract is subject to change based on homesite closings and new sales activity. Homesite prices vary significantly by community and sell in sporadic transactions that may impact quarterly results. As of March 31, 2023, in addition to the 1,915 homesites under contract in other residential communities, our unconsolidated Latitude Margaritaville Watersound JV had 679 homes under contract, which together with the 1,915 homesites are expected to result in a sales value of approximately $502.8 million at closing of the homesites and homes.</w:t>
      </w:r>
    </w:p>
    <w:p>
      <w:pPr>
        <w:pStyle w:val="TextBody"/>
        <w:spacing w:before="0" w:after="240"/>
        <w:ind w:left="0" w:right="0" w:hanging="0"/>
        <w:rPr>
          <w:rFonts w:ascii="Times New Roman;Times;serif" w:hAnsi="Times New Roman;Times;serif"/>
          <w:b/>
          <w:sz w:val="20"/>
        </w:rPr>
      </w:pPr>
      <w:bookmarkStart w:id="1913" w:name="_Hlk77055149"/>
      <w:bookmarkStart w:id="1914" w:name="_Hlk85177872"/>
      <w:bookmarkStart w:id="1915" w:name="_Hlk84947918"/>
      <w:bookmarkEnd w:id="1913"/>
      <w:bookmarkEnd w:id="1914"/>
      <w:bookmarkEnd w:id="1915"/>
      <w:r>
        <w:rPr>
          <w:rFonts w:ascii="Times New Roman;Times;serif" w:hAnsi="Times New Roman;Times;serif"/>
          <w:b/>
          <w:sz w:val="20"/>
        </w:rPr>
        <w:t>Hospitality Segment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hospitality segment features a private membership club (the “Watersound Club”), hotel operations, food and beverage operations, golf courses, beach clubs, retail outlets, gulf-front vacation rentals, management services, marinas and other entertainment assets. The hospitality segment generates revenue and incurs costs from membership sales, membership reservations, golf courses, lodging at our hotels, short-term vacation rentals, management of The Pearl Hotel (prior to acquisition in December 2022), food and beverage operations, merchandise sales, marina operations, charter flights, other resort and entertainment activities and beach clubs, which includes operation of the WaterColor Beach Club. Hospitality revenue is generally recognized at the point in time services are provided and represent a single performance obligation with a fixed transaction price. Hospitality revenue recognized over time includes non-refundable club membership initiation fees, club membership dues, management fees and other membership fees. From time to time, we may explore the sale of certain hospitality properties, the development of new hospitality properties, as well as new entertainment and management opportunities. Some of our JV assets and other assets incur interest and financing expenses related to the loans as described in Note 9. </w:t>
      </w:r>
      <w:r>
        <w:rPr>
          <w:rFonts w:ascii="TimesNewRomanPS-ItalicMT" w:hAnsi="TimesNewRomanPS-ItalicMT"/>
          <w:i/>
          <w:sz w:val="20"/>
        </w:rPr>
        <w:t>Debt, Net</w:t>
      </w:r>
      <w:r>
        <w:rPr>
          <w:rFonts w:ascii="Times New Roman;Times;serif" w:hAnsi="Times New Roman;Times;serif"/>
          <w:sz w:val="20"/>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Watersound Club provides club members and guests of some of our hotels access to our member facilities, which include Camp Creek golf course and amenities, Shark’s Tooth golf course and tennis center, Watersound Beach Club and a Pilatus PC-12 NG aircraft (“N850J”). Watersound Club offers different types of club memberships, each with different access rights and associated fee structures. Watersound Club is focused on creating an outstanding membership experience combined with the luxurious aspects of a destination resort. Club operations include our golf courses, beach club and facilities that generate revenue from membership sales, membership reservations, daily play at the golf courses, merchandise sales, charter flights and food and beverage sales and incur expenses from the services provided, maintenance of the golf courses, aircraft, beach club and facilities and personnel costs. Watersound Origins includes an executive golf course, resort-style pool, fitness center, two tennis courts and a private dock located in the community. Access to amenities is reserved to Watersound Origins members consisting of the community residents. The golf course is available for public play.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Watersound Club has a private beach club located on Scenic Highway 30A, which includes over one mile of Gulf of Mexico frontage, two resort-style pools, two restaurants, three bars, kid’s room and a recreation area. Shark’s Tooth includes an 18-hole golf course, a full club house, a pro shop, as well as two food and beverage outlets. Camp Creek includes an 18-hole golf course and features several new amenities that opened in April 2023. These amenities include a health and wellness center, restaurants, a tennis and pickle ball center, a resort-style pool complex with separate adult pool, a golf teaching academy, pro shop and multi-sport fields.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own and operate the award-winning WaterColor Inn (which includes the Fish Out of Water restaurant) and The Pearl Hotel (which includes the Havana Beach Bar &amp; Grill restaurant), as well as The Lodge 30A, with our JV partner, a boutique hotel on Scenic Highway 30A in Seagrove Beach, Florida, the Hilton Garden Inn Panama City Airport, the Homewood Suites by Hilton Panama City Beach, the WaterSound Inn and two gulf-front vacation rental houses. We also operate the WaterColor Beach Club, which includes food and beverage operations and other hospitality related activities, such as beach chair rentals. Revenue is generated from (i) lodging at our hotels, (ii) operation of the WaterColor Beach Club, (iii) management of The Pearl Hotel (prior to December 2022), (iv) short-term vacation rentals, (v) food and beverage operations and (vi) merchandise sales. Lodging at our hotels and operation of the WaterColor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Beach Club generate revenue from service and/or daily rental fees and incur expenses from the cost of services and goods provided, maintenance of the facilities and personnel costs. Lodging at our hotels and short-term vacation rentals generate revenue from rental fees and incur expenses from the holding cost of assets we own and standard lodging personnel, such as front desk, reservations and marketing personnel. Our food and beverage operations generate revenue from food and beverage sales and incur expenses from the cost of services and goods provided and standard personnel costs. Our retail outlets generate revenue from merchandise sales and incur expenses from the cost of goods provided, personnel costs and facility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in the process of preparing to open an Embassy Suites by Hilton hotel, with our JV partner, in the Pier Park area of Panama City Beach, Florida; the waterfront Hotel Indigo in Panama City, Florida’s downtown waterfront district; a Home2 Suites by Hilton hotel in Santa Rosa Beach, Florida; and an upscale boutique inn located adjacent to the Camp Creek golf course near the highly desirable Scenic Highway 30A corridor. Once complete, we intend to manage the day-to-day operations of these hotels. We are also in the process of constructing a Residence Inn by Marriott, with our JV partner, in Panama City Beach, Florida. Once complete, the hotel will be operated by our JV partner.</w:t>
      </w:r>
    </w:p>
    <w:p>
      <w:pPr>
        <w:pStyle w:val="TextBody"/>
        <w:spacing w:before="0" w:after="240"/>
        <w:ind w:left="0" w:right="0" w:firstLine="360"/>
        <w:rPr>
          <w:rFonts w:ascii="Times New Roman;Times;serif" w:hAnsi="Times New Roman;Times;serif"/>
          <w:sz w:val="20"/>
        </w:rPr>
      </w:pPr>
      <w:bookmarkStart w:id="1916" w:name="_Hlk84948406"/>
      <w:bookmarkEnd w:id="1916"/>
      <w:r>
        <w:rPr>
          <w:rFonts w:ascii="Times New Roman;Times;serif" w:hAnsi="Times New Roman;Times;serif"/>
          <w:sz w:val="20"/>
        </w:rPr>
        <w:t>Our hotel portfolio by property is as follows:</w:t>
      </w:r>
    </w:p>
    <w:tbl>
      <w:tblPr>
        <w:tblW w:w="8901" w:type="dxa"/>
        <w:jc w:val="left"/>
        <w:tblInd w:w="0" w:type="dxa"/>
        <w:tblCellMar>
          <w:top w:w="0" w:type="dxa"/>
          <w:left w:w="0" w:type="dxa"/>
          <w:bottom w:w="0" w:type="dxa"/>
          <w:right w:w="0" w:type="dxa"/>
        </w:tblCellMar>
      </w:tblPr>
      <w:tblGrid>
        <w:gridCol w:w="4636"/>
        <w:gridCol w:w="109"/>
        <w:gridCol w:w="1531"/>
        <w:gridCol w:w="109"/>
        <w:gridCol w:w="946"/>
        <w:gridCol w:w="109"/>
        <w:gridCol w:w="736"/>
        <w:gridCol w:w="109"/>
        <w:gridCol w:w="616"/>
      </w:tblGrid>
      <w:tr>
        <w:trPr/>
        <w:tc>
          <w:tcPr>
            <w:tcW w:w="4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943860" cy="175260"/>
                      <wp:effectExtent l="0" t="0" r="0" b="0"/>
                      <wp:wrapNone/>
                      <wp:docPr id="458" name="Frame458"/>
                      <a:graphic xmlns:a="http://schemas.openxmlformats.org/drawingml/2006/main">
                        <a:graphicData uri="http://schemas.microsoft.com/office/word/2010/wordprocessingShape">
                          <wps:wsp>
                            <wps:cNvSpPr txBox="1"/>
                            <wps:spPr>
                              <a:xfrm>
                                <a:off x="0" y="0"/>
                                <a:ext cx="2943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9215" cy="175260"/>
                      <wp:effectExtent l="0" t="0" r="0" b="0"/>
                      <wp:wrapNone/>
                      <wp:docPr id="459" name="Frame4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972185" cy="175260"/>
                      <wp:effectExtent l="0" t="0" r="0" b="0"/>
                      <wp:wrapNone/>
                      <wp:docPr id="460" name="Frame460"/>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00710" cy="175260"/>
                      <wp:effectExtent l="0" t="0" r="0" b="0"/>
                      <wp:wrapNone/>
                      <wp:docPr id="462" name="Frame462"/>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67360" cy="175260"/>
                      <wp:effectExtent l="0" t="0" r="0" b="0"/>
                      <wp:wrapNone/>
                      <wp:docPr id="464" name="Frame464"/>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9215" cy="175260"/>
                      <wp:effectExtent l="0" t="0" r="0" b="0"/>
                      <wp:wrapNone/>
                      <wp:docPr id="465" name="Frame46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391160" cy="175260"/>
                      <wp:effectExtent l="0" t="0" r="0" b="0"/>
                      <wp:wrapNone/>
                      <wp:docPr id="466" name="Frame466"/>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516" w:type="dxa"/>
            <w:gridSpan w:val="5"/>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Rooms</w:t>
            </w:r>
            <w:r>
              <w:rPr>
                <w:rFonts w:ascii="Times New Roman;Times;serif" w:hAnsi="Times New Roman;Times;serif"/>
                <w:sz w:val="18"/>
              </w:rPr>
              <w:t xml:space="preserve"> </w:t>
            </w:r>
            <w:r>
              <w:rPr>
                <w:rFonts w:ascii="Times New Roman;Times;serif" w:hAnsi="Times New Roman;Times;serif"/>
                <w:b/>
                <w:sz w:val="14"/>
              </w:rPr>
              <w:t>(a)</w:t>
            </w:r>
          </w:p>
        </w:tc>
      </w:tr>
      <w:tr>
        <w:trPr/>
        <w:tc>
          <w:tcPr>
            <w:tcW w:w="4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Location</w:t>
            </w:r>
          </w:p>
        </w:tc>
        <w:tc>
          <w:tcPr>
            <w:tcW w:w="109" w:type="dxa"/>
            <w:tcBorders/>
            <w:shd w:fill="auto" w:val="clear"/>
            <w:vAlign w:val="center"/>
          </w:tcPr>
          <w:p>
            <w:pPr>
              <w:pStyle w:val="TableContents"/>
              <w:spacing w:before="0" w:after="0"/>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Completed</w:t>
            </w:r>
          </w:p>
        </w:tc>
        <w:tc>
          <w:tcPr>
            <w:tcW w:w="109" w:type="dxa"/>
            <w:tcBorders/>
            <w:shd w:fill="auto" w:val="clear"/>
            <w:vAlign w:val="center"/>
          </w:tcPr>
          <w:p>
            <w:pPr>
              <w:pStyle w:val="TableContents"/>
              <w:spacing w:before="0" w:after="0"/>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Planned</w:t>
            </w:r>
          </w:p>
        </w:tc>
        <w:tc>
          <w:tcPr>
            <w:tcW w:w="109" w:type="dxa"/>
            <w:tcBorders/>
            <w:shd w:fill="auto" w:val="clear"/>
            <w:vAlign w:val="center"/>
          </w:tcPr>
          <w:p>
            <w:pPr>
              <w:pStyle w:val="TableContents"/>
              <w:spacing w:before="0" w:after="0"/>
              <w:ind w:left="0" w:right="0" w:hanging="0"/>
              <w:jc w:val="center"/>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Operational</w:t>
            </w:r>
          </w:p>
        </w:tc>
        <w:tc>
          <w:tcPr>
            <w:tcW w:w="109"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16" w:type="dxa"/>
            <w:tcBorders/>
            <w:shd w:fill="CCEEFF" w:val="clear"/>
            <w:vAlign w:val="center"/>
          </w:tcPr>
          <w:p>
            <w:pPr>
              <w:pStyle w:val="TableContents"/>
              <w:spacing w:before="0" w:after="0"/>
              <w:ind w:left="0" w:right="0" w:hanging="0"/>
              <w:jc w:val="right"/>
              <w:rPr/>
            </w:pPr>
            <w:r>
              <w:rPr/>
              <w:t>​</w:t>
            </w:r>
          </w:p>
        </w:tc>
      </w:tr>
      <w:tr>
        <w:trPr/>
        <w:tc>
          <w:tcPr>
            <w:tcW w:w="463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WaterColor Inn </w:t>
            </w:r>
            <w:r>
              <w:rPr>
                <w:rFonts w:ascii="Times New Roman;Times;serif" w:hAnsi="Times New Roman;Times;serif"/>
                <w:sz w:val="14"/>
              </w:rPr>
              <w:t>(b)</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109"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463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The Pearl Hotel </w:t>
            </w:r>
            <w:r>
              <w:rPr>
                <w:rFonts w:ascii="Times New Roman;Times;serif" w:hAnsi="Times New Roman;Times;serif"/>
                <w:sz w:val="14"/>
              </w:rPr>
              <w:t>(c)</w:t>
            </w:r>
          </w:p>
        </w:tc>
        <w:tc>
          <w:tcPr>
            <w:tcW w:w="109"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109"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463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WaterSound Inn</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463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The Lodge 30A </w:t>
            </w:r>
            <w:r>
              <w:rPr>
                <w:rFonts w:ascii="Times New Roman;Times;serif" w:hAnsi="Times New Roman;Times;serif"/>
                <w:sz w:val="14"/>
              </w:rPr>
              <w:t>(d)</w:t>
            </w:r>
          </w:p>
        </w:tc>
        <w:tc>
          <w:tcPr>
            <w:tcW w:w="109"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109"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463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Hilton Garden Inn Panama City Airport</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109"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463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Homewood Suites by Hilton Panama City Beach </w:t>
            </w:r>
            <w:r>
              <w:rPr>
                <w:rFonts w:ascii="Times New Roman;Times;serif" w:hAnsi="Times New Roman;Times;serif"/>
                <w:sz w:val="14"/>
              </w:rPr>
              <w:t>(e)</w:t>
            </w:r>
          </w:p>
        </w:tc>
        <w:tc>
          <w:tcPr>
            <w:tcW w:w="109"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109"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463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TownePlace Suites by Marriott Panama City Beach Pier Park </w:t>
            </w:r>
            <w:r>
              <w:rPr>
                <w:rFonts w:ascii="Times New Roman;Times;serif" w:hAnsi="Times New Roman;Times;serif"/>
                <w:sz w:val="14"/>
              </w:rPr>
              <w:t>(f)</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109" w:type="dxa"/>
            <w:tcBorders/>
            <w:shd w:fill="auto" w:val="clear"/>
            <w:vAlign w:val="center"/>
          </w:tcPr>
          <w:p>
            <w:pPr>
              <w:pStyle w:val="TableContents"/>
              <w:spacing w:before="0" w:after="0"/>
              <w:ind w:left="0" w:right="0" w:hanging="0"/>
              <w:jc w:val="right"/>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Total operational rooms</w:t>
            </w:r>
          </w:p>
        </w:tc>
        <w:tc>
          <w:tcPr>
            <w:tcW w:w="109"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616</w:t>
            </w:r>
          </w:p>
        </w:tc>
        <w:tc>
          <w:tcPr>
            <w:tcW w:w="109" w:type="dxa"/>
            <w:tcBorders/>
            <w:shd w:fill="CCEEFF" w:val="clear"/>
            <w:vAlign w:val="center"/>
          </w:tcPr>
          <w:p>
            <w:pPr>
              <w:pStyle w:val="TableContents"/>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616</w:t>
            </w:r>
          </w:p>
        </w:tc>
      </w:tr>
      <w:tr>
        <w:trPr/>
        <w:tc>
          <w:tcPr>
            <w:tcW w:w="4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16" w:type="dxa"/>
            <w:tcBorders/>
            <w:shd w:fill="auto" w:val="clear"/>
            <w:vAlign w:val="center"/>
          </w:tcPr>
          <w:p>
            <w:pPr>
              <w:pStyle w:val="TableContents"/>
              <w:spacing w:before="0" w:after="0"/>
              <w:ind w:left="0" w:right="0" w:hanging="0"/>
              <w:jc w:val="right"/>
              <w:rPr/>
            </w:pPr>
            <w:r>
              <w:rPr/>
              <w:t>​</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Under Development/Construction</w:t>
            </w:r>
          </w:p>
        </w:tc>
        <w:tc>
          <w:tcPr>
            <w:tcW w:w="109"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16" w:type="dxa"/>
            <w:tcBorders/>
            <w:shd w:fill="CCEEFF" w:val="clear"/>
            <w:vAlign w:val="center"/>
          </w:tcPr>
          <w:p>
            <w:pPr>
              <w:pStyle w:val="TableContents"/>
              <w:spacing w:before="0" w:after="0"/>
              <w:ind w:left="0" w:right="0" w:hanging="0"/>
              <w:jc w:val="right"/>
              <w:rPr/>
            </w:pPr>
            <w:r>
              <w:rPr/>
              <w:t>​</w:t>
            </w:r>
          </w:p>
        </w:tc>
      </w:tr>
      <w:tr>
        <w:trPr/>
        <w:tc>
          <w:tcPr>
            <w:tcW w:w="463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Embassy Suites by Hilton Panama City Beach </w:t>
            </w:r>
            <w:r>
              <w:rPr>
                <w:rFonts w:ascii="Times New Roman;Times;serif" w:hAnsi="Times New Roman;Times;serif"/>
                <w:sz w:val="14"/>
              </w:rPr>
              <w:t>(g)</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255</w:t>
            </w:r>
          </w:p>
        </w:tc>
        <w:tc>
          <w:tcPr>
            <w:tcW w:w="109" w:type="dxa"/>
            <w:tcBorders/>
            <w:shd w:fill="auto" w:val="clear"/>
            <w:vAlign w:val="center"/>
          </w:tcPr>
          <w:p>
            <w:pPr>
              <w:pStyle w:val="TableContents"/>
              <w:spacing w:before="0" w:after="0"/>
              <w:ind w:left="0" w:right="0" w:hanging="0"/>
              <w:jc w:val="right"/>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255</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Hotel Indigo</w:t>
            </w:r>
          </w:p>
        </w:tc>
        <w:tc>
          <w:tcPr>
            <w:tcW w:w="109"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109" w:type="dxa"/>
            <w:tcBorders/>
            <w:shd w:fill="CCEEFF" w:val="clear"/>
            <w:vAlign w:val="center"/>
          </w:tcPr>
          <w:p>
            <w:pPr>
              <w:pStyle w:val="TableContents"/>
              <w:spacing w:before="0" w:after="0"/>
              <w:ind w:left="0" w:right="0" w:hanging="0"/>
              <w:jc w:val="right"/>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463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Residence Inn by Marriott, Panama City Beach, Florida </w:t>
            </w:r>
            <w:r>
              <w:rPr>
                <w:rFonts w:ascii="Times New Roman;Times;serif" w:hAnsi="Times New Roman;Times;serif"/>
                <w:sz w:val="14"/>
              </w:rPr>
              <w:t>(h)</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109" w:type="dxa"/>
            <w:tcBorders/>
            <w:shd w:fill="auto" w:val="clear"/>
            <w:vAlign w:val="center"/>
          </w:tcPr>
          <w:p>
            <w:pPr>
              <w:pStyle w:val="TableContents"/>
              <w:spacing w:before="0" w:after="0"/>
              <w:ind w:left="0" w:right="0" w:hanging="0"/>
              <w:jc w:val="right"/>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Home2 Suites by Hilton Santa Rosa Beach</w:t>
            </w:r>
          </w:p>
        </w:tc>
        <w:tc>
          <w:tcPr>
            <w:tcW w:w="109"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109" w:type="dxa"/>
            <w:tcBorders/>
            <w:shd w:fill="CCEEFF" w:val="clear"/>
            <w:vAlign w:val="center"/>
          </w:tcPr>
          <w:p>
            <w:pPr>
              <w:pStyle w:val="TableContents"/>
              <w:spacing w:before="0" w:after="0"/>
              <w:ind w:left="0" w:right="0" w:hanging="0"/>
              <w:jc w:val="right"/>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463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Camp Creek Inn</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auto" w:val="cle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109" w:type="dxa"/>
            <w:tcBorders/>
            <w:shd w:fill="auto" w:val="clear"/>
            <w:vAlign w:val="center"/>
          </w:tcPr>
          <w:p>
            <w:pPr>
              <w:pStyle w:val="TableContents"/>
              <w:spacing w:before="0" w:after="0"/>
              <w:ind w:left="0" w:right="0" w:hanging="0"/>
              <w:jc w:val="right"/>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Total rooms under development/construction</w:t>
            </w:r>
          </w:p>
        </w:tc>
        <w:tc>
          <w:tcPr>
            <w:tcW w:w="109"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682</w:t>
            </w:r>
          </w:p>
        </w:tc>
        <w:tc>
          <w:tcPr>
            <w:tcW w:w="109" w:type="dxa"/>
            <w:tcBorders/>
            <w:shd w:fill="CCEEFF" w:val="clear"/>
            <w:vAlign w:val="center"/>
          </w:tcPr>
          <w:p>
            <w:pPr>
              <w:pStyle w:val="TableContents"/>
              <w:spacing w:before="0" w:after="0"/>
              <w:ind w:left="0" w:right="0" w:hanging="0"/>
              <w:rPr/>
            </w:pPr>
            <w:r>
              <w:rPr/>
              <w:t>​</w:t>
            </w:r>
          </w:p>
        </w:tc>
        <w:tc>
          <w:tcPr>
            <w:tcW w:w="6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682</w:t>
            </w:r>
          </w:p>
        </w:tc>
      </w:tr>
      <w:tr>
        <w:trPr/>
        <w:tc>
          <w:tcPr>
            <w:tcW w:w="463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 xml:space="preserve">Total rooms </w:t>
            </w:r>
          </w:p>
        </w:tc>
        <w:tc>
          <w:tcPr>
            <w:tcW w:w="109"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616</w:t>
            </w:r>
          </w:p>
        </w:tc>
        <w:tc>
          <w:tcPr>
            <w:tcW w:w="109" w:type="dxa"/>
            <w:tcBorders/>
            <w:shd w:fill="auto" w:val="clear"/>
            <w:vAlign w:val="center"/>
          </w:tcPr>
          <w:p>
            <w:pPr>
              <w:pStyle w:val="TableContents"/>
              <w:spacing w:before="0" w:after="0"/>
              <w:ind w:left="0" w:right="0" w:hanging="0"/>
              <w:rPr/>
            </w:pPr>
            <w:r>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8"/>
              </w:rPr>
            </w:pPr>
            <w:r>
              <w:rPr>
                <w:rFonts w:ascii="Times New Roman;Times;serif" w:hAnsi="Times New Roman;Times;serif"/>
                <w:b/>
                <w:sz w:val="18"/>
              </w:rPr>
              <w:t>682</w:t>
            </w:r>
          </w:p>
        </w:tc>
        <w:tc>
          <w:tcPr>
            <w:tcW w:w="109" w:type="dxa"/>
            <w:tcBorders/>
            <w:shd w:fill="auto" w:val="clear"/>
            <w:vAlign w:val="center"/>
          </w:tcPr>
          <w:p>
            <w:pPr>
              <w:pStyle w:val="TableContents"/>
              <w:spacing w:before="0" w:after="0"/>
              <w:ind w:left="0" w:right="0" w:hanging="0"/>
              <w:rPr/>
            </w:pPr>
            <w:r>
              <w:rPr/>
              <w:t>​</w:t>
            </w:r>
          </w:p>
        </w:tc>
        <w:tc>
          <w:tcPr>
            <w:tcW w:w="61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18"/>
              </w:rPr>
            </w:pPr>
            <w:r>
              <w:rPr>
                <w:rFonts w:ascii="Times New Roman;Times;serif" w:hAnsi="Times New Roman;Times;serif"/>
                <w:b/>
                <w:sz w:val="18"/>
              </w:rPr>
              <w:t>1,298</w:t>
            </w:r>
          </w:p>
        </w:tc>
      </w:tr>
    </w:tbl>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hotels currently in operation or under development and construction. We have significant additional entitlements for future hotel projects on our land holdings.</w:t>
            </w:r>
          </w:p>
        </w:tc>
      </w:tr>
    </w:tbl>
    <w:tbl>
      <w:tblPr>
        <w:tblW w:w="4262" w:type="dxa"/>
        <w:jc w:val="left"/>
        <w:tblInd w:w="0" w:type="dxa"/>
        <w:tblCellMar>
          <w:top w:w="0" w:type="dxa"/>
          <w:left w:w="0" w:type="dxa"/>
          <w:bottom w:w="0" w:type="dxa"/>
          <w:right w:w="0" w:type="dxa"/>
        </w:tblCellMar>
      </w:tblPr>
      <w:tblGrid>
        <w:gridCol w:w="331"/>
        <w:gridCol w:w="3931"/>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39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Seven additional suites were completed in June 2022.</w:t>
            </w:r>
          </w:p>
        </w:tc>
      </w:tr>
    </w:tbl>
    <w:tbl>
      <w:tblPr>
        <w:tblW w:w="9797" w:type="dxa"/>
        <w:jc w:val="left"/>
        <w:tblInd w:w="0" w:type="dxa"/>
        <w:tblCellMar>
          <w:top w:w="0" w:type="dxa"/>
          <w:left w:w="0" w:type="dxa"/>
          <w:bottom w:w="0" w:type="dxa"/>
          <w:right w:w="0" w:type="dxa"/>
        </w:tblCellMar>
      </w:tblPr>
      <w:tblGrid>
        <w:gridCol w:w="316"/>
        <w:gridCol w:w="948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94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acquired the hotel in December 2022. The hotel was previously owned by a third party, but operated by our hospitality segment.</w:t>
            </w:r>
          </w:p>
        </w:tc>
      </w:tr>
    </w:tbl>
    <w:tbl>
      <w:tblPr>
        <w:tblW w:w="3017" w:type="dxa"/>
        <w:jc w:val="left"/>
        <w:tblInd w:w="0" w:type="dxa"/>
        <w:tblCellMar>
          <w:top w:w="0" w:type="dxa"/>
          <w:left w:w="0" w:type="dxa"/>
          <w:bottom w:w="0" w:type="dxa"/>
          <w:right w:w="0" w:type="dxa"/>
        </w:tblCellMar>
      </w:tblPr>
      <w:tblGrid>
        <w:gridCol w:w="331"/>
        <w:gridCol w:w="2686"/>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26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February 2023.</w:t>
            </w:r>
          </w:p>
        </w:tc>
      </w:tr>
    </w:tbl>
    <w:tbl>
      <w:tblPr>
        <w:tblW w:w="2822" w:type="dxa"/>
        <w:jc w:val="left"/>
        <w:tblInd w:w="0" w:type="dxa"/>
        <w:tblCellMar>
          <w:top w:w="0" w:type="dxa"/>
          <w:left w:w="0" w:type="dxa"/>
          <w:bottom w:w="0" w:type="dxa"/>
          <w:right w:w="0" w:type="dxa"/>
        </w:tblCellMar>
      </w:tblPr>
      <w:tblGrid>
        <w:gridCol w:w="316"/>
        <w:gridCol w:w="2506"/>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(e)</w:t>
            </w:r>
          </w:p>
        </w:tc>
        <w:tc>
          <w:tcPr>
            <w:tcW w:w="25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March 2022.</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(f)</w:t>
            </w:r>
          </w:p>
        </w:tc>
        <w:tc>
          <w:tcPr>
            <w:tcW w:w="992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is operated by our JV partner. The Pier Park TPS JV is unconsolidated and is accounted for under the equity method of accounting, which is included within our commercial segment.</w:t>
            </w:r>
          </w:p>
        </w:tc>
      </w:tr>
    </w:tbl>
    <w:tbl>
      <w:tblPr>
        <w:tblW w:w="3197" w:type="dxa"/>
        <w:jc w:val="left"/>
        <w:tblInd w:w="0" w:type="dxa"/>
        <w:tblCellMar>
          <w:top w:w="0" w:type="dxa"/>
          <w:left w:w="0" w:type="dxa"/>
          <w:bottom w:w="0" w:type="dxa"/>
          <w:right w:w="0" w:type="dxa"/>
        </w:tblCellMar>
      </w:tblPr>
      <w:tblGrid>
        <w:gridCol w:w="331"/>
        <w:gridCol w:w="2866"/>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(g)</w:t>
            </w:r>
          </w:p>
        </w:tc>
        <w:tc>
          <w:tcPr>
            <w:tcW w:w="286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Under development with a JV partner.</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(h)</w:t>
            </w:r>
          </w:p>
        </w:tc>
        <w:tc>
          <w:tcPr>
            <w:tcW w:w="9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is under development with our JV partner. Once complete, the hotel will be operated by our JV partner. The Pier Park RI JV is unconsolidated and is accounted for under the equity method of accounting, which is included within our commercial segment.</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own and operate two marinas, the Point South Marina Bay Point in Bay County, Florida and Point South Marina Port St. Joe in Gulf County, Florida. We are planning new marinas along the Intracoastal Waterway. Our marinas generate revenue from boat slip rentals, boat storage fees and fuel sales, and incur expenses from cost of services provided, maintenance of the marina facilities and personnel costs. The Point South Marina Bay Point reopened in the third quarter of 2022 and the Point South Marina Port St. Joe reopened in the fourth quarter of 2022 after completion of reconstruction due to damage from Hurricane Michael.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also own and operate retail stores, two standalone restaurants and other entertainment assets. These assets generate revenue from merchandise sales, food and beverage sales and other service fees which are recognized at the point of sale and incur expenses from the cost of goods and services provided, personnel costs and facility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to the properties listed above, we have a number of hospitality projects in various stages of planning.</w:t>
      </w:r>
    </w:p>
    <w:p>
      <w:pPr>
        <w:pStyle w:val="TextBody"/>
        <w:spacing w:before="0" w:after="240"/>
        <w:ind w:left="0" w:right="0" w:hanging="0"/>
        <w:rPr>
          <w:rFonts w:ascii="Times New Roman;Times;serif" w:hAnsi="Times New Roman;Times;serif"/>
          <w:b/>
          <w:sz w:val="20"/>
        </w:rPr>
      </w:pPr>
      <w:bookmarkStart w:id="1917" w:name="_Hlk108604236"/>
      <w:bookmarkStart w:id="1918" w:name="_Hlk132180148"/>
      <w:bookmarkStart w:id="1919" w:name="_Hlk100726566"/>
      <w:bookmarkEnd w:id="1917"/>
      <w:bookmarkEnd w:id="1918"/>
      <w:bookmarkEnd w:id="1919"/>
      <w:r>
        <w:rPr>
          <w:rFonts w:ascii="Times New Roman;Times;serif" w:hAnsi="Times New Roman;Times;serif"/>
          <w:b/>
          <w:sz w:val="20"/>
        </w:rPr>
        <w:t>Commercial Segment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commercial segment includes leasing of commercial property, multi-family, senior living, self-storage and other assets. The commercial segment also oversees the planning, development, entitlement, management and sale of our commercial and rural land holdings for a variety of uses, including a broad range of retail, office, hotel, senior living, multi-family, self-storage and industrial properties. We provide development opportunities for national, regional and local retailers and other strategic partners in Northwest Florida. We own and manage retail shopping centers and develop commercial parcels. We are currently developing the Watersound Town Center in Walton County, Florida and Watersound West Bay Center in Bay County, Florida. These lifestyle centers are complementary to our Watersound Origins and Latitude Margaritaville Watersound residential communities. In conjunction with Florida State University (“FSU”) and Tallahassee Memorial Hospital (“TMH”), we are also in the process of developing an 87-acre medical campus in Bay County, Florida. We also have large land holdings near the Pier Park retail center, adjacent to the Northwest Florida Beaches International Airport, near or within business districts in the region and along major roadways. We also lease land for various other uses. The commercial segment also manages our timber holdings in Northwest Florida which includes growing and selling pulpwood, sawtimber and other products.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commercial segment generates leasing revenue and incurs leasing expenses primarily from maintenance and management of our properties, personnel costs and asset holding costs. Our commercial segment also generates revenue from the sale of developed and undeveloped land, timber holdings or land with limited development and/or entitlements and the sale of commercial operating properties. Real estate sales in our commercial segment incur costs of revenue directly associated with the land, development, construction, timber and selling costs. Our commercial segment generates timber revenue primarily from open market sales of timber on site without the associated delivery costs. Some of our JV assets and other assets incur interest and financing expenses related to the loans as described in Note 9. </w:t>
      </w:r>
      <w:r>
        <w:rPr>
          <w:rFonts w:ascii="TimesNewRomanPS-ItalicMT" w:hAnsi="TimesNewRomanPS-ItalicMT"/>
          <w:i/>
          <w:sz w:val="20"/>
        </w:rPr>
        <w:t>Debt,</w:t>
      </w:r>
      <w:r>
        <w:rPr>
          <w:rFonts w:ascii="Times New Roman;Times;serif" w:hAnsi="Times New Roman;Times;serif"/>
          <w:sz w:val="20"/>
        </w:rPr>
        <w:t xml:space="preserve"> </w:t>
      </w:r>
      <w:r>
        <w:rPr>
          <w:rFonts w:ascii="TimesNewRomanPS-ItalicMT" w:hAnsi="TimesNewRomanPS-ItalicMT"/>
          <w:i/>
          <w:sz w:val="20"/>
        </w:rPr>
        <w:t>Net</w:t>
      </w:r>
      <w:r>
        <w:rPr>
          <w:rFonts w:ascii="Times New Roman;Times;serif" w:hAnsi="Times New Roman;Times;serif"/>
          <w:sz w:val="20"/>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commercial segment’s portfolio of leasable properties continues to expand and diversify. Through wholly-owned subsidiaries and consolidated and unconsolidated JVs we are in the process of constructing 283 multi-family units and 148 senior living units, in addition to the 845 multi-family units and 107 senior living units that have been completed.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Total units and percentage leased for multi-family and senior living communities by location are as follows:</w:t>
      </w:r>
    </w:p>
    <w:tbl>
      <w:tblPr>
        <w:tblW w:w="9882" w:type="dxa"/>
        <w:jc w:val="left"/>
        <w:tblInd w:w="0" w:type="dxa"/>
        <w:tblCellMar>
          <w:top w:w="0" w:type="dxa"/>
          <w:left w:w="0" w:type="dxa"/>
          <w:bottom w:w="0" w:type="dxa"/>
          <w:right w:w="0" w:type="dxa"/>
        </w:tblCellMar>
      </w:tblPr>
      <w:tblGrid>
        <w:gridCol w:w="2236"/>
        <w:gridCol w:w="109"/>
        <w:gridCol w:w="1441"/>
        <w:gridCol w:w="206"/>
        <w:gridCol w:w="586"/>
        <w:gridCol w:w="206"/>
        <w:gridCol w:w="736"/>
        <w:gridCol w:w="109"/>
        <w:gridCol w:w="526"/>
        <w:gridCol w:w="109"/>
        <w:gridCol w:w="751"/>
        <w:gridCol w:w="241"/>
        <w:gridCol w:w="109"/>
        <w:gridCol w:w="736"/>
        <w:gridCol w:w="109"/>
        <w:gridCol w:w="526"/>
        <w:gridCol w:w="109"/>
        <w:gridCol w:w="751"/>
        <w:gridCol w:w="286"/>
      </w:tblGrid>
      <w:tr>
        <w:trPr/>
        <w:tc>
          <w:tcPr>
            <w:tcW w:w="2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419860" cy="175260"/>
                      <wp:effectExtent l="0" t="0" r="0" b="0"/>
                      <wp:wrapNone/>
                      <wp:docPr id="467" name="Frame467"/>
                      <a:graphic xmlns:a="http://schemas.openxmlformats.org/drawingml/2006/main">
                        <a:graphicData uri="http://schemas.microsoft.com/office/word/2010/wordprocessingShape">
                          <wps:wsp>
                            <wps:cNvSpPr txBox="1"/>
                            <wps:spPr>
                              <a:xfrm>
                                <a:off x="0" y="0"/>
                                <a:ext cx="1419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9215" cy="175260"/>
                      <wp:effectExtent l="0" t="0" r="0" b="0"/>
                      <wp:wrapNone/>
                      <wp:docPr id="468" name="Frame4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915035" cy="175260"/>
                      <wp:effectExtent l="0" t="0" r="0" b="0"/>
                      <wp:wrapNone/>
                      <wp:docPr id="469" name="Frame469"/>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0810" cy="175260"/>
                      <wp:effectExtent l="0" t="0" r="0" b="0"/>
                      <wp:wrapNone/>
                      <wp:docPr id="470" name="Frame47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372110" cy="175260"/>
                      <wp:effectExtent l="0" t="0" r="0" b="0"/>
                      <wp:wrapNone/>
                      <wp:docPr id="471" name="Frame471"/>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0810" cy="175260"/>
                      <wp:effectExtent l="0" t="0" r="0" b="0"/>
                      <wp:wrapNone/>
                      <wp:docPr id="472" name="Frame47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467360" cy="175260"/>
                      <wp:effectExtent l="0" t="0" r="0" b="0"/>
                      <wp:wrapNone/>
                      <wp:docPr id="473" name="Frame473"/>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9215" cy="175260"/>
                      <wp:effectExtent l="0" t="0" r="0" b="0"/>
                      <wp:wrapNone/>
                      <wp:docPr id="474" name="Frame4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34010" cy="175260"/>
                      <wp:effectExtent l="0" t="0" r="0" b="0"/>
                      <wp:wrapNone/>
                      <wp:docPr id="475" name="Frame475"/>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9215" cy="175260"/>
                      <wp:effectExtent l="0" t="0" r="0" b="0"/>
                      <wp:wrapNone/>
                      <wp:docPr id="476" name="Frame47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76885" cy="175260"/>
                      <wp:effectExtent l="0" t="0" r="0" b="0"/>
                      <wp:wrapNone/>
                      <wp:docPr id="477" name="Frame477"/>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53035" cy="175260"/>
                      <wp:effectExtent l="0" t="0" r="0" b="0"/>
                      <wp:wrapNone/>
                      <wp:docPr id="478" name="Frame478"/>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9215" cy="175260"/>
                      <wp:effectExtent l="0" t="0" r="0" b="0"/>
                      <wp:wrapNone/>
                      <wp:docPr id="479" name="Frame47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67360" cy="175260"/>
                      <wp:effectExtent l="0" t="0" r="0" b="0"/>
                      <wp:wrapNone/>
                      <wp:docPr id="480" name="Frame480"/>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9215" cy="175260"/>
                      <wp:effectExtent l="0" t="0" r="0" b="0"/>
                      <wp:wrapNone/>
                      <wp:docPr id="481" name="Frame4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34010" cy="175260"/>
                      <wp:effectExtent l="0" t="0" r="0" b="0"/>
                      <wp:wrapNone/>
                      <wp:docPr id="482" name="Frame482"/>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9215" cy="175260"/>
                      <wp:effectExtent l="0" t="0" r="0" b="0"/>
                      <wp:wrapNone/>
                      <wp:docPr id="483" name="Frame4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76885" cy="175260"/>
                      <wp:effectExtent l="0" t="0" r="0" b="0"/>
                      <wp:wrapNone/>
                      <wp:docPr id="484" name="Frame484"/>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81610" cy="175260"/>
                      <wp:effectExtent l="0" t="0" r="0" b="0"/>
                      <wp:wrapNone/>
                      <wp:docPr id="485" name="Frame485"/>
                      <a:graphic xmlns:a="http://schemas.openxmlformats.org/drawingml/2006/main">
                        <a:graphicData uri="http://schemas.microsoft.com/office/word/2010/wordprocessingShape">
                          <wps:wsp>
                            <wps:cNvSpPr txBox="1"/>
                            <wps:spPr>
                              <a:xfrm>
                                <a:off x="0" y="0"/>
                                <a:ext cx="181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223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 2023</w:t>
            </w:r>
          </w:p>
        </w:tc>
        <w:tc>
          <w:tcPr>
            <w:tcW w:w="2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23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2022</w:t>
            </w:r>
          </w:p>
        </w:tc>
        <w:tc>
          <w:tcPr>
            <w:tcW w:w="286" w:type="dxa"/>
            <w:tcBorders/>
            <w:shd w:fill="auto" w:val="clear"/>
            <w:vAlign w:val="center"/>
          </w:tcPr>
          <w:p>
            <w:pPr>
              <w:pStyle w:val="TableContents"/>
              <w:spacing w:before="0" w:after="1"/>
              <w:ind w:left="0" w:right="0" w:hanging="0"/>
              <w:rPr/>
            </w:pPr>
            <w:r>
              <w:rPr/>
              <w:t>​</w:t>
            </w:r>
          </w:p>
        </w:tc>
      </w:tr>
      <w:tr>
        <w:trPr/>
        <w:tc>
          <w:tcPr>
            <w:tcW w:w="22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Percentage</w:t>
            </w:r>
          </w:p>
        </w:tc>
        <w:tc>
          <w:tcPr>
            <w:tcW w:w="2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Percentage</w:t>
            </w:r>
          </w:p>
        </w:tc>
        <w:tc>
          <w:tcPr>
            <w:tcW w:w="286" w:type="dxa"/>
            <w:tcBorders/>
            <w:shd w:fill="auto" w:val="clear"/>
            <w:vAlign w:val="center"/>
          </w:tcPr>
          <w:p>
            <w:pPr>
              <w:pStyle w:val="TableContents"/>
              <w:spacing w:before="0" w:after="1"/>
              <w:ind w:left="0" w:right="0" w:hanging="0"/>
              <w:rPr/>
            </w:pPr>
            <w:r>
              <w:rPr/>
              <w:t>​</w:t>
            </w:r>
          </w:p>
        </w:tc>
      </w:tr>
      <w:tr>
        <w:trPr/>
        <w:tc>
          <w:tcPr>
            <w:tcW w:w="22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2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286" w:type="dxa"/>
            <w:tcBorders/>
            <w:shd w:fill="auto" w:val="clear"/>
            <w:vAlign w:val="center"/>
          </w:tcPr>
          <w:p>
            <w:pPr>
              <w:pStyle w:val="TableContents"/>
              <w:spacing w:before="0" w:after="1"/>
              <w:ind w:left="0" w:right="0" w:hanging="0"/>
              <w:rPr/>
            </w:pPr>
            <w:r>
              <w:rPr/>
              <w:t>​</w:t>
            </w:r>
          </w:p>
        </w:tc>
      </w:tr>
      <w:tr>
        <w:trPr/>
        <w:tc>
          <w:tcPr>
            <w:tcW w:w="22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  </w:t>
            </w:r>
          </w:p>
        </w:tc>
        <w:tc>
          <w:tcPr>
            <w:tcW w:w="5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206" w:type="dxa"/>
            <w:tcBorders/>
            <w:shd w:fill="auto" w:val="clear"/>
            <w:vAlign w:val="center"/>
          </w:tcPr>
          <w:p>
            <w:pPr>
              <w:pStyle w:val="TableContents"/>
              <w:spacing w:before="0" w:after="1"/>
              <w:ind w:left="0" w:right="0" w:hanging="0"/>
              <w:jc w:val="center"/>
              <w:rPr/>
            </w:pPr>
            <w:r>
              <w:rPr/>
              <w:t>  </w:t>
            </w:r>
          </w:p>
        </w:tc>
        <w:tc>
          <w:tcPr>
            <w:tcW w:w="73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Units </w:t>
            </w:r>
          </w:p>
        </w:tc>
        <w:tc>
          <w:tcPr>
            <w:tcW w:w="109"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of Units</w:t>
            </w:r>
          </w:p>
        </w:tc>
        <w:tc>
          <w:tcPr>
            <w:tcW w:w="2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Units </w:t>
            </w:r>
          </w:p>
        </w:tc>
        <w:tc>
          <w:tcPr>
            <w:tcW w:w="109"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of Units</w:t>
            </w:r>
          </w:p>
        </w:tc>
        <w:tc>
          <w:tcPr>
            <w:tcW w:w="286" w:type="dxa"/>
            <w:tcBorders/>
            <w:shd w:fill="auto" w:val="clear"/>
            <w:vAlign w:val="center"/>
          </w:tcPr>
          <w:p>
            <w:pPr>
              <w:pStyle w:val="TableContents"/>
              <w:spacing w:before="0" w:after="1"/>
              <w:ind w:left="0" w:right="0" w:hanging="0"/>
              <w:rPr/>
            </w:pPr>
            <w:r>
              <w:rPr/>
              <w:t>​</w:t>
            </w:r>
          </w:p>
        </w:tc>
      </w:tr>
      <w:tr>
        <w:trPr/>
        <w:tc>
          <w:tcPr>
            <w:tcW w:w="22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4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206" w:type="dxa"/>
            <w:tcBorders/>
            <w:shd w:fill="auto" w:val="clear"/>
            <w:vAlign w:val="center"/>
          </w:tcPr>
          <w:p>
            <w:pPr>
              <w:pStyle w:val="TableContents"/>
              <w:spacing w:before="0" w:after="1"/>
              <w:ind w:left="0" w:right="0" w:hanging="0"/>
              <w:jc w:val="center"/>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Planned</w:t>
            </w:r>
          </w:p>
        </w:tc>
        <w:tc>
          <w:tcPr>
            <w:tcW w:w="206" w:type="dxa"/>
            <w:tcBorders/>
            <w:shd w:fill="auto" w:val="clear"/>
            <w:vAlign w:val="center"/>
          </w:tcPr>
          <w:p>
            <w:pPr>
              <w:pStyle w:val="TableContents"/>
              <w:spacing w:before="0" w:after="1"/>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109" w:type="dxa"/>
            <w:tcBorders/>
            <w:shd w:fill="auto" w:val="clear"/>
            <w:vAlign w:val="center"/>
          </w:tcPr>
          <w:p>
            <w:pPr>
              <w:pStyle w:val="TableContents"/>
              <w:spacing w:before="0" w:after="1"/>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109" w:type="dxa"/>
            <w:tcBorders/>
            <w:shd w:fill="auto" w:val="clear"/>
            <w:vAlign w:val="center"/>
          </w:tcPr>
          <w:p>
            <w:pPr>
              <w:pStyle w:val="TableContents"/>
              <w:spacing w:before="0" w:after="1"/>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2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109" w:type="dxa"/>
            <w:tcBorders/>
            <w:shd w:fill="auto" w:val="clear"/>
            <w:vAlign w:val="center"/>
          </w:tcPr>
          <w:p>
            <w:pPr>
              <w:pStyle w:val="TableContents"/>
              <w:spacing w:before="0" w:after="1"/>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109" w:type="dxa"/>
            <w:tcBorders/>
            <w:shd w:fill="auto" w:val="clear"/>
            <w:vAlign w:val="center"/>
          </w:tcPr>
          <w:p>
            <w:pPr>
              <w:pStyle w:val="TableContents"/>
              <w:spacing w:before="0" w:after="1"/>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286" w:type="dxa"/>
            <w:tcBorders/>
            <w:shd w:fill="auto" w:val="clear"/>
            <w:vAlign w:val="center"/>
          </w:tcPr>
          <w:p>
            <w:pPr>
              <w:pStyle w:val="TableContents"/>
              <w:spacing w:before="0" w:after="1"/>
              <w:ind w:left="0" w:right="0" w:hanging="0"/>
              <w:rPr/>
            </w:pPr>
            <w:r>
              <w:rPr/>
              <w:t>​</w:t>
            </w:r>
          </w:p>
        </w:tc>
      </w:tr>
      <w:tr>
        <w:trPr/>
        <w:tc>
          <w:tcPr>
            <w:tcW w:w="3786" w:type="dxa"/>
            <w:gridSpan w:val="3"/>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Multi-family</w:t>
            </w:r>
          </w:p>
        </w:tc>
        <w:tc>
          <w:tcPr>
            <w:tcW w:w="206" w:type="dxa"/>
            <w:tcBorders/>
            <w:shd w:fill="CCEEFF" w:val="clear"/>
            <w:vAlign w:val="center"/>
          </w:tcPr>
          <w:p>
            <w:pPr>
              <w:pStyle w:val="TableContents"/>
              <w:spacing w:before="0" w:after="1"/>
              <w:ind w:left="0" w:right="0" w:hanging="0"/>
              <w:jc w:val="center"/>
              <w:rPr/>
            </w:pPr>
            <w:r>
              <w:rPr/>
              <w:t>​</w:t>
            </w:r>
          </w:p>
        </w:tc>
        <w:tc>
          <w:tcPr>
            <w:tcW w:w="586" w:type="dxa"/>
            <w:tcBorders/>
            <w:shd w:fill="CCEEFF" w:val="clear"/>
            <w:vAlign w:val="center"/>
          </w:tcPr>
          <w:p>
            <w:pPr>
              <w:pStyle w:val="TableContents"/>
              <w:spacing w:before="0" w:after="1"/>
              <w:ind w:left="0" w:right="0" w:hanging="0"/>
              <w:jc w:val="center"/>
              <w:rPr/>
            </w:pPr>
            <w:r>
              <w:rPr/>
              <w:t>​</w:t>
            </w:r>
          </w:p>
        </w:tc>
        <w:tc>
          <w:tcPr>
            <w:tcW w:w="206" w:type="dxa"/>
            <w:tcBorders/>
            <w:shd w:fill="CCEEFF" w:val="clear"/>
            <w:vAlign w:val="center"/>
          </w:tcPr>
          <w:p>
            <w:pPr>
              <w:pStyle w:val="TableContents"/>
              <w:spacing w:before="0" w:after="1"/>
              <w:ind w:left="0" w:right="0" w:hanging="0"/>
              <w:jc w:val="center"/>
              <w:rPr/>
            </w:pPr>
            <w:r>
              <w:rPr/>
              <w:t>​</w:t>
            </w:r>
          </w:p>
        </w:tc>
        <w:tc>
          <w:tcPr>
            <w:tcW w:w="736"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center"/>
              <w:rPr/>
            </w:pPr>
            <w:r>
              <w:rPr/>
              <w:t>​</w:t>
            </w:r>
          </w:p>
        </w:tc>
        <w:tc>
          <w:tcPr>
            <w:tcW w:w="24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jc w:val="center"/>
              <w:rPr/>
            </w:pPr>
            <w:r>
              <w:rPr/>
              <w:t>​</w:t>
            </w:r>
          </w:p>
        </w:tc>
        <w:tc>
          <w:tcPr>
            <w:tcW w:w="736"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center"/>
              <w:rPr/>
            </w:pPr>
            <w:r>
              <w:rPr/>
              <w:t>​</w:t>
            </w:r>
          </w:p>
        </w:tc>
        <w:tc>
          <w:tcPr>
            <w:tcW w:w="286" w:type="dxa"/>
            <w:tcBorders/>
            <w:shd w:fill="CCEEFF" w:val="clear"/>
            <w:vAlign w:val="center"/>
          </w:tcPr>
          <w:p>
            <w:pPr>
              <w:pStyle w:val="TableContents"/>
              <w:spacing w:before="0" w:after="1"/>
              <w:ind w:left="0" w:right="0" w:hanging="0"/>
              <w:rPr/>
            </w:pPr>
            <w:r>
              <w:rPr/>
              <w:t>​</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Pier Park Crossings</w:t>
            </w:r>
          </w:p>
        </w:tc>
        <w:tc>
          <w:tcPr>
            <w:tcW w:w="109"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Bay County, FL</w:t>
            </w:r>
          </w:p>
        </w:tc>
        <w:tc>
          <w:tcPr>
            <w:tcW w:w="20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20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2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228</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28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Pier Park Crossings Phase II</w:t>
            </w:r>
          </w:p>
        </w:tc>
        <w:tc>
          <w:tcPr>
            <w:tcW w:w="109" w:type="dxa"/>
            <w:tcBorders/>
            <w:shd w:fill="CCEEFF" w:val="clear"/>
            <w:vAlign w:val="center"/>
          </w:tcPr>
          <w:p>
            <w:pPr>
              <w:pStyle w:val="TableContents"/>
              <w:spacing w:before="0" w:after="1"/>
              <w:ind w:left="0" w:right="0" w:hanging="0"/>
              <w:rPr/>
            </w:pPr>
            <w:r>
              <w:rPr/>
              <w:t>​</w:t>
            </w:r>
          </w:p>
        </w:tc>
        <w:tc>
          <w:tcPr>
            <w:tcW w:w="14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Bay County, FL</w:t>
            </w:r>
          </w:p>
        </w:tc>
        <w:tc>
          <w:tcPr>
            <w:tcW w:w="20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20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c>
          <w:tcPr>
            <w:tcW w:w="2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spacing w:before="0" w:after="1"/>
              <w:ind w:left="0" w:right="0" w:hanging="0"/>
              <w:jc w:val="right"/>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28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Watersound Origins Crossings</w:t>
            </w:r>
          </w:p>
        </w:tc>
        <w:tc>
          <w:tcPr>
            <w:tcW w:w="109"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Walton County, FL</w:t>
            </w:r>
          </w:p>
        </w:tc>
        <w:tc>
          <w:tcPr>
            <w:tcW w:w="20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20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2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auto" w:val="clear"/>
            <w:vAlign w:val="center"/>
          </w:tcPr>
          <w:p>
            <w:pPr>
              <w:pStyle w:val="TableContents"/>
              <w:spacing w:before="0" w:after="1"/>
              <w:ind w:left="0" w:right="0" w:hanging="0"/>
              <w:jc w:val="right"/>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199</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28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2236" w:type="dxa"/>
            <w:tcBorders/>
            <w:shd w:fill="CCEEFF"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6"/>
              </w:rPr>
              <w:t xml:space="preserve">North Bay Landing </w:t>
            </w:r>
            <w:r>
              <w:rPr>
                <w:rFonts w:ascii="Times New Roman;Times;serif" w:hAnsi="Times New Roman;Times;serif"/>
                <w:sz w:val="12"/>
              </w:rPr>
              <w:t>(a)</w:t>
            </w:r>
          </w:p>
        </w:tc>
        <w:tc>
          <w:tcPr>
            <w:tcW w:w="109" w:type="dxa"/>
            <w:tcBorders/>
            <w:shd w:fill="CCEEFF" w:val="clear"/>
            <w:vAlign w:val="center"/>
          </w:tcPr>
          <w:p>
            <w:pPr>
              <w:pStyle w:val="TableContents"/>
              <w:spacing w:before="0" w:after="1"/>
              <w:ind w:left="0" w:right="0" w:hanging="0"/>
              <w:rPr/>
            </w:pPr>
            <w:r>
              <w:rPr/>
              <w:t>​</w:t>
            </w:r>
          </w:p>
        </w:tc>
        <w:tc>
          <w:tcPr>
            <w:tcW w:w="14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Bay County, FL</w:t>
            </w:r>
          </w:p>
        </w:tc>
        <w:tc>
          <w:tcPr>
            <w:tcW w:w="20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20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181</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2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spacing w:before="0" w:after="1"/>
              <w:ind w:left="0" w:right="0" w:hanging="0"/>
              <w:jc w:val="right"/>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28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2236"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6"/>
              </w:rPr>
              <w:t xml:space="preserve">Mexico Beach Crossings </w:t>
            </w:r>
            <w:r>
              <w:rPr>
                <w:rFonts w:ascii="Times New Roman;Times;serif" w:hAnsi="Times New Roman;Times;serif"/>
                <w:sz w:val="12"/>
              </w:rPr>
              <w:t>(b)</w:t>
            </w:r>
          </w:p>
        </w:tc>
        <w:tc>
          <w:tcPr>
            <w:tcW w:w="109"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Bay County, FL</w:t>
            </w:r>
          </w:p>
        </w:tc>
        <w:tc>
          <w:tcPr>
            <w:tcW w:w="20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20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2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28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Origins Crossings Townhomes</w:t>
            </w:r>
          </w:p>
        </w:tc>
        <w:tc>
          <w:tcPr>
            <w:tcW w:w="109" w:type="dxa"/>
            <w:tcBorders/>
            <w:shd w:fill="CCEEFF" w:val="clear"/>
            <w:vAlign w:val="center"/>
          </w:tcPr>
          <w:p>
            <w:pPr>
              <w:pStyle w:val="TableContents"/>
              <w:spacing w:before="0" w:after="1"/>
              <w:ind w:left="0" w:right="0" w:hanging="0"/>
              <w:rPr/>
            </w:pPr>
            <w:r>
              <w:rPr/>
              <w:t>​</w:t>
            </w:r>
          </w:p>
        </w:tc>
        <w:tc>
          <w:tcPr>
            <w:tcW w:w="14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Walton County, FL</w:t>
            </w:r>
          </w:p>
        </w:tc>
        <w:tc>
          <w:tcPr>
            <w:tcW w:w="20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20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2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w:t>
            </w:r>
          </w:p>
        </w:tc>
        <w:tc>
          <w:tcPr>
            <w:tcW w:w="28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2236"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6"/>
              </w:rPr>
              <w:t xml:space="preserve">WindMark Beach </w:t>
            </w:r>
            <w:r>
              <w:rPr>
                <w:rFonts w:ascii="Times New Roman;Times;serif" w:hAnsi="Times New Roman;Times;serif"/>
                <w:sz w:val="12"/>
              </w:rPr>
              <w:t>(c)</w:t>
            </w:r>
          </w:p>
        </w:tc>
        <w:tc>
          <w:tcPr>
            <w:tcW w:w="109"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Gulf County, FL</w:t>
            </w:r>
          </w:p>
        </w:tc>
        <w:tc>
          <w:tcPr>
            <w:tcW w:w="206" w:type="dxa"/>
            <w:tcBorders/>
            <w:shd w:fill="auto" w:val="cle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206" w:type="dxa"/>
            <w:tcBorders/>
            <w:shd w:fill="auto" w:val="cle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shd w:fill="auto" w:val="clear"/>
            <w:vAlign w:val="center"/>
          </w:tcPr>
          <w:p>
            <w:pPr>
              <w:pStyle w:val="TableContents"/>
              <w:spacing w:before="0" w:after="1"/>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2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auto" w:val="cle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auto" w:val="clear"/>
            <w:vAlign w:val="center"/>
          </w:tcPr>
          <w:p>
            <w:pPr>
              <w:pStyle w:val="TableContents"/>
              <w:spacing w:before="0" w:after="1"/>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c>
          <w:tcPr>
            <w:tcW w:w="28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3786" w:type="dxa"/>
            <w:gridSpan w:val="3"/>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multi-family units</w:t>
            </w:r>
          </w:p>
        </w:tc>
        <w:tc>
          <w:tcPr>
            <w:tcW w:w="206" w:type="dxa"/>
            <w:tcBorders/>
            <w:shd w:fill="CCEEFF" w:val="cle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1,128</w:t>
            </w:r>
          </w:p>
        </w:tc>
        <w:tc>
          <w:tcPr>
            <w:tcW w:w="206" w:type="dxa"/>
            <w:tcBorders/>
            <w:shd w:fill="CCEEFF" w:val="cle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845</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766</w:t>
            </w:r>
          </w:p>
        </w:tc>
        <w:tc>
          <w:tcPr>
            <w:tcW w:w="109" w:type="dxa"/>
            <w:tcBorders/>
            <w:shd w:fill="CCEEFF" w:val="clear"/>
            <w:vAlign w:val="center"/>
          </w:tcPr>
          <w:p>
            <w:pPr>
              <w:pStyle w:val="TableContents"/>
              <w:spacing w:before="0" w:after="1"/>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91</w:t>
            </w:r>
          </w:p>
        </w:tc>
        <w:tc>
          <w:tcPr>
            <w:tcW w:w="2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757</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679</w:t>
            </w:r>
          </w:p>
        </w:tc>
        <w:tc>
          <w:tcPr>
            <w:tcW w:w="109" w:type="dxa"/>
            <w:tcBorders/>
            <w:shd w:fill="CCEEFF" w:val="clear"/>
            <w:vAlign w:val="center"/>
          </w:tcPr>
          <w:p>
            <w:pPr>
              <w:pStyle w:val="TableContents"/>
              <w:spacing w:before="0" w:after="1"/>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90</w:t>
            </w:r>
          </w:p>
        </w:tc>
        <w:tc>
          <w:tcPr>
            <w:tcW w:w="28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22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2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rPr/>
            </w:pPr>
            <w:r>
              <w:rPr/>
              <w:t>​</w:t>
            </w:r>
          </w:p>
        </w:tc>
        <w:tc>
          <w:tcPr>
            <w:tcW w:w="286" w:type="dxa"/>
            <w:tcBorders/>
            <w:shd w:fill="auto" w:val="clear"/>
            <w:vAlign w:val="center"/>
          </w:tcPr>
          <w:p>
            <w:pPr>
              <w:pStyle w:val="TableContents"/>
              <w:spacing w:before="0" w:after="1"/>
              <w:ind w:left="0" w:right="0" w:hanging="0"/>
              <w:rPr/>
            </w:pPr>
            <w:r>
              <w:rPr/>
              <w:t>​</w:t>
            </w:r>
          </w:p>
        </w:tc>
      </w:tr>
      <w:tr>
        <w:trPr/>
        <w:tc>
          <w:tcPr>
            <w:tcW w:w="3786" w:type="dxa"/>
            <w:gridSpan w:val="3"/>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Senior living communities</w:t>
            </w:r>
          </w:p>
        </w:tc>
        <w:tc>
          <w:tcPr>
            <w:tcW w:w="20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rPr/>
            </w:pPr>
            <w:r>
              <w:rPr/>
              <w:t>​</w:t>
            </w:r>
          </w:p>
        </w:tc>
        <w:tc>
          <w:tcPr>
            <w:tcW w:w="286" w:type="dxa"/>
            <w:tcBorders/>
            <w:shd w:fill="CCEEFF" w:val="clear"/>
            <w:vAlign w:val="center"/>
          </w:tcPr>
          <w:p>
            <w:pPr>
              <w:pStyle w:val="TableContents"/>
              <w:spacing w:before="0" w:after="1"/>
              <w:ind w:left="0" w:right="0" w:hanging="0"/>
              <w:rPr/>
            </w:pPr>
            <w:r>
              <w:rPr/>
              <w:t>​</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Watercrest</w:t>
            </w:r>
          </w:p>
        </w:tc>
        <w:tc>
          <w:tcPr>
            <w:tcW w:w="109"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Walton County, FL</w:t>
            </w:r>
          </w:p>
        </w:tc>
        <w:tc>
          <w:tcPr>
            <w:tcW w:w="20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w:t>
            </w:r>
          </w:p>
        </w:tc>
        <w:tc>
          <w:tcPr>
            <w:tcW w:w="20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2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auto" w:val="clear"/>
            <w:vAlign w:val="center"/>
          </w:tcPr>
          <w:p>
            <w:pPr>
              <w:pStyle w:val="TableContents"/>
              <w:spacing w:before="0" w:after="1"/>
              <w:ind w:left="0" w:right="0" w:hanging="0"/>
              <w:jc w:val="right"/>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109"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28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2236" w:type="dxa"/>
            <w:tcBorders/>
            <w:shd w:fill="CCEEFF"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6"/>
              </w:rPr>
              <w:t xml:space="preserve">Watersound Fountains </w:t>
            </w:r>
            <w:r>
              <w:rPr>
                <w:rFonts w:ascii="Times New Roman;Times;serif" w:hAnsi="Times New Roman;Times;serif"/>
                <w:sz w:val="12"/>
              </w:rPr>
              <w:t>(d)</w:t>
            </w:r>
          </w:p>
        </w:tc>
        <w:tc>
          <w:tcPr>
            <w:tcW w:w="109" w:type="dxa"/>
            <w:tcBorders/>
            <w:shd w:fill="CCEEFF" w:val="clear"/>
            <w:vAlign w:val="center"/>
          </w:tcPr>
          <w:p>
            <w:pPr>
              <w:pStyle w:val="TableContents"/>
              <w:spacing w:before="0" w:after="1"/>
              <w:ind w:left="0" w:right="0" w:hanging="0"/>
              <w:rPr/>
            </w:pPr>
            <w:r>
              <w:rPr/>
              <w:t>​</w:t>
            </w:r>
          </w:p>
        </w:tc>
        <w:tc>
          <w:tcPr>
            <w:tcW w:w="14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Walton County, FL</w:t>
            </w:r>
          </w:p>
        </w:tc>
        <w:tc>
          <w:tcPr>
            <w:tcW w:w="206" w:type="dxa"/>
            <w:tcBorders/>
            <w:shd w:fill="CCEEFF" w:val="cle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206" w:type="dxa"/>
            <w:tcBorders/>
            <w:shd w:fill="CCEEFF" w:val="cle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2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28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3786" w:type="dxa"/>
            <w:gridSpan w:val="3"/>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senior living units</w:t>
            </w:r>
          </w:p>
        </w:tc>
        <w:tc>
          <w:tcPr>
            <w:tcW w:w="206" w:type="dxa"/>
            <w:tcBorders/>
            <w:shd w:fill="auto" w:val="cle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255</w:t>
            </w:r>
          </w:p>
        </w:tc>
        <w:tc>
          <w:tcPr>
            <w:tcW w:w="206" w:type="dxa"/>
            <w:tcBorders/>
            <w:shd w:fill="auto" w:val="cle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109" w:type="dxa"/>
            <w:tcBorders/>
            <w:shd w:fill="auto" w:val="clear"/>
            <w:vAlign w:val="center"/>
          </w:tcPr>
          <w:p>
            <w:pPr>
              <w:pStyle w:val="TableContents"/>
              <w:spacing w:before="0" w:after="1"/>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103</w:t>
            </w:r>
          </w:p>
        </w:tc>
        <w:tc>
          <w:tcPr>
            <w:tcW w:w="109" w:type="dxa"/>
            <w:tcBorders/>
            <w:shd w:fill="auto" w:val="clear"/>
            <w:vAlign w:val="center"/>
          </w:tcPr>
          <w:p>
            <w:pPr>
              <w:pStyle w:val="TableContents"/>
              <w:spacing w:before="0" w:after="1"/>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96</w:t>
            </w:r>
          </w:p>
        </w:tc>
        <w:tc>
          <w:tcPr>
            <w:tcW w:w="24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auto" w:val="clear"/>
            <w:vAlign w:val="center"/>
          </w:tcPr>
          <w:p>
            <w:pPr>
              <w:pStyle w:val="TableContents"/>
              <w:spacing w:before="0" w:after="1"/>
              <w:ind w:left="0" w:right="0" w:hanging="0"/>
              <w:jc w:val="right"/>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109" w:type="dxa"/>
            <w:tcBorders/>
            <w:shd w:fill="auto" w:val="clear"/>
            <w:vAlign w:val="center"/>
          </w:tcPr>
          <w:p>
            <w:pPr>
              <w:pStyle w:val="TableContents"/>
              <w:spacing w:before="0" w:after="1"/>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88</w:t>
            </w:r>
          </w:p>
        </w:tc>
        <w:tc>
          <w:tcPr>
            <w:tcW w:w="109" w:type="dxa"/>
            <w:tcBorders/>
            <w:shd w:fill="auto" w:val="clear"/>
            <w:vAlign w:val="center"/>
          </w:tcPr>
          <w:p>
            <w:pPr>
              <w:pStyle w:val="TableContents"/>
              <w:spacing w:before="0" w:after="1"/>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82</w:t>
            </w:r>
          </w:p>
        </w:tc>
        <w:tc>
          <w:tcPr>
            <w:tcW w:w="28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r>
        <w:trPr/>
        <w:tc>
          <w:tcPr>
            <w:tcW w:w="3786" w:type="dxa"/>
            <w:gridSpan w:val="3"/>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units</w:t>
            </w:r>
          </w:p>
        </w:tc>
        <w:tc>
          <w:tcPr>
            <w:tcW w:w="206" w:type="dxa"/>
            <w:tcBorders/>
            <w:shd w:fill="CCEEFF" w:val="clear"/>
            <w:vAlign w:val="center"/>
          </w:tcPr>
          <w:p>
            <w:pPr>
              <w:pStyle w:val="TableContents"/>
              <w:spacing w:before="0" w:after="1"/>
              <w:ind w:left="0" w:right="0" w:hanging="0"/>
              <w:rPr/>
            </w:pPr>
            <w:r>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1,383</w:t>
            </w:r>
          </w:p>
        </w:tc>
        <w:tc>
          <w:tcPr>
            <w:tcW w:w="206" w:type="dxa"/>
            <w:tcBorders/>
            <w:shd w:fill="CCEEFF" w:val="clear"/>
            <w:vAlign w:val="center"/>
          </w:tcPr>
          <w:p>
            <w:pPr>
              <w:pStyle w:val="TableContents"/>
              <w:spacing w:before="0" w:after="1"/>
              <w:ind w:left="0" w:right="0" w:hanging="0"/>
              <w:rPr/>
            </w:pPr>
            <w:r>
              <w:rPr/>
              <w:t>​</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952</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869</w:t>
            </w:r>
          </w:p>
        </w:tc>
        <w:tc>
          <w:tcPr>
            <w:tcW w:w="109" w:type="dxa"/>
            <w:tcBorders/>
            <w:shd w:fill="CCEEFF" w:val="clear"/>
            <w:vAlign w:val="center"/>
          </w:tcPr>
          <w:p>
            <w:pPr>
              <w:pStyle w:val="TableContents"/>
              <w:spacing w:before="0" w:after="1"/>
              <w:ind w:left="0" w:right="0" w:hanging="0"/>
              <w:rPr/>
            </w:pPr>
            <w:r>
              <w:rPr/>
              <w:t>​</w:t>
            </w:r>
          </w:p>
        </w:tc>
        <w:tc>
          <w:tcPr>
            <w:tcW w:w="7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91</w:t>
            </w:r>
          </w:p>
        </w:tc>
        <w:tc>
          <w:tcPr>
            <w:tcW w:w="24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spacing w:before="0" w:after="1"/>
              <w:ind w:left="0" w:right="0" w:hanging="0"/>
              <w:rPr/>
            </w:pPr>
            <w:r>
              <w:rPr/>
              <w:t>​</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864</w:t>
            </w:r>
          </w:p>
        </w:tc>
        <w:tc>
          <w:tcPr>
            <w:tcW w:w="109" w:type="dxa"/>
            <w:tcBorders/>
            <w:shd w:fill="CCEEFF" w:val="clear"/>
            <w:vAlign w:val="center"/>
          </w:tcPr>
          <w:p>
            <w:pPr>
              <w:pStyle w:val="TableContents"/>
              <w:spacing w:before="0" w:after="1"/>
              <w:ind w:left="0" w:right="0" w:hanging="0"/>
              <w:jc w:val="right"/>
              <w:rPr/>
            </w:pPr>
            <w:r>
              <w:rPr/>
              <w:t>​</w:t>
            </w:r>
          </w:p>
        </w:tc>
        <w:tc>
          <w:tcPr>
            <w:tcW w:w="5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767</w:t>
            </w:r>
          </w:p>
        </w:tc>
        <w:tc>
          <w:tcPr>
            <w:tcW w:w="109" w:type="dxa"/>
            <w:tcBorders/>
            <w:shd w:fill="CCEEFF" w:val="clear"/>
            <w:vAlign w:val="center"/>
          </w:tcPr>
          <w:p>
            <w:pPr>
              <w:pStyle w:val="TableContents"/>
              <w:spacing w:before="0" w:after="1"/>
              <w:ind w:left="0" w:right="0" w:hanging="0"/>
              <w:rPr/>
            </w:pPr>
            <w:r>
              <w:rPr/>
              <w:t>​</w:t>
            </w:r>
          </w:p>
        </w:tc>
        <w:tc>
          <w:tcPr>
            <w:tcW w:w="7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89</w:t>
            </w:r>
          </w:p>
        </w:tc>
        <w:tc>
          <w:tcPr>
            <w:tcW w:w="28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r>
    </w:tbl>
    <w:tbl>
      <w:tblPr>
        <w:tblW w:w="5042" w:type="dxa"/>
        <w:jc w:val="left"/>
        <w:tblInd w:w="0" w:type="dxa"/>
        <w:tblCellMar>
          <w:top w:w="0" w:type="dxa"/>
          <w:left w:w="0" w:type="dxa"/>
          <w:bottom w:w="0" w:type="dxa"/>
          <w:right w:w="0" w:type="dxa"/>
        </w:tblCellMar>
      </w:tblPr>
      <w:tblGrid>
        <w:gridCol w:w="316"/>
        <w:gridCol w:w="4726"/>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47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Construction began in the fourth quarter of 2020 and is ongoing.</w:t>
            </w:r>
          </w:p>
        </w:tc>
      </w:tr>
    </w:tbl>
    <w:tbl>
      <w:tblPr>
        <w:tblW w:w="4907" w:type="dxa"/>
        <w:jc w:val="left"/>
        <w:tblInd w:w="0" w:type="dxa"/>
        <w:tblCellMar>
          <w:top w:w="0" w:type="dxa"/>
          <w:left w:w="0" w:type="dxa"/>
          <w:bottom w:w="0" w:type="dxa"/>
          <w:right w:w="0" w:type="dxa"/>
        </w:tblCellMar>
      </w:tblPr>
      <w:tblGrid>
        <w:gridCol w:w="331"/>
        <w:gridCol w:w="4576"/>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45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Construction began in the first quarter of 2022 and is ongoing.</w:t>
            </w:r>
          </w:p>
        </w:tc>
      </w:tr>
    </w:tbl>
    <w:tbl>
      <w:tblPr>
        <w:tblW w:w="10205" w:type="dxa"/>
        <w:jc w:val="left"/>
        <w:tblInd w:w="0" w:type="dxa"/>
        <w:tblCellMar>
          <w:top w:w="0" w:type="dxa"/>
          <w:left w:w="0" w:type="dxa"/>
          <w:bottom w:w="0" w:type="dxa"/>
          <w:right w:w="0" w:type="dxa"/>
        </w:tblCellMar>
      </w:tblPr>
      <w:tblGrid>
        <w:gridCol w:w="308"/>
        <w:gridCol w:w="9897"/>
      </w:tblGrid>
      <w:tr>
        <w:trPr/>
        <w:tc>
          <w:tcPr>
            <w:tcW w:w="308"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98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As of March 31, 2023 and December 31, 2022, we were in the process of converting 19 units for long-term rental use and they were not available for lease. </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98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Construction began in the second quarter of 2021 and is ongoing. The Watersound Fountains Independent Living JV is unconsolidated and is accounted for under the equity method of accounting.</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Pier Park Crossings, which was developed in two phases, includes 360 completed apartment units in Panama City Beach, Florida. Watersound Origins Crossings includes 217 completed apartment units adjacent to the Watersound Town Center. Origins Crossings Townhomes includes 64 completed units near the Watersound Town Center. The WindMark Beach community includes 12 completed long-term rental units and 19 units in the process of being converted from short-term to long-term rental units in Port St. Joe, Florida. Watercrest includes 107 completed senior living units in Santa Rosa Beach, Florida. In addition, we have two multi-family communities and one senior living community under construction. North Bay Landing, planned for 240 apartment units, with 192 units completed as of March 31, 2023, is located in Panama City, Florida. Mexico Beach Crossings, planned for 216 apartment units, is located in Mexico Beach, Florida. Watersound Fountains, an unconsolidated JV, planned for 148 independent living units, is located near the Watersound Town Center the Watersound Origins residential community. We have additional multi-family communities in various stages of planning.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leasing portfolio consists of approximately 1,034,000 square feet of leasable space for mixed-use, retail, industrial, office, self-storage and medical uses. This includes our consolidated Pier Park North JV. Through separate unconsolidated JVs, </w:t>
      </w:r>
      <w:r>
        <w:rPr>
          <w:rFonts w:ascii="TimesNewRomanPSMT" w:hAnsi="TimesNewRomanPSMT"/>
          <w:sz w:val="20"/>
        </w:rPr>
        <w:t>other commercial properties include a 124-room TownePlace Suites by Marriott operated by our JV partner, a Busy Bee branded fuel station and convenience store operated by our JV partner and a golf cart sales and service facility, which is under construction, all located in Panama City Beach, Florida.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total net rentable square feet and percentage leased of leasing properties are as follows:</w:t>
      </w:r>
    </w:p>
    <w:tbl>
      <w:tblPr>
        <w:tblW w:w="10205" w:type="dxa"/>
        <w:jc w:val="left"/>
        <w:tblInd w:w="0" w:type="dxa"/>
        <w:tblCellMar>
          <w:top w:w="0" w:type="dxa"/>
          <w:left w:w="0" w:type="dxa"/>
          <w:bottom w:w="0" w:type="dxa"/>
          <w:right w:w="0" w:type="dxa"/>
        </w:tblCellMar>
      </w:tblPr>
      <w:tblGrid>
        <w:gridCol w:w="2477"/>
        <w:gridCol w:w="326"/>
        <w:gridCol w:w="2307"/>
        <w:gridCol w:w="326"/>
        <w:gridCol w:w="826"/>
        <w:gridCol w:w="326"/>
        <w:gridCol w:w="781"/>
        <w:gridCol w:w="373"/>
        <w:gridCol w:w="109"/>
        <w:gridCol w:w="826"/>
        <w:gridCol w:w="326"/>
        <w:gridCol w:w="781"/>
        <w:gridCol w:w="421"/>
      </w:tblGrid>
      <w:tr>
        <w:trPr/>
        <w:tc>
          <w:tcPr>
            <w:tcW w:w="2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572895" cy="175260"/>
                      <wp:effectExtent l="0" t="0" r="0" b="0"/>
                      <wp:wrapNone/>
                      <wp:docPr id="486" name="Frame486"/>
                      <a:graphic xmlns:a="http://schemas.openxmlformats.org/drawingml/2006/main">
                        <a:graphicData uri="http://schemas.microsoft.com/office/word/2010/wordprocessingShape">
                          <wps:wsp>
                            <wps:cNvSpPr txBox="1"/>
                            <wps:spPr>
                              <a:xfrm>
                                <a:off x="0" y="0"/>
                                <a:ext cx="1572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464945" cy="175260"/>
                      <wp:effectExtent l="0" t="0" r="0" b="0"/>
                      <wp:wrapNone/>
                      <wp:docPr id="488" name="Frame488"/>
                      <a:graphic xmlns:a="http://schemas.openxmlformats.org/drawingml/2006/main">
                        <a:graphicData uri="http://schemas.microsoft.com/office/word/2010/wordprocessingShape">
                          <wps:wsp>
                            <wps:cNvSpPr txBox="1"/>
                            <wps:spPr>
                              <a:xfrm>
                                <a:off x="0" y="0"/>
                                <a:ext cx="1464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24510" cy="175260"/>
                      <wp:effectExtent l="0" t="0" r="0" b="0"/>
                      <wp:wrapNone/>
                      <wp:docPr id="490" name="Frame490"/>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91" name="Frame4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95935" cy="175260"/>
                      <wp:effectExtent l="0" t="0" r="0" b="0"/>
                      <wp:wrapNone/>
                      <wp:docPr id="492" name="Frame49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36855" cy="175260"/>
                      <wp:effectExtent l="0" t="0" r="0" b="0"/>
                      <wp:wrapNone/>
                      <wp:docPr id="493" name="Frame493"/>
                      <a:graphic xmlns:a="http://schemas.openxmlformats.org/drawingml/2006/main">
                        <a:graphicData uri="http://schemas.microsoft.com/office/word/2010/wordprocessingShape">
                          <wps:wsp>
                            <wps:cNvSpPr txBox="1"/>
                            <wps:spPr>
                              <a:xfrm>
                                <a:off x="0" y="0"/>
                                <a:ext cx="2368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9215" cy="175260"/>
                      <wp:effectExtent l="0" t="0" r="0" b="0"/>
                      <wp:wrapNone/>
                      <wp:docPr id="494" name="Frame4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24510" cy="175260"/>
                      <wp:effectExtent l="0" t="0" r="0" b="0"/>
                      <wp:wrapNone/>
                      <wp:docPr id="495" name="Frame495"/>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6" name="Frame4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95935" cy="175260"/>
                      <wp:effectExtent l="0" t="0" r="0" b="0"/>
                      <wp:wrapNone/>
                      <wp:docPr id="497" name="Frame49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67335" cy="175260"/>
                      <wp:effectExtent l="0" t="0" r="0" b="0"/>
                      <wp:wrapNone/>
                      <wp:docPr id="498" name="Frame498"/>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0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3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73"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93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421" w:type="dxa"/>
            <w:tcBorders/>
            <w:shd w:fill="auto" w:val="clear"/>
            <w:vAlign w:val="center"/>
          </w:tcPr>
          <w:p>
            <w:pPr>
              <w:pStyle w:val="TableContents"/>
              <w:spacing w:before="0" w:after="1"/>
              <w:ind w:left="0" w:right="0" w:hanging="0"/>
              <w:jc w:val="center"/>
              <w:rPr/>
            </w:pPr>
            <w:r>
              <w:rPr/>
              <w:t>​</w:t>
            </w:r>
          </w:p>
        </w:tc>
      </w:tr>
      <w:tr>
        <w:trPr/>
        <w:tc>
          <w:tcPr>
            <w:tcW w:w="24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30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center"/>
              <w:rPr/>
            </w:pPr>
            <w:r>
              <w:rPr/>
              <w:t>​</w:t>
            </w:r>
          </w:p>
        </w:tc>
        <w:tc>
          <w:tcPr>
            <w:tcW w:w="373" w:type="dxa"/>
            <w:tcBorders/>
            <w:shd w:fill="auto" w:val="clear"/>
            <w:vAlign w:val="center"/>
          </w:tcPr>
          <w:p>
            <w:pPr>
              <w:pStyle w:val="TableContents"/>
              <w:spacing w:before="0" w:after="1"/>
              <w:ind w:left="0" w:right="0" w:hanging="0"/>
              <w:jc w:val="center"/>
              <w:rPr/>
            </w:pPr>
            <w:r>
              <w:rPr/>
              <w:t>    </w:t>
            </w:r>
          </w:p>
        </w:tc>
        <w:tc>
          <w:tcPr>
            <w:tcW w:w="109"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center"/>
              <w:rPr/>
            </w:pPr>
            <w:r>
              <w:rPr/>
              <w:t>​</w:t>
            </w:r>
          </w:p>
        </w:tc>
        <w:tc>
          <w:tcPr>
            <w:tcW w:w="421" w:type="dxa"/>
            <w:tcBorders/>
            <w:shd w:fill="auto" w:val="clear"/>
            <w:vAlign w:val="center"/>
          </w:tcPr>
          <w:p>
            <w:pPr>
              <w:pStyle w:val="TableContents"/>
              <w:spacing w:before="0" w:after="1"/>
              <w:ind w:left="0" w:right="0" w:hanging="0"/>
              <w:jc w:val="center"/>
              <w:rPr/>
            </w:pPr>
            <w:r>
              <w:rPr/>
              <w:t>​</w:t>
            </w:r>
          </w:p>
        </w:tc>
      </w:tr>
      <w:tr>
        <w:trPr/>
        <w:tc>
          <w:tcPr>
            <w:tcW w:w="24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0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Rentable</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73"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Rentable</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421" w:type="dxa"/>
            <w:tcBorders/>
            <w:shd w:fill="auto" w:val="clear"/>
            <w:vAlign w:val="center"/>
          </w:tcPr>
          <w:p>
            <w:pPr>
              <w:pStyle w:val="TableContents"/>
              <w:spacing w:before="0" w:after="1"/>
              <w:ind w:left="0" w:right="0" w:hanging="0"/>
              <w:jc w:val="center"/>
              <w:rPr/>
            </w:pPr>
            <w:r>
              <w:rPr/>
              <w:t>​</w:t>
            </w:r>
          </w:p>
        </w:tc>
      </w:tr>
      <w:tr>
        <w:trPr/>
        <w:tc>
          <w:tcPr>
            <w:tcW w:w="24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0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Square</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Percentage</w:t>
            </w:r>
          </w:p>
        </w:tc>
        <w:tc>
          <w:tcPr>
            <w:tcW w:w="373"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Square</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Percentage</w:t>
            </w:r>
          </w:p>
        </w:tc>
        <w:tc>
          <w:tcPr>
            <w:tcW w:w="421" w:type="dxa"/>
            <w:tcBorders/>
            <w:shd w:fill="auto" w:val="clear"/>
            <w:vAlign w:val="center"/>
          </w:tcPr>
          <w:p>
            <w:pPr>
              <w:pStyle w:val="TableContents"/>
              <w:spacing w:before="0" w:after="1"/>
              <w:ind w:left="0" w:right="0" w:hanging="0"/>
              <w:jc w:val="center"/>
              <w:rPr/>
            </w:pPr>
            <w:r>
              <w:rPr/>
              <w:t>​</w:t>
            </w:r>
          </w:p>
        </w:tc>
      </w:tr>
      <w:tr>
        <w:trPr/>
        <w:tc>
          <w:tcPr>
            <w:tcW w:w="24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0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Location</w:t>
            </w:r>
          </w:p>
        </w:tc>
        <w:tc>
          <w:tcPr>
            <w:tcW w:w="326" w:type="dxa"/>
            <w:tcBorders/>
            <w:shd w:fill="auto" w:val="clear"/>
            <w:vAlign w:val="center"/>
          </w:tcPr>
          <w:p>
            <w:pPr>
              <w:pStyle w:val="TableContents"/>
              <w:spacing w:before="0" w:after="1"/>
              <w:ind w:left="0" w:right="0" w:hanging="0"/>
              <w:jc w:val="center"/>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Feet*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Leased</w:t>
            </w:r>
          </w:p>
        </w:tc>
        <w:tc>
          <w:tcPr>
            <w:tcW w:w="373"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Feet*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Leased</w:t>
            </w:r>
          </w:p>
        </w:tc>
        <w:tc>
          <w:tcPr>
            <w:tcW w:w="421" w:type="dxa"/>
            <w:tcBorders/>
            <w:shd w:fill="auto" w:val="clear"/>
            <w:vAlign w:val="center"/>
          </w:tcPr>
          <w:p>
            <w:pPr>
              <w:pStyle w:val="TableContents"/>
              <w:spacing w:before="0" w:after="1"/>
              <w:ind w:left="0" w:right="0" w:hanging="0"/>
              <w:jc w:val="center"/>
              <w:rPr/>
            </w:pPr>
            <w:r>
              <w:rPr/>
              <w:t>​</w:t>
            </w:r>
          </w:p>
        </w:tc>
      </w:tr>
      <w:tr>
        <w:trPr/>
        <w:tc>
          <w:tcPr>
            <w:tcW w:w="247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Pier Park North</w:t>
            </w:r>
          </w:p>
        </w:tc>
        <w:tc>
          <w:tcPr>
            <w:tcW w:w="326" w:type="dxa"/>
            <w:tcBorders/>
            <w:shd w:fill="CCEEFF" w:val="clear"/>
            <w:vAlign w:val="center"/>
          </w:tcPr>
          <w:p>
            <w:pPr>
              <w:pStyle w:val="TableContents"/>
              <w:spacing w:before="0" w:after="1"/>
              <w:ind w:left="0" w:right="0" w:hanging="0"/>
              <w:rPr/>
            </w:pPr>
            <w:r>
              <w:rPr/>
              <w:t> </w:t>
            </w:r>
          </w:p>
        </w:tc>
        <w:tc>
          <w:tcPr>
            <w:tcW w:w="230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Bay County, FL</w:t>
            </w:r>
          </w:p>
        </w:tc>
        <w:tc>
          <w:tcPr>
            <w:tcW w:w="32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320,310</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97</w:t>
            </w:r>
          </w:p>
        </w:tc>
        <w:tc>
          <w:tcPr>
            <w:tcW w:w="37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7"/>
              </w:rPr>
              <w:t>%  </w:t>
            </w:r>
            <w:r>
              <w:rPr>
                <w:rFonts w:ascii="Times New Roman;Times;serif" w:hAnsi="Times New Roman;Times;serif"/>
                <w:sz w:val="16"/>
              </w:rPr>
              <w:t xml:space="preserve"> </w:t>
            </w:r>
          </w:p>
        </w:tc>
        <w:tc>
          <w:tcPr>
            <w:tcW w:w="109"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320,310</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97</w:t>
            </w:r>
          </w:p>
        </w:tc>
        <w:tc>
          <w:tcPr>
            <w:tcW w:w="42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7"/>
              </w:rPr>
              <w:t>%  </w:t>
            </w:r>
            <w:r>
              <w:rPr>
                <w:rFonts w:ascii="Times New Roman;Times;serif" w:hAnsi="Times New Roman;Times;serif"/>
                <w:sz w:val="16"/>
              </w:rPr>
              <w:t xml:space="preserve"> </w:t>
            </w:r>
          </w:p>
        </w:tc>
      </w:tr>
      <w:tr>
        <w:trPr/>
        <w:tc>
          <w:tcPr>
            <w:tcW w:w="247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VentureCrossings</w:t>
            </w:r>
          </w:p>
        </w:tc>
        <w:tc>
          <w:tcPr>
            <w:tcW w:w="326" w:type="dxa"/>
            <w:tcBorders/>
            <w:shd w:fill="auto" w:val="clear"/>
            <w:vAlign w:val="center"/>
          </w:tcPr>
          <w:p>
            <w:pPr>
              <w:pStyle w:val="TableContents"/>
              <w:spacing w:before="0" w:after="1"/>
              <w:ind w:left="0" w:right="0" w:hanging="0"/>
              <w:rPr/>
            </w:pPr>
            <w:r>
              <w:rPr/>
              <w:t> </w:t>
            </w:r>
          </w:p>
        </w:tc>
        <w:tc>
          <w:tcPr>
            <w:tcW w:w="230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Bay County, FL</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303,605</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303,605</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96</w:t>
            </w:r>
          </w:p>
        </w:tc>
        <w:tc>
          <w:tcPr>
            <w:tcW w:w="421"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Watersound Town Center</w:t>
            </w:r>
          </w:p>
        </w:tc>
        <w:tc>
          <w:tcPr>
            <w:tcW w:w="326" w:type="dxa"/>
            <w:tcBorders/>
            <w:shd w:fill="CCEEFF" w:val="clear"/>
            <w:vAlign w:val="center"/>
          </w:tcPr>
          <w:p>
            <w:pPr>
              <w:pStyle w:val="TableContents"/>
              <w:spacing w:before="0" w:after="1"/>
              <w:ind w:left="0" w:right="0" w:hanging="0"/>
              <w:rPr/>
            </w:pPr>
            <w:r>
              <w:rPr/>
              <w:t>​</w:t>
            </w:r>
          </w:p>
        </w:tc>
        <w:tc>
          <w:tcPr>
            <w:tcW w:w="230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Walton County, FL</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89,662</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99</w:t>
            </w:r>
          </w:p>
        </w:tc>
        <w:tc>
          <w:tcPr>
            <w:tcW w:w="373"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89,662</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99</w:t>
            </w:r>
          </w:p>
        </w:tc>
        <w:tc>
          <w:tcPr>
            <w:tcW w:w="421"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7"/>
              </w:rPr>
              <w:t>Beckrich Office Park</w:t>
            </w:r>
            <w:r>
              <w:rPr>
                <w:rFonts w:ascii="Times New Roman;Times;serif" w:hAnsi="Times New Roman;Times;serif"/>
                <w:sz w:val="16"/>
              </w:rPr>
              <w:t xml:space="preserve"> </w:t>
            </w:r>
            <w:r>
              <w:rPr>
                <w:rFonts w:ascii="Times New Roman;Times;serif" w:hAnsi="Times New Roman;Times;serif"/>
                <w:sz w:val="13"/>
              </w:rPr>
              <w:t>(a) (b)</w:t>
            </w:r>
          </w:p>
        </w:tc>
        <w:tc>
          <w:tcPr>
            <w:tcW w:w="326" w:type="dxa"/>
            <w:tcBorders/>
            <w:shd w:fill="auto" w:val="clear"/>
            <w:vAlign w:val="center"/>
          </w:tcPr>
          <w:p>
            <w:pPr>
              <w:pStyle w:val="TableContents"/>
              <w:spacing w:before="0" w:after="1"/>
              <w:ind w:left="0" w:right="0" w:hanging="0"/>
              <w:rPr/>
            </w:pPr>
            <w:r>
              <w:rPr/>
              <w:t> </w:t>
            </w:r>
          </w:p>
        </w:tc>
        <w:tc>
          <w:tcPr>
            <w:tcW w:w="230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Bay County, FL</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78,322</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99</w:t>
            </w:r>
          </w:p>
        </w:tc>
        <w:tc>
          <w:tcPr>
            <w:tcW w:w="373"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78,294</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99</w:t>
            </w:r>
          </w:p>
        </w:tc>
        <w:tc>
          <w:tcPr>
            <w:tcW w:w="421"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Watersound Self-Storage</w:t>
            </w:r>
          </w:p>
        </w:tc>
        <w:tc>
          <w:tcPr>
            <w:tcW w:w="326" w:type="dxa"/>
            <w:tcBorders/>
            <w:shd w:fill="CCEEFF" w:val="clear"/>
            <w:vAlign w:val="center"/>
          </w:tcPr>
          <w:p>
            <w:pPr>
              <w:pStyle w:val="TableContents"/>
              <w:spacing w:before="0" w:after="1"/>
              <w:ind w:left="0" w:right="0" w:hanging="0"/>
              <w:rPr/>
            </w:pPr>
            <w:r>
              <w:rPr/>
              <w:t>​</w:t>
            </w:r>
          </w:p>
        </w:tc>
        <w:tc>
          <w:tcPr>
            <w:tcW w:w="230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Walton County, FL</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67,694</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92</w:t>
            </w:r>
          </w:p>
        </w:tc>
        <w:tc>
          <w:tcPr>
            <w:tcW w:w="373"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67,694</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87</w:t>
            </w:r>
          </w:p>
        </w:tc>
        <w:tc>
          <w:tcPr>
            <w:tcW w:w="421"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7"/>
              </w:rPr>
              <w:t>WindMark Beach Town Center</w:t>
            </w:r>
            <w:r>
              <w:rPr>
                <w:rFonts w:ascii="Times New Roman;Times;serif" w:hAnsi="Times New Roman;Times;serif"/>
                <w:sz w:val="16"/>
              </w:rPr>
              <w:t xml:space="preserve"> </w:t>
            </w:r>
            <w:r>
              <w:rPr>
                <w:rFonts w:ascii="Times New Roman;Times;serif" w:hAnsi="Times New Roman;Times;serif"/>
                <w:sz w:val="13"/>
              </w:rPr>
              <w:t>(a) (c)</w:t>
            </w:r>
          </w:p>
        </w:tc>
        <w:tc>
          <w:tcPr>
            <w:tcW w:w="326" w:type="dxa"/>
            <w:tcBorders/>
            <w:shd w:fill="auto" w:val="clear"/>
            <w:vAlign w:val="center"/>
          </w:tcPr>
          <w:p>
            <w:pPr>
              <w:pStyle w:val="TableContents"/>
              <w:spacing w:before="0" w:after="1"/>
              <w:ind w:left="0" w:right="0" w:hanging="0"/>
              <w:rPr/>
            </w:pPr>
            <w:r>
              <w:rPr/>
              <w:t> </w:t>
            </w:r>
          </w:p>
        </w:tc>
        <w:tc>
          <w:tcPr>
            <w:tcW w:w="230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Gulf County, FL</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44,748</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71</w:t>
            </w:r>
          </w:p>
        </w:tc>
        <w:tc>
          <w:tcPr>
            <w:tcW w:w="373"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44,748</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71</w:t>
            </w:r>
          </w:p>
        </w:tc>
        <w:tc>
          <w:tcPr>
            <w:tcW w:w="421"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7"/>
              </w:rPr>
              <w:t>WaterColor Town Center</w:t>
            </w:r>
            <w:r>
              <w:rPr>
                <w:rFonts w:ascii="Times New Roman;Times;serif" w:hAnsi="Times New Roman;Times;serif"/>
                <w:sz w:val="16"/>
              </w:rPr>
              <w:t xml:space="preserve"> </w:t>
            </w:r>
            <w:r>
              <w:rPr>
                <w:rFonts w:ascii="Times New Roman;Times;serif" w:hAnsi="Times New Roman;Times;serif"/>
                <w:sz w:val="13"/>
              </w:rPr>
              <w:t>(a)</w:t>
            </w:r>
          </w:p>
        </w:tc>
        <w:tc>
          <w:tcPr>
            <w:tcW w:w="326" w:type="dxa"/>
            <w:tcBorders/>
            <w:shd w:fill="CCEEFF" w:val="clear"/>
            <w:vAlign w:val="center"/>
          </w:tcPr>
          <w:p>
            <w:pPr>
              <w:pStyle w:val="TableContents"/>
              <w:spacing w:before="0" w:after="1"/>
              <w:ind w:left="0" w:right="0" w:hanging="0"/>
              <w:rPr/>
            </w:pPr>
            <w:r>
              <w:rPr/>
              <w:t> </w:t>
            </w:r>
          </w:p>
        </w:tc>
        <w:tc>
          <w:tcPr>
            <w:tcW w:w="230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Walton County, FL</w:t>
            </w:r>
          </w:p>
        </w:tc>
        <w:tc>
          <w:tcPr>
            <w:tcW w:w="32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22,199</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22,199</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Cedar Grove Commerce Park</w:t>
            </w:r>
          </w:p>
        </w:tc>
        <w:tc>
          <w:tcPr>
            <w:tcW w:w="326" w:type="dxa"/>
            <w:tcBorders/>
            <w:shd w:fill="auto" w:val="clear"/>
            <w:vAlign w:val="center"/>
          </w:tcPr>
          <w:p>
            <w:pPr>
              <w:pStyle w:val="TableContents"/>
              <w:spacing w:before="0" w:after="1"/>
              <w:ind w:left="0" w:right="0" w:hanging="0"/>
              <w:rPr/>
            </w:pPr>
            <w:r>
              <w:rPr/>
              <w:t>​</w:t>
            </w:r>
          </w:p>
        </w:tc>
        <w:tc>
          <w:tcPr>
            <w:tcW w:w="230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Bay County, FL</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19,389</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19,389</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Port St. Joe Commercial</w:t>
            </w:r>
          </w:p>
        </w:tc>
        <w:tc>
          <w:tcPr>
            <w:tcW w:w="326" w:type="dxa"/>
            <w:tcBorders/>
            <w:shd w:fill="CCEEFF" w:val="clear"/>
            <w:vAlign w:val="center"/>
          </w:tcPr>
          <w:p>
            <w:pPr>
              <w:pStyle w:val="TableContents"/>
              <w:spacing w:before="0" w:after="1"/>
              <w:ind w:left="0" w:right="0" w:hanging="0"/>
              <w:rPr/>
            </w:pPr>
            <w:r>
              <w:rPr/>
              <w:t> </w:t>
            </w:r>
          </w:p>
        </w:tc>
        <w:tc>
          <w:tcPr>
            <w:tcW w:w="230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Gulf County, FL</w:t>
            </w:r>
          </w:p>
        </w:tc>
        <w:tc>
          <w:tcPr>
            <w:tcW w:w="32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16,964</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16,964</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7"/>
              </w:rPr>
              <w:t>Beach Commerce Park</w:t>
            </w:r>
            <w:r>
              <w:rPr>
                <w:rFonts w:ascii="Times New Roman;Times;serif" w:hAnsi="Times New Roman;Times;serif"/>
                <w:sz w:val="16"/>
              </w:rPr>
              <w:t xml:space="preserve"> </w:t>
            </w:r>
            <w:r>
              <w:rPr>
                <w:rFonts w:ascii="Times New Roman;Times;serif" w:hAnsi="Times New Roman;Times;serif"/>
                <w:sz w:val="13"/>
              </w:rPr>
              <w:t>(a)</w:t>
            </w:r>
          </w:p>
        </w:tc>
        <w:tc>
          <w:tcPr>
            <w:tcW w:w="326" w:type="dxa"/>
            <w:tcBorders/>
            <w:shd w:fill="auto" w:val="clear"/>
            <w:vAlign w:val="center"/>
          </w:tcPr>
          <w:p>
            <w:pPr>
              <w:pStyle w:val="TableContents"/>
              <w:spacing w:before="0" w:after="1"/>
              <w:ind w:left="0" w:right="0" w:hanging="0"/>
              <w:rPr/>
            </w:pPr>
            <w:r>
              <w:rPr/>
              <w:t> </w:t>
            </w:r>
          </w:p>
        </w:tc>
        <w:tc>
          <w:tcPr>
            <w:tcW w:w="230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Bay County, FL</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14,800</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14,800</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7"/>
              </w:rPr>
              <w:t>South Walton Commerce Park</w:t>
            </w:r>
            <w:r>
              <w:rPr>
                <w:rFonts w:ascii="Times New Roman;Times;serif" w:hAnsi="Times New Roman;Times;serif"/>
                <w:sz w:val="16"/>
              </w:rPr>
              <w:t xml:space="preserve"> </w:t>
            </w:r>
            <w:r>
              <w:rPr>
                <w:rFonts w:ascii="Times New Roman;Times;serif" w:hAnsi="Times New Roman;Times;serif"/>
                <w:sz w:val="13"/>
              </w:rPr>
              <w:t>(d)</w:t>
            </w:r>
          </w:p>
        </w:tc>
        <w:tc>
          <w:tcPr>
            <w:tcW w:w="326" w:type="dxa"/>
            <w:tcBorders/>
            <w:shd w:fill="CCEEFF" w:val="clear"/>
            <w:vAlign w:val="center"/>
          </w:tcPr>
          <w:p>
            <w:pPr>
              <w:pStyle w:val="TableContents"/>
              <w:spacing w:before="0" w:after="1"/>
              <w:ind w:left="0" w:right="0" w:hanging="0"/>
              <w:rPr/>
            </w:pPr>
            <w:r>
              <w:rPr/>
              <w:t>​</w:t>
            </w:r>
          </w:p>
        </w:tc>
        <w:tc>
          <w:tcPr>
            <w:tcW w:w="230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Walton County, FL</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11,570</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t>
            </w:r>
          </w:p>
        </w:tc>
        <w:tc>
          <w:tcPr>
            <w:tcW w:w="109"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11,570</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t>
            </w:r>
          </w:p>
        </w:tc>
      </w:tr>
      <w:tr>
        <w:trPr/>
        <w:tc>
          <w:tcPr>
            <w:tcW w:w="2477"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7"/>
              </w:rPr>
              <w:t>WaterSound Gatehouse</w:t>
            </w:r>
            <w:r>
              <w:rPr>
                <w:rFonts w:ascii="Times New Roman;Times;serif" w:hAnsi="Times New Roman;Times;serif"/>
                <w:sz w:val="16"/>
              </w:rPr>
              <w:t xml:space="preserve"> </w:t>
            </w:r>
            <w:r>
              <w:rPr>
                <w:rFonts w:ascii="Times New Roman;Times;serif" w:hAnsi="Times New Roman;Times;serif"/>
                <w:sz w:val="13"/>
              </w:rPr>
              <w:t>(a)</w:t>
            </w:r>
          </w:p>
        </w:tc>
        <w:tc>
          <w:tcPr>
            <w:tcW w:w="326" w:type="dxa"/>
            <w:tcBorders/>
            <w:shd w:fill="auto" w:val="clear"/>
            <w:vAlign w:val="center"/>
          </w:tcPr>
          <w:p>
            <w:pPr>
              <w:pStyle w:val="TableContents"/>
              <w:spacing w:before="0" w:after="1"/>
              <w:ind w:left="0" w:right="0" w:hanging="0"/>
              <w:rPr/>
            </w:pPr>
            <w:r>
              <w:rPr/>
              <w:t> </w:t>
            </w:r>
          </w:p>
        </w:tc>
        <w:tc>
          <w:tcPr>
            <w:tcW w:w="2307"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Walton County, FL</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10,271</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10,271</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auto"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7"/>
              </w:rPr>
              <w:t>Other</w:t>
            </w:r>
            <w:r>
              <w:rPr>
                <w:rFonts w:ascii="Times New Roman;Times;serif" w:hAnsi="Times New Roman;Times;serif"/>
                <w:sz w:val="16"/>
              </w:rPr>
              <w:t xml:space="preserve"> </w:t>
            </w:r>
            <w:r>
              <w:rPr>
                <w:rFonts w:ascii="Times New Roman;Times;serif" w:hAnsi="Times New Roman;Times;serif"/>
                <w:sz w:val="13"/>
              </w:rPr>
              <w:t>(e)</w:t>
            </w:r>
          </w:p>
        </w:tc>
        <w:tc>
          <w:tcPr>
            <w:tcW w:w="326" w:type="dxa"/>
            <w:tcBorders/>
            <w:shd w:fill="CCEEFF" w:val="clear"/>
            <w:vAlign w:val="center"/>
          </w:tcPr>
          <w:p>
            <w:pPr>
              <w:pStyle w:val="TableContents"/>
              <w:spacing w:before="0" w:after="1"/>
              <w:ind w:left="0" w:right="0" w:hanging="0"/>
              <w:rPr/>
            </w:pPr>
            <w:r>
              <w:rPr/>
              <w:t>​</w:t>
            </w:r>
          </w:p>
        </w:tc>
        <w:tc>
          <w:tcPr>
            <w:tcW w:w="2307"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Bay, Gulf and Walton Counties, FL</w:t>
            </w:r>
          </w:p>
        </w:tc>
        <w:tc>
          <w:tcPr>
            <w:tcW w:w="326" w:type="dxa"/>
            <w:tcBorders/>
            <w:shd w:fill="CCEEFF" w:val="cle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34,224</w:t>
            </w:r>
          </w:p>
        </w:tc>
        <w:tc>
          <w:tcPr>
            <w:tcW w:w="326" w:type="dxa"/>
            <w:tcBorders/>
            <w:shd w:fill="CCEEFF" w:val="cle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34,224</w:t>
            </w:r>
          </w:p>
        </w:tc>
        <w:tc>
          <w:tcPr>
            <w:tcW w:w="326" w:type="dxa"/>
            <w:tcBorders/>
            <w:shd w:fill="CCEEFF" w:val="cle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CCEEFF" w:val="clear"/>
            <w:vAlign w:val="center"/>
          </w:tcPr>
          <w:p>
            <w:pPr>
              <w:pStyle w:val="TableContents"/>
              <w:spacing w:before="0" w:after="1"/>
              <w:ind w:left="0" w:right="0" w:hanging="0"/>
              <w:rPr>
                <w:rFonts w:ascii="Times New Roman;Times;serif" w:hAnsi="Times New Roman;Times;serif"/>
                <w:sz w:val="17"/>
              </w:rPr>
            </w:pPr>
            <w:r>
              <w:rPr>
                <w:rFonts w:ascii="Times New Roman;Times;serif" w:hAnsi="Times New Roman;Times;serif"/>
                <w:sz w:val="17"/>
              </w:rPr>
              <w:t>%  </w:t>
            </w:r>
          </w:p>
        </w:tc>
      </w:tr>
      <w:tr>
        <w:trPr/>
        <w:tc>
          <w:tcPr>
            <w:tcW w:w="24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307"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7"/>
              </w:rPr>
            </w:pPr>
            <w:r>
              <w:rPr>
                <w:rFonts w:ascii="Times New Roman;Times;serif" w:hAnsi="Times New Roman;Times;serif"/>
                <w:b/>
                <w:sz w:val="17"/>
              </w:rPr>
              <w:t>1,033,758</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7"/>
              </w:rPr>
            </w:pPr>
            <w:r>
              <w:rPr>
                <w:rFonts w:ascii="Times New Roman;Times;serif" w:hAnsi="Times New Roman;Times;serif"/>
                <w:b/>
                <w:sz w:val="17"/>
              </w:rPr>
              <w:t>97</w:t>
            </w:r>
          </w:p>
        </w:tc>
        <w:tc>
          <w:tcPr>
            <w:tcW w:w="373" w:type="dxa"/>
            <w:tcBorders/>
            <w:shd w:fill="auto" w:val="clear"/>
            <w:vAlign w:val="center"/>
          </w:tcPr>
          <w:p>
            <w:pPr>
              <w:pStyle w:val="TableContents"/>
              <w:spacing w:before="0" w:after="1"/>
              <w:ind w:left="0" w:right="0" w:hanging="0"/>
              <w:rPr>
                <w:rFonts w:ascii="Times New Roman;Times;serif" w:hAnsi="Times New Roman;Times;serif"/>
                <w:b/>
                <w:sz w:val="17"/>
              </w:rPr>
            </w:pPr>
            <w:r>
              <w:rPr>
                <w:rFonts w:ascii="Times New Roman;Times;serif" w:hAnsi="Times New Roman;Times;serif"/>
                <w:b/>
                <w:sz w:val="17"/>
              </w:rPr>
              <w:t>%  </w:t>
            </w:r>
          </w:p>
        </w:tc>
        <w:tc>
          <w:tcPr>
            <w:tcW w:w="109" w:type="dxa"/>
            <w:tcBorders/>
            <w:shd w:fill="auto" w:val="clear"/>
            <w:vAlign w:val="center"/>
          </w:tcPr>
          <w:p>
            <w:pPr>
              <w:pStyle w:val="TableContents"/>
              <w:spacing w:before="0" w:after="1"/>
              <w:ind w:left="0" w:right="0" w:hanging="0"/>
              <w:rPr/>
            </w:pPr>
            <w:r>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7"/>
              </w:rPr>
            </w:pPr>
            <w:r>
              <w:rPr>
                <w:rFonts w:ascii="Times New Roman;Times;serif" w:hAnsi="Times New Roman;Times;serif"/>
                <w:b/>
                <w:sz w:val="17"/>
              </w:rPr>
              <w:t>1,033,730</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7"/>
              </w:rPr>
            </w:pPr>
            <w:r>
              <w:rPr>
                <w:rFonts w:ascii="Times New Roman;Times;serif" w:hAnsi="Times New Roman;Times;serif"/>
                <w:b/>
                <w:sz w:val="17"/>
              </w:rPr>
              <w:t>95</w:t>
            </w:r>
          </w:p>
        </w:tc>
        <w:tc>
          <w:tcPr>
            <w:tcW w:w="421" w:type="dxa"/>
            <w:tcBorders/>
            <w:shd w:fill="auto" w:val="clear"/>
            <w:vAlign w:val="center"/>
          </w:tcPr>
          <w:p>
            <w:pPr>
              <w:pStyle w:val="TableContents"/>
              <w:spacing w:before="0" w:after="1"/>
              <w:ind w:left="0" w:right="0" w:hanging="0"/>
              <w:rPr>
                <w:rFonts w:ascii="Times New Roman;Times;serif" w:hAnsi="Times New Roman;Times;serif"/>
                <w:b/>
                <w:sz w:val="17"/>
              </w:rPr>
            </w:pPr>
            <w:r>
              <w:rPr>
                <w:rFonts w:ascii="Times New Roman;Times;serif" w:hAnsi="Times New Roman;Times;serif"/>
                <w:b/>
                <w:sz w:val="17"/>
              </w:rPr>
              <w:t>%  </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rFonts w:ascii="Symbol" w:hAnsi="Symbol"/>
                <w:sz w:val="18"/>
              </w:rPr>
            </w:pPr>
            <w:r>
              <w:rPr>
                <w:rFonts w:ascii="Symbol" w:hAnsi="Symbol"/>
                <w:sz w:val="18"/>
              </w:rPr>
              <w:t>*</w:t>
            </w:r>
          </w:p>
        </w:tc>
        <w:tc>
          <w:tcPr>
            <w:tcW w:w="99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Rentable Square Feet is designated as the current square feet available for lease as specified in the applicable lease agreements plus management’s estimate of space available for lease based on construction drawings.</w:t>
            </w:r>
          </w:p>
        </w:tc>
      </w:tr>
    </w:tbl>
    <w:p>
      <w:pPr>
        <w:pStyle w:val="TextBody"/>
        <w:spacing w:before="0" w:after="0"/>
        <w:ind w:left="0" w:right="0" w:hanging="0"/>
        <w:rPr/>
      </w:pPr>
      <w:r>
        <w:rPr/>
        <w:t>​</w:t>
      </w:r>
    </w:p>
    <w:tbl>
      <w:tblPr>
        <w:tblW w:w="7727" w:type="dxa"/>
        <w:jc w:val="left"/>
        <w:tblInd w:w="0" w:type="dxa"/>
        <w:tblCellMar>
          <w:top w:w="0" w:type="dxa"/>
          <w:left w:w="0" w:type="dxa"/>
          <w:bottom w:w="0" w:type="dxa"/>
          <w:right w:w="0" w:type="dxa"/>
        </w:tblCellMar>
      </w:tblPr>
      <w:tblGrid>
        <w:gridCol w:w="316"/>
        <w:gridCol w:w="741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74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addition to net rentable square feet there is also space that we occupy or that serves as common area.</w:t>
            </w:r>
          </w:p>
        </w:tc>
      </w:tr>
    </w:tbl>
    <w:tbl>
      <w:tblPr>
        <w:tblW w:w="9737" w:type="dxa"/>
        <w:jc w:val="left"/>
        <w:tblInd w:w="0" w:type="dxa"/>
        <w:tblCellMar>
          <w:top w:w="0" w:type="dxa"/>
          <w:left w:w="0" w:type="dxa"/>
          <w:bottom w:w="0" w:type="dxa"/>
          <w:right w:w="0" w:type="dxa"/>
        </w:tblCellMar>
      </w:tblPr>
      <w:tblGrid>
        <w:gridCol w:w="331"/>
        <w:gridCol w:w="9406"/>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4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net rentable square feet as of March 31, 2023 and December 31, 2022, is 1,500 square feet leased to a consolidated JV.</w:t>
            </w:r>
          </w:p>
        </w:tc>
      </w:tr>
    </w:tbl>
    <w:tbl>
      <w:tblPr>
        <w:tblW w:w="9272" w:type="dxa"/>
        <w:jc w:val="left"/>
        <w:tblInd w:w="0" w:type="dxa"/>
        <w:tblCellMar>
          <w:top w:w="0" w:type="dxa"/>
          <w:left w:w="0" w:type="dxa"/>
          <w:bottom w:w="0" w:type="dxa"/>
          <w:right w:w="0" w:type="dxa"/>
        </w:tblCellMar>
      </w:tblPr>
      <w:tblGrid>
        <w:gridCol w:w="316"/>
        <w:gridCol w:w="8956"/>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89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net rentable square feet as of March 31, 2023 and December 31, 2022, is 13,808 square feet of unfinished space.</w:t>
            </w:r>
          </w:p>
        </w:tc>
      </w:tr>
    </w:tbl>
    <w:tbl>
      <w:tblPr>
        <w:tblW w:w="9737" w:type="dxa"/>
        <w:jc w:val="left"/>
        <w:tblInd w:w="0" w:type="dxa"/>
        <w:tblCellMar>
          <w:top w:w="0" w:type="dxa"/>
          <w:left w:w="0" w:type="dxa"/>
          <w:bottom w:w="0" w:type="dxa"/>
          <w:right w:w="0" w:type="dxa"/>
        </w:tblCellMar>
      </w:tblPr>
      <w:tblGrid>
        <w:gridCol w:w="331"/>
        <w:gridCol w:w="9406"/>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94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net rentable square feet as of March 31, 2023 and December 31, 2022, is 1,364 square feet leased to a consolidated JV.</w:t>
            </w:r>
          </w:p>
        </w:tc>
      </w:tr>
    </w:tbl>
    <w:tbl>
      <w:tblPr>
        <w:tblW w:w="6467" w:type="dxa"/>
        <w:jc w:val="left"/>
        <w:tblInd w:w="0" w:type="dxa"/>
        <w:tblCellMar>
          <w:top w:w="0" w:type="dxa"/>
          <w:left w:w="0" w:type="dxa"/>
          <w:bottom w:w="0" w:type="dxa"/>
          <w:right w:w="0" w:type="dxa"/>
        </w:tblCellMar>
      </w:tblPr>
      <w:tblGrid>
        <w:gridCol w:w="316"/>
        <w:gridCol w:w="6151"/>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(e)</w:t>
            </w:r>
          </w:p>
        </w:tc>
        <w:tc>
          <w:tcPr>
            <w:tcW w:w="61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various other properties, each with less than 10,000 net rentable square feet.</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other commercial projects under development and construction as detailed in the table below. In addition to these properties, we have other commercial buildings in various stages of planning.</w:t>
      </w:r>
    </w:p>
    <w:tbl>
      <w:tblPr>
        <w:tblW w:w="10205" w:type="dxa"/>
        <w:jc w:val="left"/>
        <w:tblInd w:w="0" w:type="dxa"/>
        <w:tblCellMar>
          <w:top w:w="0" w:type="dxa"/>
          <w:left w:w="0" w:type="dxa"/>
          <w:bottom w:w="0" w:type="dxa"/>
          <w:right w:w="0" w:type="dxa"/>
        </w:tblCellMar>
      </w:tblPr>
      <w:tblGrid>
        <w:gridCol w:w="1413"/>
        <w:gridCol w:w="109"/>
        <w:gridCol w:w="1009"/>
        <w:gridCol w:w="109"/>
        <w:gridCol w:w="1554"/>
        <w:gridCol w:w="109"/>
        <w:gridCol w:w="1105"/>
        <w:gridCol w:w="361"/>
        <w:gridCol w:w="109"/>
        <w:gridCol w:w="1546"/>
        <w:gridCol w:w="109"/>
        <w:gridCol w:w="1413"/>
        <w:gridCol w:w="109"/>
        <w:gridCol w:w="1150"/>
      </w:tblGrid>
      <w:tr>
        <w:trPr/>
        <w:tc>
          <w:tcPr>
            <w:tcW w:w="1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897255" cy="175260"/>
                      <wp:effectExtent l="0" t="0" r="0" b="0"/>
                      <wp:wrapNone/>
                      <wp:docPr id="499" name="Frame499"/>
                      <a:graphic xmlns:a="http://schemas.openxmlformats.org/drawingml/2006/main">
                        <a:graphicData uri="http://schemas.microsoft.com/office/word/2010/wordprocessingShape">
                          <wps:wsp>
                            <wps:cNvSpPr txBox="1"/>
                            <wps:spPr>
                              <a:xfrm>
                                <a:off x="0" y="0"/>
                                <a:ext cx="897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9215" cy="175260"/>
                      <wp:effectExtent l="0" t="0" r="0" b="0"/>
                      <wp:wrapNone/>
                      <wp:docPr id="500" name="Frame50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0715" cy="175260"/>
                      <wp:effectExtent l="0" t="0" r="0" b="0"/>
                      <wp:wrapNone/>
                      <wp:docPr id="501" name="Frame501"/>
                      <a:graphic xmlns:a="http://schemas.openxmlformats.org/drawingml/2006/main">
                        <a:graphicData uri="http://schemas.microsoft.com/office/word/2010/wordprocessingShape">
                          <wps:wsp>
                            <wps:cNvSpPr txBox="1"/>
                            <wps:spPr>
                              <a:xfrm>
                                <a:off x="0" y="0"/>
                                <a:ext cx="6407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9215" cy="175260"/>
                      <wp:effectExtent l="0" t="0" r="0" b="0"/>
                      <wp:wrapNone/>
                      <wp:docPr id="502" name="Frame5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986790" cy="175260"/>
                      <wp:effectExtent l="0" t="0" r="0" b="0"/>
                      <wp:wrapNone/>
                      <wp:docPr id="503" name="Frame503"/>
                      <a:graphic xmlns:a="http://schemas.openxmlformats.org/drawingml/2006/main">
                        <a:graphicData uri="http://schemas.microsoft.com/office/word/2010/wordprocessingShape">
                          <wps:wsp>
                            <wps:cNvSpPr txBox="1"/>
                            <wps:spPr>
                              <a:xfrm>
                                <a:off x="0" y="0"/>
                                <a:ext cx="986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9215" cy="175260"/>
                      <wp:effectExtent l="0" t="0" r="0" b="0"/>
                      <wp:wrapNone/>
                      <wp:docPr id="504" name="Frame5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01675" cy="175260"/>
                      <wp:effectExtent l="0" t="0" r="0" b="0"/>
                      <wp:wrapNone/>
                      <wp:docPr id="505" name="Frame505"/>
                      <a:graphic xmlns:a="http://schemas.openxmlformats.org/drawingml/2006/main">
                        <a:graphicData uri="http://schemas.microsoft.com/office/word/2010/wordprocessingShape">
                          <wps:wsp>
                            <wps:cNvSpPr txBox="1"/>
                            <wps:spPr>
                              <a:xfrm>
                                <a:off x="0" y="0"/>
                                <a:ext cx="701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29235" cy="175260"/>
                      <wp:effectExtent l="0" t="0" r="0" b="0"/>
                      <wp:wrapNone/>
                      <wp:docPr id="506" name="Frame50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9215" cy="175260"/>
                      <wp:effectExtent l="0" t="0" r="0" b="0"/>
                      <wp:wrapNone/>
                      <wp:docPr id="507" name="Frame5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981710" cy="175260"/>
                      <wp:effectExtent l="0" t="0" r="0" b="0"/>
                      <wp:wrapNone/>
                      <wp:docPr id="508" name="Frame508"/>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9" name="Frame50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897255" cy="175260"/>
                      <wp:effectExtent l="0" t="0" r="0" b="0"/>
                      <wp:wrapNone/>
                      <wp:docPr id="510" name="Frame510"/>
                      <a:graphic xmlns:a="http://schemas.openxmlformats.org/drawingml/2006/main">
                        <a:graphicData uri="http://schemas.microsoft.com/office/word/2010/wordprocessingShape">
                          <wps:wsp>
                            <wps:cNvSpPr txBox="1"/>
                            <wps:spPr>
                              <a:xfrm>
                                <a:off x="0" y="0"/>
                                <a:ext cx="897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9215" cy="175260"/>
                      <wp:effectExtent l="0" t="0" r="0" b="0"/>
                      <wp:wrapNone/>
                      <wp:docPr id="511" name="Frame5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30250" cy="175260"/>
                      <wp:effectExtent l="0" t="0" r="0" b="0"/>
                      <wp:wrapNone/>
                      <wp:docPr id="512" name="Frame512"/>
                      <a:graphic xmlns:a="http://schemas.openxmlformats.org/drawingml/2006/main">
                        <a:graphicData uri="http://schemas.microsoft.com/office/word/2010/wordprocessingShape">
                          <wps:wsp>
                            <wps:cNvSpPr txBox="1"/>
                            <wps:spPr>
                              <a:xfrm>
                                <a:off x="0" y="0"/>
                                <a:ext cx="730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1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56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141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0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109" w:type="dxa"/>
            <w:tcBorders/>
            <w:shd w:fill="auto" w:val="clear"/>
            <w:vAlign w:val="center"/>
          </w:tcPr>
          <w:p>
            <w:pPr>
              <w:pStyle w:val="TableContents"/>
              <w:spacing w:before="0" w:after="0"/>
              <w:ind w:left="0" w:right="0" w:hanging="0"/>
              <w:jc w:val="center"/>
              <w:rPr/>
            </w:pPr>
            <w:r>
              <w:rPr/>
              <w:t>​</w:t>
            </w:r>
          </w:p>
        </w:tc>
        <w:tc>
          <w:tcPr>
            <w:tcW w:w="155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Completed Net Rentable Square Feet</w:t>
            </w:r>
          </w:p>
        </w:tc>
        <w:tc>
          <w:tcPr>
            <w:tcW w:w="109" w:type="dxa"/>
            <w:tcBorders/>
            <w:shd w:fill="auto" w:val="clear"/>
            <w:vAlign w:val="center"/>
          </w:tcPr>
          <w:p>
            <w:pPr>
              <w:pStyle w:val="TableContents"/>
              <w:spacing w:before="0" w:after="0"/>
              <w:ind w:left="0" w:right="0" w:hanging="0"/>
              <w:jc w:val="center"/>
              <w:rPr/>
            </w:pPr>
            <w:r>
              <w:rPr/>
              <w:t>​</w:t>
            </w:r>
          </w:p>
        </w:tc>
        <w:tc>
          <w:tcPr>
            <w:tcW w:w="110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Leased</w:t>
            </w:r>
          </w:p>
        </w:tc>
        <w:tc>
          <w:tcPr>
            <w:tcW w:w="36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Square Feet Under Construction</w:t>
            </w:r>
          </w:p>
        </w:tc>
        <w:tc>
          <w:tcPr>
            <w:tcW w:w="109" w:type="dxa"/>
            <w:tcBorders/>
            <w:shd w:fill="auto" w:val="clear"/>
            <w:vAlign w:val="center"/>
          </w:tcPr>
          <w:p>
            <w:pPr>
              <w:pStyle w:val="TableContents"/>
              <w:spacing w:before="0" w:after="0"/>
              <w:ind w:left="0" w:right="0" w:hanging="0"/>
              <w:jc w:val="center"/>
              <w:rPr/>
            </w:pPr>
            <w:r>
              <w:rPr/>
              <w:t>​</w:t>
            </w:r>
          </w:p>
        </w:tc>
        <w:tc>
          <w:tcPr>
            <w:tcW w:w="141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Planned Square Feet</w:t>
            </w:r>
          </w:p>
        </w:tc>
        <w:tc>
          <w:tcPr>
            <w:tcW w:w="109" w:type="dxa"/>
            <w:tcBorders/>
            <w:shd w:fill="auto" w:val="clear"/>
            <w:vAlign w:val="center"/>
          </w:tcPr>
          <w:p>
            <w:pPr>
              <w:pStyle w:val="TableContents"/>
              <w:spacing w:before="0" w:after="0"/>
              <w:ind w:left="0" w:right="0" w:hanging="0"/>
              <w:jc w:val="center"/>
              <w:rPr/>
            </w:pPr>
            <w:r>
              <w:rPr/>
              <w:t>​</w:t>
            </w:r>
          </w:p>
        </w:tc>
        <w:tc>
          <w:tcPr>
            <w:tcW w:w="115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Square Feet*</w:t>
            </w:r>
          </w:p>
        </w:tc>
      </w:tr>
      <w:tr>
        <w:trPr/>
        <w:tc>
          <w:tcPr>
            <w:tcW w:w="141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Watersound Town Center</w:t>
            </w:r>
          </w:p>
        </w:tc>
        <w:tc>
          <w:tcPr>
            <w:tcW w:w="109" w:type="dxa"/>
            <w:tcBorders/>
            <w:shd w:fill="CCEEFF" w:val="clear"/>
            <w:vAlign w:val="center"/>
          </w:tcPr>
          <w:p>
            <w:pPr>
              <w:pStyle w:val="TableContents"/>
              <w:spacing w:before="0" w:after="0"/>
              <w:ind w:left="0" w:right="0" w:hanging="0"/>
              <w:rPr/>
            </w:pPr>
            <w:r>
              <w:rPr/>
              <w:t>​</w:t>
            </w:r>
          </w:p>
        </w:tc>
        <w:tc>
          <w:tcPr>
            <w:tcW w:w="100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Walton County, FL</w:t>
            </w:r>
          </w:p>
        </w:tc>
        <w:tc>
          <w:tcPr>
            <w:tcW w:w="109" w:type="dxa"/>
            <w:tcBorders/>
            <w:shd w:fill="CCEEFF" w:val="clear"/>
            <w:vAlign w:val="center"/>
          </w:tcPr>
          <w:p>
            <w:pPr>
              <w:pStyle w:val="TableContents"/>
              <w:spacing w:before="0" w:after="0"/>
              <w:ind w:left="0" w:right="0" w:hanging="0"/>
              <w:rPr/>
            </w:pPr>
            <w:r>
              <w:rPr/>
              <w:t>​</w:t>
            </w:r>
          </w:p>
        </w:tc>
        <w:tc>
          <w:tcPr>
            <w:tcW w:w="155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89,662</w:t>
            </w:r>
          </w:p>
        </w:tc>
        <w:tc>
          <w:tcPr>
            <w:tcW w:w="109" w:type="dxa"/>
            <w:tcBorders/>
            <w:shd w:fill="CCEEFF" w:val="clear"/>
            <w:vAlign w:val="center"/>
          </w:tcPr>
          <w:p>
            <w:pPr>
              <w:pStyle w:val="TableContents"/>
              <w:spacing w:before="0" w:after="0"/>
              <w:ind w:left="0" w:right="0" w:hanging="0"/>
              <w:rPr/>
            </w:pPr>
            <w:r>
              <w:rPr/>
              <w:t>​</w:t>
            </w:r>
          </w:p>
        </w:tc>
        <w:tc>
          <w:tcPr>
            <w:tcW w:w="110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   </w:t>
            </w:r>
          </w:p>
        </w:tc>
        <w:tc>
          <w:tcPr>
            <w:tcW w:w="109" w:type="dxa"/>
            <w:tcBorders/>
            <w:shd w:fill="CCEEFF" w:val="clear"/>
            <w:vAlign w:val="center"/>
          </w:tcPr>
          <w:p>
            <w:pPr>
              <w:pStyle w:val="TableContents"/>
              <w:spacing w:before="0" w:after="0"/>
              <w:ind w:left="0" w:right="0" w:hanging="0"/>
              <w:rPr/>
            </w:pPr>
            <w:r>
              <w:rPr/>
              <w:t>​</w:t>
            </w:r>
          </w:p>
        </w:tc>
        <w:tc>
          <w:tcPr>
            <w:tcW w:w="15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50,768</w:t>
            </w:r>
          </w:p>
        </w:tc>
        <w:tc>
          <w:tcPr>
            <w:tcW w:w="109" w:type="dxa"/>
            <w:tcBorders/>
            <w:shd w:fill="CCEEFF" w:val="clear"/>
            <w:vAlign w:val="center"/>
          </w:tcPr>
          <w:p>
            <w:pPr>
              <w:pStyle w:val="TableContents"/>
              <w:spacing w:before="0" w:after="0"/>
              <w:ind w:left="0" w:right="0" w:hanging="0"/>
              <w:rPr/>
            </w:pPr>
            <w:r>
              <w:rPr/>
              <w:t>​</w:t>
            </w:r>
          </w:p>
        </w:tc>
        <w:tc>
          <w:tcPr>
            <w:tcW w:w="141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259,570</w:t>
            </w:r>
          </w:p>
        </w:tc>
        <w:tc>
          <w:tcPr>
            <w:tcW w:w="109" w:type="dxa"/>
            <w:tcBorders/>
            <w:shd w:fill="CCEEFF" w:val="clear"/>
            <w:vAlign w:val="center"/>
          </w:tcPr>
          <w:p>
            <w:pPr>
              <w:pStyle w:val="TableContents"/>
              <w:spacing w:before="0" w:after="0"/>
              <w:ind w:left="0" w:right="0" w:hanging="0"/>
              <w:jc w:val="right"/>
              <w:rPr/>
            </w:pPr>
            <w:r>
              <w:rPr/>
              <w:t>​</w:t>
            </w:r>
          </w:p>
        </w:tc>
        <w:tc>
          <w:tcPr>
            <w:tcW w:w="115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400,000</w:t>
            </w:r>
          </w:p>
        </w:tc>
      </w:tr>
      <w:tr>
        <w:trPr/>
        <w:tc>
          <w:tcPr>
            <w:tcW w:w="141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Watersound West Bay Center</w:t>
            </w:r>
          </w:p>
        </w:tc>
        <w:tc>
          <w:tcPr>
            <w:tcW w:w="109" w:type="dxa"/>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auto" w:val="clear"/>
            <w:vAlign w:val="center"/>
          </w:tcPr>
          <w:p>
            <w:pPr>
              <w:pStyle w:val="TableContents"/>
              <w:spacing w:before="0" w:after="0"/>
              <w:ind w:left="0" w:right="0" w:hanging="0"/>
              <w:rPr/>
            </w:pPr>
            <w:r>
              <w:rPr/>
              <w:t>​</w:t>
            </w:r>
          </w:p>
        </w:tc>
        <w:tc>
          <w:tcPr>
            <w:tcW w:w="155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10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6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41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500,000</w:t>
            </w:r>
          </w:p>
        </w:tc>
        <w:tc>
          <w:tcPr>
            <w:tcW w:w="109" w:type="dxa"/>
            <w:tcBorders/>
            <w:shd w:fill="auto" w:val="clear"/>
            <w:vAlign w:val="center"/>
          </w:tcPr>
          <w:p>
            <w:pPr>
              <w:pStyle w:val="TableContents"/>
              <w:spacing w:before="0" w:after="0"/>
              <w:ind w:left="0" w:right="0" w:hanging="0"/>
              <w:jc w:val="right"/>
              <w:rPr/>
            </w:pPr>
            <w:r>
              <w:rPr/>
              <w:t>​</w:t>
            </w:r>
          </w:p>
        </w:tc>
        <w:tc>
          <w:tcPr>
            <w:tcW w:w="115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500,000</w:t>
            </w:r>
          </w:p>
        </w:tc>
      </w:tr>
      <w:tr>
        <w:trPr/>
        <w:tc>
          <w:tcPr>
            <w:tcW w:w="141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FSU/TMH Medical Campus</w:t>
            </w:r>
          </w:p>
        </w:tc>
        <w:tc>
          <w:tcPr>
            <w:tcW w:w="109" w:type="dxa"/>
            <w:tcBorders/>
            <w:shd w:fill="CCEEFF" w:val="clear"/>
            <w:vAlign w:val="center"/>
          </w:tcPr>
          <w:p>
            <w:pPr>
              <w:pStyle w:val="TableContents"/>
              <w:spacing w:before="0" w:after="0"/>
              <w:ind w:left="0" w:right="0" w:hanging="0"/>
              <w:rPr/>
            </w:pPr>
            <w:r>
              <w:rPr/>
              <w:t>​</w:t>
            </w:r>
          </w:p>
        </w:tc>
        <w:tc>
          <w:tcPr>
            <w:tcW w:w="100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spacing w:before="0" w:after="0"/>
              <w:ind w:left="0" w:right="0" w:hanging="0"/>
              <w:rPr/>
            </w:pPr>
            <w:r>
              <w:rPr/>
              <w:t>​</w:t>
            </w:r>
          </w:p>
        </w:tc>
        <w:tc>
          <w:tcPr>
            <w:tcW w:w="155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1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5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80,300</w:t>
            </w:r>
          </w:p>
        </w:tc>
        <w:tc>
          <w:tcPr>
            <w:tcW w:w="109" w:type="dxa"/>
            <w:tcBorders/>
            <w:shd w:fill="CCEEFF" w:val="clear"/>
            <w:vAlign w:val="center"/>
          </w:tcPr>
          <w:p>
            <w:pPr>
              <w:pStyle w:val="TableContents"/>
              <w:spacing w:before="0" w:after="0"/>
              <w:ind w:left="0" w:right="0" w:hanging="0"/>
              <w:rPr/>
            </w:pPr>
            <w:r>
              <w:rPr/>
              <w:t>​</w:t>
            </w:r>
          </w:p>
        </w:tc>
        <w:tc>
          <w:tcPr>
            <w:tcW w:w="141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239,700</w:t>
            </w:r>
          </w:p>
        </w:tc>
        <w:tc>
          <w:tcPr>
            <w:tcW w:w="109" w:type="dxa"/>
            <w:tcBorders/>
            <w:shd w:fill="CCEEFF" w:val="clear"/>
            <w:vAlign w:val="center"/>
          </w:tcPr>
          <w:p>
            <w:pPr>
              <w:pStyle w:val="TableContents"/>
              <w:spacing w:before="0" w:after="0"/>
              <w:ind w:left="0" w:right="0" w:hanging="0"/>
              <w:jc w:val="right"/>
              <w:rPr/>
            </w:pPr>
            <w:r>
              <w:rPr/>
              <w:t>​</w:t>
            </w:r>
          </w:p>
        </w:tc>
        <w:tc>
          <w:tcPr>
            <w:tcW w:w="11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320,000</w:t>
            </w:r>
          </w:p>
        </w:tc>
      </w:tr>
      <w:tr>
        <w:trPr/>
        <w:tc>
          <w:tcPr>
            <w:tcW w:w="141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5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89,662</w:t>
            </w:r>
          </w:p>
        </w:tc>
        <w:tc>
          <w:tcPr>
            <w:tcW w:w="109" w:type="dxa"/>
            <w:tcBorders/>
            <w:shd w:fill="auto" w:val="clear"/>
            <w:vAlign w:val="center"/>
          </w:tcPr>
          <w:p>
            <w:pPr>
              <w:pStyle w:val="TableContents"/>
              <w:spacing w:before="0" w:after="0"/>
              <w:ind w:left="0" w:right="0" w:hanging="0"/>
              <w:rPr/>
            </w:pPr>
            <w:r>
              <w:rPr/>
              <w:t>​</w:t>
            </w:r>
          </w:p>
        </w:tc>
        <w:tc>
          <w:tcPr>
            <w:tcW w:w="110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c>
          <w:tcPr>
            <w:tcW w:w="36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5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131,068</w:t>
            </w:r>
          </w:p>
        </w:tc>
        <w:tc>
          <w:tcPr>
            <w:tcW w:w="109" w:type="dxa"/>
            <w:tcBorders/>
            <w:shd w:fill="auto" w:val="clear"/>
            <w:vAlign w:val="center"/>
          </w:tcPr>
          <w:p>
            <w:pPr>
              <w:pStyle w:val="TableContents"/>
              <w:spacing w:before="0" w:after="0"/>
              <w:ind w:left="0" w:right="0" w:hanging="0"/>
              <w:rPr/>
            </w:pPr>
            <w:r>
              <w:rPr/>
              <w:t>​</w:t>
            </w:r>
          </w:p>
        </w:tc>
        <w:tc>
          <w:tcPr>
            <w:tcW w:w="141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999,270</w:t>
            </w:r>
          </w:p>
        </w:tc>
        <w:tc>
          <w:tcPr>
            <w:tcW w:w="109" w:type="dxa"/>
            <w:tcBorders/>
            <w:shd w:fill="auto" w:val="clear"/>
            <w:vAlign w:val="center"/>
          </w:tcPr>
          <w:p>
            <w:pPr>
              <w:pStyle w:val="TableContents"/>
              <w:spacing w:before="0" w:after="0"/>
              <w:ind w:left="0" w:right="0" w:hanging="0"/>
              <w:jc w:val="right"/>
              <w:rPr/>
            </w:pPr>
            <w:r>
              <w:rPr/>
              <w:t>​</w:t>
            </w:r>
          </w:p>
        </w:tc>
        <w:tc>
          <w:tcPr>
            <w:tcW w:w="1150"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1,220,000</w:t>
            </w:r>
          </w:p>
        </w:tc>
      </w:tr>
    </w:tbl>
    <w:tbl>
      <w:tblPr>
        <w:tblW w:w="6332" w:type="dxa"/>
        <w:jc w:val="left"/>
        <w:tblInd w:w="0" w:type="dxa"/>
        <w:tblCellMar>
          <w:top w:w="0" w:type="dxa"/>
          <w:left w:w="0" w:type="dxa"/>
          <w:bottom w:w="0" w:type="dxa"/>
          <w:right w:w="0" w:type="dxa"/>
        </w:tblCellMar>
      </w:tblPr>
      <w:tblGrid>
        <w:gridCol w:w="226"/>
        <w:gridCol w:w="6106"/>
      </w:tblGrid>
      <w:tr>
        <w:trPr/>
        <w:tc>
          <w:tcPr>
            <w:tcW w:w="226"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1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square feet are based on current estimates and are subject to change.</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discussion and analysis of our financial condition and results of operations are based upon our condensed consolidated financial statements, which have been prepared in accordance with GAAP. The preparation of these financial statements requires us to make estimates and judgments that affect the reported amounts of assets, liabilities, revenue and expenses and related disclosures of contingent assets and liabilities. We base these estimates on historical experience, available current market information and on various other assumptions that management believes are reasonable under the circumstances. Additionally, we evaluate the results of these estimates on an on-going basis. Management’s estimates form the basis for making judgments about the carrying values of assets and liabilities that are not readily apparent from other sources. Actual results may differ from these estimates under different assumptions or conditions and our accounting estimates are subject to change.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Critical accounting policies that we believe reflect our more significant judgments and estimates used in the preparation of our condensed consolidated financial statements are set forth in Item 7 of our Annual Report on Form 10-K for the year ended December 31, 2022. There have been no significant changes in these policies during the first three months of 2023, however we cannot assure you that these policies will not change in the future.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Recently Adopted and Issued Accounting Pronouncements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See Note 2. </w:t>
      </w:r>
      <w:r>
        <w:rPr>
          <w:rFonts w:ascii="Times New Roman;Times;serif" w:hAnsi="Times New Roman;Times;serif"/>
          <w:i/>
          <w:sz w:val="20"/>
        </w:rPr>
        <w:t>Summary of Significant Accounting Policies</w:t>
      </w:r>
      <w:r>
        <w:rPr>
          <w:rFonts w:ascii="Times New Roman;Times;serif" w:hAnsi="Times New Roman;Times;serif"/>
          <w:sz w:val="20"/>
        </w:rPr>
        <w:t xml:space="preserve"> to our condensed consolidated financial statements included in this report for recently issued or adopted accounting standards, including the date of adoption and effect on our condensed consolidated financial statements.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Seasonality and Market Variability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operations may be affected by seasonal fluctuations. The revenues and earnings from our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residential or commercial real estate sales. We may also choose to operate rather than lease assets, lease rather than sell assets, or sell improved rather than unimproved land that may delay revenue and profits.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Hospitality revenues are typically higher in the second and third quarters, and vary depending on the timing of holidays and school breaks. Commercial real estate sales tend to be non-recurring. Projects depend on uncertain demand. Extraordinary events such as hurricanes or public health emergencies may dramatically change demand and pricing for products and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Consolidated Results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sets forth a comparison of the results of our operations:</w:t>
      </w:r>
    </w:p>
    <w:tbl>
      <w:tblPr>
        <w:tblW w:w="6706" w:type="dxa"/>
        <w:jc w:val="left"/>
        <w:tblInd w:w="0" w:type="dxa"/>
        <w:tblCellMar>
          <w:top w:w="0" w:type="dxa"/>
          <w:left w:w="0" w:type="dxa"/>
          <w:bottom w:w="0" w:type="dxa"/>
          <w:right w:w="0" w:type="dxa"/>
        </w:tblCellMar>
      </w:tblPr>
      <w:tblGrid>
        <w:gridCol w:w="4906"/>
        <w:gridCol w:w="211"/>
        <w:gridCol w:w="481"/>
        <w:gridCol w:w="326"/>
        <w:gridCol w:w="211"/>
        <w:gridCol w:w="571"/>
      </w:tblGrid>
      <w:tr>
        <w:trPr/>
        <w:tc>
          <w:tcPr>
            <w:tcW w:w="4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3115310" cy="175260"/>
                      <wp:effectExtent l="0" t="0" r="0" b="0"/>
                      <wp:wrapNone/>
                      <wp:docPr id="513" name="Frame513"/>
                      <a:graphic xmlns:a="http://schemas.openxmlformats.org/drawingml/2006/main">
                        <a:graphicData uri="http://schemas.microsoft.com/office/word/2010/wordprocessingShape">
                          <wps:wsp>
                            <wps:cNvSpPr txBox="1"/>
                            <wps:spPr>
                              <a:xfrm>
                                <a:off x="0" y="0"/>
                                <a:ext cx="311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3985" cy="175260"/>
                      <wp:effectExtent l="0" t="0" r="0" b="0"/>
                      <wp:wrapNone/>
                      <wp:docPr id="514" name="Frame5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305435" cy="175260"/>
                      <wp:effectExtent l="0" t="0" r="0" b="0"/>
                      <wp:wrapNone/>
                      <wp:docPr id="515" name="Frame515"/>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985" cy="175260"/>
                      <wp:effectExtent l="0" t="0" r="0" b="0"/>
                      <wp:wrapNone/>
                      <wp:docPr id="517" name="Frame5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362585" cy="175260"/>
                      <wp:effectExtent l="0" t="0" r="0" b="0"/>
                      <wp:wrapNone/>
                      <wp:docPr id="518" name="Frame51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06" w:type="dxa"/>
            <w:tcBorders/>
            <w:shd w:fill="auto" w:val="clear"/>
            <w:vAlign w:val="center"/>
          </w:tcPr>
          <w:p>
            <w:pPr>
              <w:pStyle w:val="TableContents"/>
              <w:spacing w:before="0" w:after="0"/>
              <w:ind w:left="0" w:right="0" w:hanging="0"/>
              <w:rPr/>
            </w:pPr>
            <w:r>
              <w:rPr/>
              <w:t>​</w:t>
            </w:r>
          </w:p>
        </w:tc>
        <w:tc>
          <w:tcPr>
            <w:tcW w:w="18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906" w:type="dxa"/>
            <w:tcBorders/>
            <w:shd w:fill="auto" w:val="clear"/>
            <w:vAlign w:val="center"/>
          </w:tcPr>
          <w:p>
            <w:pPr>
              <w:pStyle w:val="TableContents"/>
              <w:spacing w:before="0" w:after="0"/>
              <w:ind w:left="0" w:right="0" w:hanging="0"/>
              <w:rPr/>
            </w:pPr>
            <w:r>
              <w:rPr/>
              <w:t>​</w:t>
            </w:r>
          </w:p>
        </w:tc>
        <w:tc>
          <w:tcPr>
            <w:tcW w:w="18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906" w:type="dxa"/>
            <w:tcBorders/>
            <w:shd w:fill="auto" w:val="clear"/>
            <w:vAlign w:val="center"/>
          </w:tcPr>
          <w:p>
            <w:pPr>
              <w:pStyle w:val="TableContents"/>
              <w:spacing w:before="0" w:after="0"/>
              <w:ind w:left="0" w:right="0" w:hanging="0"/>
              <w:rPr/>
            </w:pPr>
            <w:r>
              <w:rPr/>
              <w:t>​</w:t>
            </w:r>
          </w:p>
        </w:tc>
        <w:tc>
          <w:tcPr>
            <w:tcW w:w="6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06"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4906" w:type="dxa"/>
            <w:tcBorders/>
            <w:shd w:fill="auto" w:val="clear"/>
            <w:vAlign w:val="center"/>
          </w:tcPr>
          <w:p>
            <w:pPr>
              <w:pStyle w:val="TableContents"/>
              <w:spacing w:before="0" w:after="0"/>
              <w:ind w:left="0" w:right="0" w:hanging="0"/>
              <w:rPr/>
            </w:pPr>
            <w:r>
              <w:rPr/>
              <w:t>​</w:t>
            </w:r>
          </w:p>
        </w:tc>
        <w:tc>
          <w:tcPr>
            <w:tcW w:w="1800" w:type="dxa"/>
            <w:gridSpan w:val="5"/>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211"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  </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revenue</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 revenue</w:t>
            </w:r>
          </w:p>
        </w:tc>
        <w:tc>
          <w:tcPr>
            <w:tcW w:w="211"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Leasing revenue</w:t>
            </w:r>
          </w:p>
        </w:tc>
        <w:tc>
          <w:tcPr>
            <w:tcW w:w="211"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Timber revenue</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211"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Expenses:</w:t>
            </w:r>
          </w:p>
        </w:tc>
        <w:tc>
          <w:tcPr>
            <w:tcW w:w="211"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real estate revenue</w:t>
            </w:r>
          </w:p>
        </w:tc>
        <w:tc>
          <w:tcPr>
            <w:tcW w:w="211" w:type="dxa"/>
            <w:tcBorders/>
            <w:shd w:fill="auto" w:val="clear"/>
            <w:vAlign w:val="center"/>
          </w:tcPr>
          <w:p>
            <w:pPr>
              <w:pStyle w:val="TableContents"/>
              <w:spacing w:before="0" w:after="0"/>
              <w:ind w:left="0" w:right="0" w:hanging="0"/>
              <w:jc w:val="right"/>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hospitality revenue</w:t>
            </w:r>
          </w:p>
        </w:tc>
        <w:tc>
          <w:tcPr>
            <w:tcW w:w="211" w:type="dxa"/>
            <w:tcBorders/>
            <w:shd w:fill="CCEEFF" w:val="clear"/>
            <w:vAlign w:val="center"/>
          </w:tcPr>
          <w:p>
            <w:pPr>
              <w:pStyle w:val="TableContents"/>
              <w:spacing w:before="0" w:after="0"/>
              <w:ind w:left="0" w:right="0" w:hanging="0"/>
              <w:jc w:val="right"/>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leasing revenue</w:t>
            </w:r>
          </w:p>
        </w:tc>
        <w:tc>
          <w:tcPr>
            <w:tcW w:w="211" w:type="dxa"/>
            <w:tcBorders/>
            <w:shd w:fill="auto" w:val="clear"/>
            <w:vAlign w:val="center"/>
          </w:tcPr>
          <w:p>
            <w:pPr>
              <w:pStyle w:val="TableContents"/>
              <w:spacing w:before="0" w:after="0"/>
              <w:ind w:left="0" w:right="0" w:hanging="0"/>
              <w:jc w:val="right"/>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timber revenue</w:t>
            </w:r>
          </w:p>
        </w:tc>
        <w:tc>
          <w:tcPr>
            <w:tcW w:w="211" w:type="dxa"/>
            <w:tcBorders/>
            <w:shd w:fill="CCEEFF" w:val="clear"/>
            <w:vAlign w:val="center"/>
          </w:tcPr>
          <w:p>
            <w:pPr>
              <w:pStyle w:val="TableContents"/>
              <w:spacing w:before="0" w:after="0"/>
              <w:ind w:left="0" w:right="0" w:hanging="0"/>
              <w:jc w:val="right"/>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 operating expenses</w:t>
            </w:r>
          </w:p>
        </w:tc>
        <w:tc>
          <w:tcPr>
            <w:tcW w:w="211"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depletion and amortization</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expenses</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income</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20.2</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w:t>
            </w:r>
          </w:p>
        </w:tc>
        <w:tc>
          <w:tcPr>
            <w:tcW w:w="211"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income, net</w:t>
            </w:r>
          </w:p>
        </w:tc>
        <w:tc>
          <w:tcPr>
            <w:tcW w:w="211"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211"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211"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 income (loss) from unconsolidated joint ventures</w:t>
            </w:r>
          </w:p>
        </w:tc>
        <w:tc>
          <w:tcPr>
            <w:tcW w:w="21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income (expense), net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before income taxes</w:t>
            </w:r>
          </w:p>
        </w:tc>
        <w:tc>
          <w:tcPr>
            <w:tcW w:w="211"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18.0</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13.5</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1920" w:name="_Hlk84937233"/>
      <w:bookmarkStart w:id="1921" w:name="_Hlk100726845"/>
      <w:bookmarkEnd w:id="1920"/>
      <w:bookmarkEnd w:id="1921"/>
      <w:r>
        <w:rPr>
          <w:rFonts w:ascii="Times New Roman;Times;serif" w:hAnsi="Times New Roman;Times;serif"/>
          <w:b/>
          <w:i/>
          <w:sz w:val="20"/>
        </w:rPr>
        <w:t>Real Estate Revenue and Gross Profit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sets forth a comparison of our total consolidated real estate revenue and gross profit:</w:t>
      </w:r>
    </w:p>
    <w:tbl>
      <w:tblPr>
        <w:tblW w:w="7632" w:type="dxa"/>
        <w:jc w:val="left"/>
        <w:tblInd w:w="0" w:type="dxa"/>
        <w:tblCellMar>
          <w:top w:w="0" w:type="dxa"/>
          <w:left w:w="0" w:type="dxa"/>
          <w:bottom w:w="0" w:type="dxa"/>
          <w:right w:w="0" w:type="dxa"/>
        </w:tblCellMar>
      </w:tblPr>
      <w:tblGrid>
        <w:gridCol w:w="3421"/>
        <w:gridCol w:w="326"/>
        <w:gridCol w:w="211"/>
        <w:gridCol w:w="466"/>
        <w:gridCol w:w="326"/>
        <w:gridCol w:w="571"/>
        <w:gridCol w:w="391"/>
        <w:gridCol w:w="211"/>
        <w:gridCol w:w="466"/>
        <w:gridCol w:w="326"/>
        <w:gridCol w:w="571"/>
        <w:gridCol w:w="346"/>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72335" cy="175260"/>
                      <wp:effectExtent l="0" t="0" r="0" b="0"/>
                      <wp:wrapNone/>
                      <wp:docPr id="519" name="Frame519"/>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33985" cy="175260"/>
                      <wp:effectExtent l="0" t="0" r="0" b="0"/>
                      <wp:wrapNone/>
                      <wp:docPr id="521" name="Frame5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95910" cy="175260"/>
                      <wp:effectExtent l="0" t="0" r="0" b="0"/>
                      <wp:wrapNone/>
                      <wp:docPr id="522" name="Frame522"/>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3" name="Frame5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62585" cy="175260"/>
                      <wp:effectExtent l="0" t="0" r="0" b="0"/>
                      <wp:wrapNone/>
                      <wp:docPr id="524" name="Frame52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48285" cy="175260"/>
                      <wp:effectExtent l="0" t="0" r="0" b="0"/>
                      <wp:wrapNone/>
                      <wp:docPr id="525" name="Frame525"/>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95910" cy="175260"/>
                      <wp:effectExtent l="0" t="0" r="0" b="0"/>
                      <wp:wrapNone/>
                      <wp:docPr id="527" name="Frame527"/>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362585" cy="175260"/>
                      <wp:effectExtent l="0" t="0" r="0" b="0"/>
                      <wp:wrapNone/>
                      <wp:docPr id="529" name="Frame52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19710" cy="175260"/>
                      <wp:effectExtent l="0" t="0" r="0" b="0"/>
                      <wp:wrapNone/>
                      <wp:docPr id="530" name="Frame530"/>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539"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shd w:fill="auto" w:val="clear"/>
            <w:vAlign w:val="center"/>
          </w:tcPr>
          <w:p>
            <w:pPr>
              <w:pStyle w:val="TableContents"/>
              <w:spacing w:before="0" w:after="1"/>
              <w:ind w:left="0" w:right="0" w:hanging="0"/>
              <w:rPr/>
            </w:pPr>
            <w:r>
              <w:rPr/>
              <w:t>  </w: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7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91" w:type="dxa"/>
            <w:tcBorders/>
            <w:shd w:fill="auto" w:val="clear"/>
            <w:vAlign w:val="center"/>
          </w:tcPr>
          <w:p>
            <w:pPr>
              <w:pStyle w:val="TableContents"/>
              <w:spacing w:before="0" w:after="1"/>
              <w:ind w:left="0" w:right="0" w:hanging="0"/>
              <w:rPr/>
            </w:pPr>
            <w:r>
              <w:rPr/>
              <w:t>    </w:t>
            </w:r>
          </w:p>
        </w:tc>
        <w:tc>
          <w:tcPr>
            <w:tcW w:w="67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46" w:type="dxa"/>
            <w:tcBorders/>
            <w:shd w:fill="auto" w:val="clear"/>
            <w:vAlign w:val="center"/>
          </w:tcPr>
          <w:p>
            <w:pPr>
              <w:pStyle w:val="TableContents"/>
              <w:spacing w:before="0" w:after="1"/>
              <w:ind w:left="0" w:right="0" w:hanging="0"/>
              <w:rPr/>
            </w:pPr>
            <w:r>
              <w:rPr/>
              <w:t>​</w:t>
            </w:r>
          </w:p>
        </w:tc>
      </w:tr>
      <w:tr>
        <w:trPr/>
        <w:tc>
          <w:tcPr>
            <w:tcW w:w="7632"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539" w:type="dxa"/>
            <w:gridSpan w:val="9"/>
            <w:tcBorders/>
            <w:shd w:fill="auto" w:val="clear"/>
            <w:vAlign w:val="center"/>
          </w:tcPr>
          <w:p>
            <w:pPr>
              <w:pStyle w:val="TableContents"/>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46" w:type="dxa"/>
            <w:tcBorders/>
            <w:shd w:fill="auto" w:val="clear"/>
            <w:vAlign w:val="center"/>
          </w:tcPr>
          <w:p>
            <w:pPr>
              <w:pStyle w:val="TableContents"/>
              <w:spacing w:before="0" w:after="1"/>
              <w:ind w:left="0" w:right="0" w:hanging="0"/>
              <w:rPr/>
            </w:pPr>
            <w:r>
              <w:rPr/>
              <w:t>​</w:t>
            </w:r>
          </w:p>
        </w:tc>
      </w:tr>
      <w:tr>
        <w:trPr/>
        <w:tc>
          <w:tcPr>
            <w:tcW w:w="34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91"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46" w:type="dxa"/>
            <w:tcBorders/>
            <w:shd w:fill="CCEEFF" w:val="clear"/>
            <w:vAlign w:val="center"/>
          </w:tcPr>
          <w:p>
            <w:pPr>
              <w:pStyle w:val="TableContents"/>
              <w:spacing w:before="0" w:after="1"/>
              <w:ind w:left="0" w:right="0" w:hanging="0"/>
              <w:rPr/>
            </w:pPr>
            <w:r>
              <w:rPr/>
              <w:t> </w:t>
            </w:r>
          </w:p>
        </w:tc>
      </w:tr>
      <w:tr>
        <w:trPr/>
        <w:tc>
          <w:tcPr>
            <w:tcW w:w="34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Residential real estate revenue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88.9</w:t>
            </w:r>
          </w:p>
        </w:tc>
        <w:tc>
          <w:tcPr>
            <w:tcW w:w="3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and rural real estate revenue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revenue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Real estate revenue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35.0</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36.8</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346" w:type="dxa"/>
            <w:tcBorders/>
            <w:shd w:fill="auto" w:val="clear"/>
            <w:vAlign w:val="center"/>
          </w:tcPr>
          <w:p>
            <w:pPr>
              <w:pStyle w:val="TableContents"/>
              <w:spacing w:before="0" w:after="1"/>
              <w:ind w:left="0" w:right="0" w:hanging="0"/>
              <w:rPr/>
            </w:pPr>
            <w:r>
              <w:rPr/>
              <w:t>​</w:t>
            </w:r>
          </w:p>
        </w:tc>
      </w:tr>
      <w:tr>
        <w:trPr/>
        <w:tc>
          <w:tcPr>
            <w:tcW w:w="34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9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46" w:type="dxa"/>
            <w:tcBorders/>
            <w:shd w:fill="CCEEFF" w:val="clear"/>
            <w:vAlign w:val="center"/>
          </w:tcPr>
          <w:p>
            <w:pPr>
              <w:pStyle w:val="TableContents"/>
              <w:spacing w:before="0" w:after="1"/>
              <w:ind w:left="0" w:right="0" w:hanging="0"/>
              <w:rPr/>
            </w:pPr>
            <w:r>
              <w:rPr/>
              <w:t>​</w:t>
            </w:r>
          </w:p>
        </w:tc>
      </w:tr>
      <w:tr>
        <w:trPr/>
        <w:tc>
          <w:tcPr>
            <w:tcW w:w="34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Residential real estate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3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and rural real estate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c>
          <w:tcPr>
            <w:tcW w:w="3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42.3</w:t>
            </w:r>
          </w:p>
        </w:tc>
        <w:tc>
          <w:tcPr>
            <w:tcW w:w="3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21.5</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58.4</w:t>
            </w:r>
          </w:p>
        </w:tc>
        <w:tc>
          <w:tcPr>
            <w:tcW w:w="34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r>
    </w:tbl>
    <w:tbl>
      <w:tblPr>
        <w:tblW w:w="8042" w:type="dxa"/>
        <w:jc w:val="left"/>
        <w:tblInd w:w="0" w:type="dxa"/>
        <w:tblCellMar>
          <w:top w:w="0" w:type="dxa"/>
          <w:left w:w="0" w:type="dxa"/>
          <w:bottom w:w="0" w:type="dxa"/>
          <w:right w:w="0" w:type="dxa"/>
        </w:tblCellMar>
      </w:tblPr>
      <w:tblGrid>
        <w:gridCol w:w="331"/>
        <w:gridCol w:w="7711"/>
      </w:tblGrid>
      <w:tr>
        <w:trPr/>
        <w:tc>
          <w:tcPr>
            <w:tcW w:w="331" w:type="dxa"/>
            <w:tcBorders/>
            <w:shd w:fill="auto" w:val="clear"/>
            <w:vAlign w:val="center"/>
          </w:tcPr>
          <w:p>
            <w:pPr>
              <w:pStyle w:val="TableContents"/>
              <w:spacing w:before="0" w:after="283"/>
              <w:rPr>
                <w:rFonts w:ascii="Times New Roman;Times;serif" w:hAnsi="Times New Roman;Times;serif"/>
                <w:sz w:val="19"/>
              </w:rPr>
            </w:pPr>
            <w:r>
              <w:rPr>
                <w:rFonts w:ascii="Times New Roman;Times;serif" w:hAnsi="Times New Roman;Times;serif"/>
                <w:sz w:val="19"/>
              </w:rPr>
              <w:t>(a)</w:t>
            </w:r>
          </w:p>
        </w:tc>
        <w:tc>
          <w:tcPr>
            <w:tcW w:w="77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Calculated percentage of total real estate revenue and the respective gross margin percentage.</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Residential Real Estate Revenue and Gross Profit</w:t>
      </w:r>
      <w:r>
        <w:rPr>
          <w:rFonts w:ascii="Times New Roman;Times;serif" w:hAnsi="Times New Roman;Times;serif"/>
          <w:sz w:val="20"/>
        </w:rPr>
        <w:t>. During the three months ended March 31, 2023, residential real estate revenue decreased $4.7 million, or 14.4%, to $28.0 million, as compared to $32.7 million during the same period in 2022. During the three months ended March 31, 2023, residential real estate gross profit decreased $7.1 million to $11.8 million (or gross margin of 42.1%), as compared to $18.9 million (or gross margin of 57.8%) during the same period in 2022. During the three months ended March 31, 2023, we sold 327 homesites and had unimproved residential land sales of $0.6 million, compared to 181 homesites and unimproved residential land sales of $0.1 million during the same period in 2022. During the three months ended March 31, 2023 and 2022, the average revenue, excluding homesite residuals, per homesite sold was approximately $62,000 and $150,000, respectively. The decrease in average revenue per homesite sold during the current period was due to the mix of sales from different communities, primarily from sales in the Watersound Camp Creek and WaterColor communities, which had a higher volume during the prior period. The current period homesite sales also include the sale of 100 entitled but undeveloped homesites sold within the SouthWood community, which reduced the average price per homesite. The revenue, gross profit and margin for each period was impacted by the difference in pricing among the communities, the difference in the cost of the homesite development and the volume of sales within each of the communities. The number of homesites sold varied each period due to the timing of homebuilder contractual closing obligations in our residential communities.</w:t>
      </w:r>
    </w:p>
    <w:p>
      <w:pPr>
        <w:pStyle w:val="TextBody"/>
        <w:spacing w:before="0" w:after="240"/>
        <w:ind w:left="0" w:right="0" w:firstLine="360"/>
        <w:rPr>
          <w:rFonts w:ascii="Times New Roman;Times;serif" w:hAnsi="Times New Roman;Times;serif"/>
          <w:sz w:val="20"/>
        </w:rPr>
      </w:pPr>
      <w:bookmarkStart w:id="1922" w:name="_Hlk84931711"/>
      <w:bookmarkStart w:id="1923" w:name="_Hlk132180225"/>
      <w:bookmarkEnd w:id="1922"/>
      <w:bookmarkEnd w:id="1923"/>
      <w:r>
        <w:rPr>
          <w:rFonts w:ascii="Times New Roman;Times;serif" w:hAnsi="Times New Roman;Times;serif"/>
          <w:i/>
          <w:sz w:val="20"/>
        </w:rPr>
        <w:t>Commercial and Rural Real Estate Revenue and Gross Profit</w:t>
      </w:r>
      <w:r>
        <w:rPr>
          <w:rFonts w:ascii="Times New Roman;Times;serif" w:hAnsi="Times New Roman;Times;serif"/>
          <w:sz w:val="20"/>
        </w:rPr>
        <w:t>. During the three months ended March 31, 2023, we had nine commercial and rural real estate sales totaling approximately 54 acres for $5.7 million and land improvement services of $0.2 million, together resulting in a gross profit of $2.6 million (or gross margin of 44.1%). During the three months ended March 31, 2022, we had six commercial and rural real estate sales totaling approximately 13 acres for $3.3 million and land improvement services of $0.3 million, together resulting in a gross profit of $2.5 million (or gross margin of 69.4%). Revenue from commercial and rural real estate can vary significantly from period-to-period depending on the proximity to developed areas and mix of real estate sold in each period, with varying compositions of retail, office, industrial, rural and other commercial uses.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gross margin can vary significantly from period-to-period depending on the characteristics of property sold. Sales of rural and timber land typically have a lower cost basis than residential and commercial real estate sales. In addition, our cost basis in residential and commercial real estate can vary depending on the amount of development or other costs incurred on the property.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Other Revenue</w:t>
      </w:r>
      <w:r>
        <w:rPr>
          <w:rFonts w:ascii="Times New Roman;Times;serif" w:hAnsi="Times New Roman;Times;serif"/>
          <w:sz w:val="20"/>
        </w:rPr>
        <w:t>. Other revenue primarily consists of mitigation bank credit sales and title insurance business revenue.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1924" w:name="_Hlk77006382"/>
      <w:bookmarkEnd w:id="1924"/>
      <w:r>
        <w:rPr>
          <w:rFonts w:ascii="Times New Roman;Times;serif" w:hAnsi="Times New Roman;Times;serif"/>
          <w:b/>
          <w:i/>
          <w:sz w:val="20"/>
        </w:rPr>
        <w:t>Hospitality Revenue and Gross Profit</w:t>
      </w:r>
    </w:p>
    <w:tbl>
      <w:tblPr>
        <w:tblW w:w="4213" w:type="dxa"/>
        <w:jc w:val="left"/>
        <w:tblInd w:w="0" w:type="dxa"/>
        <w:tblCellMar>
          <w:top w:w="0" w:type="dxa"/>
          <w:left w:w="0" w:type="dxa"/>
          <w:bottom w:w="0" w:type="dxa"/>
          <w:right w:w="0" w:type="dxa"/>
        </w:tblCellMar>
      </w:tblPr>
      <w:tblGrid>
        <w:gridCol w:w="1726"/>
        <w:gridCol w:w="245"/>
        <w:gridCol w:w="542"/>
        <w:gridCol w:w="420"/>
        <w:gridCol w:w="126"/>
        <w:gridCol w:w="245"/>
        <w:gridCol w:w="542"/>
        <w:gridCol w:w="367"/>
      </w:tblGrid>
      <w:tr>
        <w:trPr/>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096010" cy="175260"/>
                      <wp:effectExtent l="0" t="0" r="0" b="0"/>
                      <wp:wrapNone/>
                      <wp:docPr id="531" name="Frame531"/>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55575" cy="175260"/>
                      <wp:effectExtent l="0" t="0" r="0" b="0"/>
                      <wp:wrapNone/>
                      <wp:docPr id="532" name="Frame532"/>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344170" cy="175260"/>
                      <wp:effectExtent l="0" t="0" r="0" b="0"/>
                      <wp:wrapNone/>
                      <wp:docPr id="533" name="Frame533"/>
                      <a:graphic xmlns:a="http://schemas.openxmlformats.org/drawingml/2006/main">
                        <a:graphicData uri="http://schemas.microsoft.com/office/word/2010/wordprocessingShape">
                          <wps:wsp>
                            <wps:cNvSpPr txBox="1"/>
                            <wps:spPr>
                              <a:xfrm>
                                <a:off x="0" y="0"/>
                                <a:ext cx="344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66700" cy="175260"/>
                      <wp:effectExtent l="0" t="0" r="0" b="0"/>
                      <wp:wrapNone/>
                      <wp:docPr id="534" name="Frame534"/>
                      <a:graphic xmlns:a="http://schemas.openxmlformats.org/drawingml/2006/main">
                        <a:graphicData uri="http://schemas.microsoft.com/office/word/2010/wordprocessingShape">
                          <wps:wsp>
                            <wps:cNvSpPr txBox="1"/>
                            <wps:spPr>
                              <a:xfrm>
                                <a:off x="0" y="0"/>
                                <a:ext cx="266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80010" cy="175260"/>
                      <wp:effectExtent l="0" t="0" r="0" b="0"/>
                      <wp:wrapNone/>
                      <wp:docPr id="535" name="Frame535"/>
                      <a:graphic xmlns:a="http://schemas.openxmlformats.org/drawingml/2006/main">
                        <a:graphicData uri="http://schemas.microsoft.com/office/word/2010/wordprocessingShape">
                          <wps:wsp>
                            <wps:cNvSpPr txBox="1"/>
                            <wps:spPr>
                              <a:xfrm>
                                <a:off x="0" y="0"/>
                                <a:ext cx="80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55575" cy="175260"/>
                      <wp:effectExtent l="0" t="0" r="0" b="0"/>
                      <wp:wrapNone/>
                      <wp:docPr id="536" name="Frame536"/>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344170" cy="175260"/>
                      <wp:effectExtent l="0" t="0" r="0" b="0"/>
                      <wp:wrapNone/>
                      <wp:docPr id="537" name="Frame537"/>
                      <a:graphic xmlns:a="http://schemas.openxmlformats.org/drawingml/2006/main">
                        <a:graphicData uri="http://schemas.microsoft.com/office/word/2010/wordprocessingShape">
                          <wps:wsp>
                            <wps:cNvSpPr txBox="1"/>
                            <wps:spPr>
                              <a:xfrm>
                                <a:off x="0" y="0"/>
                                <a:ext cx="344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33045" cy="175260"/>
                      <wp:effectExtent l="0" t="0" r="0" b="0"/>
                      <wp:wrapNone/>
                      <wp:docPr id="538" name="Frame538"/>
                      <a:graphic xmlns:a="http://schemas.openxmlformats.org/drawingml/2006/main">
                        <a:graphicData uri="http://schemas.microsoft.com/office/word/2010/wordprocessingShape">
                          <wps:wsp>
                            <wps:cNvSpPr txBox="1"/>
                            <wps:spPr>
                              <a:xfrm>
                                <a:off x="0" y="0"/>
                                <a:ext cx="233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26" w:type="dxa"/>
            <w:tcBorders/>
            <w:shd w:fill="auto" w:val="clear"/>
            <w:vAlign w:val="center"/>
          </w:tcPr>
          <w:p>
            <w:pPr>
              <w:pStyle w:val="TableContents"/>
              <w:spacing w:before="0" w:after="1"/>
              <w:ind w:left="0" w:right="0" w:hanging="0"/>
              <w:rPr/>
            </w:pPr>
            <w:r>
              <w:rPr/>
              <w:t>​</w:t>
            </w:r>
          </w:p>
        </w:tc>
        <w:tc>
          <w:tcPr>
            <w:tcW w:w="248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726" w:type="dxa"/>
            <w:tcBorders/>
            <w:shd w:fill="auto" w:val="clear"/>
            <w:vAlign w:val="center"/>
          </w:tcPr>
          <w:p>
            <w:pPr>
              <w:pStyle w:val="TableContents"/>
              <w:spacing w:before="0" w:after="1"/>
              <w:ind w:left="0" w:right="0" w:hanging="0"/>
              <w:rPr/>
            </w:pPr>
            <w:r>
              <w:rPr/>
              <w:t>​</w:t>
            </w:r>
          </w:p>
        </w:tc>
        <w:tc>
          <w:tcPr>
            <w:tcW w:w="1207"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6" w:type="dxa"/>
            <w:tcBorders/>
            <w:shd w:fill="auto" w:val="clear"/>
            <w:vAlign w:val="center"/>
          </w:tcPr>
          <w:p>
            <w:pPr>
              <w:pStyle w:val="TableContents"/>
              <w:spacing w:before="0" w:after="1"/>
              <w:ind w:left="0" w:right="0" w:hanging="0"/>
              <w:rPr/>
            </w:pPr>
            <w:r>
              <w:rPr/>
              <w:t>​</w:t>
            </w:r>
          </w:p>
        </w:tc>
        <w:tc>
          <w:tcPr>
            <w:tcW w:w="115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1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1726" w:type="dxa"/>
            <w:tcBorders/>
            <w:shd w:fill="auto" w:val="clear"/>
            <w:vAlign w:val="center"/>
          </w:tcPr>
          <w:p>
            <w:pPr>
              <w:pStyle w:val="TableContents"/>
              <w:spacing w:before="0" w:after="1"/>
              <w:ind w:left="0" w:right="0" w:hanging="0"/>
              <w:rPr/>
            </w:pPr>
            <w:r>
              <w:rPr/>
              <w:t>​</w:t>
            </w:r>
          </w:p>
        </w:tc>
        <w:tc>
          <w:tcPr>
            <w:tcW w:w="2487" w:type="dxa"/>
            <w:gridSpan w:val="7"/>
            <w:tcBorders/>
            <w:shd w:fill="auto" w:val="clear"/>
            <w:vAlign w:val="center"/>
          </w:tcPr>
          <w:p>
            <w:pPr>
              <w:pStyle w:val="TableContents"/>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Hospitality revenue</w:t>
            </w:r>
          </w:p>
        </w:tc>
        <w:tc>
          <w:tcPr>
            <w:tcW w:w="24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420" w:type="dxa"/>
            <w:tcBorders/>
            <w:shd w:fill="CCEEFF" w:val="clear"/>
            <w:vAlign w:val="center"/>
          </w:tcPr>
          <w:p>
            <w:pPr>
              <w:pStyle w:val="TableContents"/>
              <w:spacing w:before="0" w:after="1"/>
              <w:ind w:left="0" w:right="0" w:hanging="0"/>
              <w:rPr/>
            </w:pPr>
            <w:r>
              <w:rPr/>
              <w:t>​</w:t>
            </w:r>
          </w:p>
        </w:tc>
        <w:tc>
          <w:tcPr>
            <w:tcW w:w="126"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67" w:type="dxa"/>
            <w:tcBorders/>
            <w:shd w:fill="CCEEFF" w:val="clear"/>
            <w:vAlign w:val="center"/>
          </w:tcPr>
          <w:p>
            <w:pPr>
              <w:pStyle w:val="TableContents"/>
              <w:spacing w:before="0" w:after="1"/>
              <w:ind w:left="0" w:right="0" w:hanging="0"/>
              <w:jc w:val="right"/>
              <w:rPr/>
            </w:pPr>
            <w:r>
              <w:rPr/>
              <w:t>​</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24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20" w:type="dxa"/>
            <w:tcBorders/>
            <w:shd w:fill="auto" w:val="clear"/>
            <w:vAlign w:val="center"/>
          </w:tcPr>
          <w:p>
            <w:pPr>
              <w:pStyle w:val="TableContents"/>
              <w:spacing w:before="0" w:after="1"/>
              <w:ind w:left="0" w:right="0" w:hanging="0"/>
              <w:rPr/>
            </w:pPr>
            <w:r>
              <w:rPr/>
              <w:t>​</w:t>
            </w:r>
          </w:p>
        </w:tc>
        <w:tc>
          <w:tcPr>
            <w:tcW w:w="126" w:type="dxa"/>
            <w:tcBorders/>
            <w:shd w:fill="auto" w:val="clear"/>
            <w:vAlign w:val="center"/>
          </w:tcPr>
          <w:p>
            <w:pPr>
              <w:pStyle w:val="TableContents"/>
              <w:spacing w:before="0" w:after="1"/>
              <w:ind w:left="0" w:right="0" w:hanging="0"/>
              <w:rPr/>
            </w:pPr>
            <w:r>
              <w:rPr/>
              <w:t>​</w:t>
            </w:r>
          </w:p>
        </w:tc>
        <w:tc>
          <w:tcPr>
            <w:tcW w:w="24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7" w:type="dxa"/>
            <w:tcBorders/>
            <w:shd w:fill="auto" w:val="clear"/>
            <w:vAlign w:val="center"/>
          </w:tcPr>
          <w:p>
            <w:pPr>
              <w:pStyle w:val="TableContents"/>
              <w:spacing w:before="0" w:after="1"/>
              <w:ind w:left="0" w:right="0" w:hanging="0"/>
              <w:jc w:val="right"/>
              <w:rPr/>
            </w:pPr>
            <w:r>
              <w:rPr/>
              <w:t>​</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margin</w:t>
            </w:r>
          </w:p>
        </w:tc>
        <w:tc>
          <w:tcPr>
            <w:tcW w:w="245" w:type="dxa"/>
            <w:tcBorders/>
            <w:shd w:fill="CCEEFF" w:val="clear"/>
            <w:vAlign w:val="center"/>
          </w:tcPr>
          <w:p>
            <w:pPr>
              <w:pStyle w:val="TableContents"/>
              <w:spacing w:before="0" w:after="1"/>
              <w:ind w:left="0" w:right="0" w:hanging="0"/>
              <w:rPr/>
            </w:pPr>
            <w:r>
              <w:rPr/>
              <w:t> </w:t>
            </w:r>
          </w:p>
        </w:tc>
        <w:tc>
          <w:tcPr>
            <w:tcW w:w="5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4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26"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pPr>
            <w:r>
              <w:rPr/>
              <w:t> </w:t>
            </w:r>
          </w:p>
        </w:tc>
        <w:tc>
          <w:tcPr>
            <w:tcW w:w="5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6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120" w:after="240"/>
        <w:ind w:left="0" w:right="0" w:firstLine="360"/>
        <w:rPr>
          <w:rFonts w:ascii="Times New Roman;Times;serif" w:hAnsi="Times New Roman;Times;serif"/>
          <w:sz w:val="20"/>
        </w:rPr>
      </w:pPr>
      <w:r>
        <w:rPr>
          <w:rFonts w:ascii="Times New Roman;Times;serif" w:hAnsi="Times New Roman;Times;serif"/>
          <w:sz w:val="20"/>
        </w:rPr>
        <w:t>Hospitality revenue increased $8.2 million, or 50.3%, to $24.5 million during the three months ended March 31, 2023, as compared to $16.3 million in the same period in 2022. The increase in hospitality revenue was primarily related to the continued increase of club members, as well as an increase in lodging revenue from The Pearl Hotel, which we acquired in December 2022, the Homewood Suites by Hilton Panama City Beach, which opened in March 2022 and new WaterColor Inn suites, which opened in June 2022. The increase in hospitality revenue was also due to the opening of a standalone restaurant and marinas. As of March 31, 2023, Watersound Club had 2,653 members, compared with 2,271 members as of March 31, 2022, an increase of 382 members. Hospitality had a gross margin of 6.5% during the three months ended March 31, 2023, compared to 8.6% during the same period in 2022. The decrease in gross margin was primarily due to pre-opening expenses of $2.4 million in the current period associated with new hotels, which impacted gross margin by 9.8%.</w:t>
      </w:r>
    </w:p>
    <w:p>
      <w:pPr>
        <w:pStyle w:val="TextBody"/>
        <w:spacing w:before="0" w:after="240"/>
        <w:ind w:left="0" w:right="0" w:hanging="0"/>
        <w:rPr>
          <w:rFonts w:ascii="Times New Roman;Times;serif" w:hAnsi="Times New Roman;Times;serif"/>
          <w:b/>
          <w:i/>
          <w:sz w:val="20"/>
        </w:rPr>
      </w:pPr>
      <w:bookmarkStart w:id="1925" w:name="_Hlk84931731"/>
      <w:bookmarkStart w:id="1926" w:name="_Hlk108604274"/>
      <w:bookmarkEnd w:id="1925"/>
      <w:bookmarkEnd w:id="1926"/>
      <w:r>
        <w:rPr>
          <w:rFonts w:ascii="Times New Roman;Times;serif" w:hAnsi="Times New Roman;Times;serif"/>
          <w:b/>
          <w:i/>
          <w:sz w:val="20"/>
        </w:rPr>
        <w:t>Leasing Revenue and Gross Profit</w:t>
      </w:r>
    </w:p>
    <w:tbl>
      <w:tblPr>
        <w:tblW w:w="3943" w:type="dxa"/>
        <w:jc w:val="left"/>
        <w:tblInd w:w="0" w:type="dxa"/>
        <w:tblCellMar>
          <w:top w:w="0" w:type="dxa"/>
          <w:left w:w="0" w:type="dxa"/>
          <w:bottom w:w="0" w:type="dxa"/>
          <w:right w:w="0" w:type="dxa"/>
        </w:tblCellMar>
      </w:tblPr>
      <w:tblGrid>
        <w:gridCol w:w="1456"/>
        <w:gridCol w:w="235"/>
        <w:gridCol w:w="520"/>
        <w:gridCol w:w="403"/>
        <w:gridCol w:w="121"/>
        <w:gridCol w:w="235"/>
        <w:gridCol w:w="520"/>
        <w:gridCol w:w="453"/>
      </w:tblGrid>
      <w:tr>
        <w:trPr/>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924560" cy="175260"/>
                      <wp:effectExtent l="0" t="0" r="0" b="0"/>
                      <wp:wrapNone/>
                      <wp:docPr id="539" name="Frame539"/>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49225" cy="175260"/>
                      <wp:effectExtent l="0" t="0" r="0" b="0"/>
                      <wp:wrapNone/>
                      <wp:docPr id="540" name="Frame540"/>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330200" cy="175260"/>
                      <wp:effectExtent l="0" t="0" r="0" b="0"/>
                      <wp:wrapNone/>
                      <wp:docPr id="541" name="Frame541"/>
                      <a:graphic xmlns:a="http://schemas.openxmlformats.org/drawingml/2006/main">
                        <a:graphicData uri="http://schemas.microsoft.com/office/word/2010/wordprocessingShape">
                          <wps:wsp>
                            <wps:cNvSpPr txBox="1"/>
                            <wps:spPr>
                              <a:xfrm>
                                <a:off x="0" y="0"/>
                                <a:ext cx="330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55905" cy="175260"/>
                      <wp:effectExtent l="0" t="0" r="0" b="0"/>
                      <wp:wrapNone/>
                      <wp:docPr id="542" name="Frame542"/>
                      <a:graphic xmlns:a="http://schemas.openxmlformats.org/drawingml/2006/main">
                        <a:graphicData uri="http://schemas.microsoft.com/office/word/2010/wordprocessingShape">
                          <wps:wsp>
                            <wps:cNvSpPr txBox="1"/>
                            <wps:spPr>
                              <a:xfrm>
                                <a:off x="0" y="0"/>
                                <a:ext cx="255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76835" cy="175260"/>
                      <wp:effectExtent l="0" t="0" r="0" b="0"/>
                      <wp:wrapNone/>
                      <wp:docPr id="543" name="Frame543"/>
                      <a:graphic xmlns:a="http://schemas.openxmlformats.org/drawingml/2006/main">
                        <a:graphicData uri="http://schemas.microsoft.com/office/word/2010/wordprocessingShape">
                          <wps:wsp>
                            <wps:cNvSpPr txBox="1"/>
                            <wps:spPr>
                              <a:xfrm>
                                <a:off x="0" y="0"/>
                                <a:ext cx="76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49225" cy="175260"/>
                      <wp:effectExtent l="0" t="0" r="0" b="0"/>
                      <wp:wrapNone/>
                      <wp:docPr id="544" name="Frame544"/>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330200" cy="175260"/>
                      <wp:effectExtent l="0" t="0" r="0" b="0"/>
                      <wp:wrapNone/>
                      <wp:docPr id="545" name="Frame545"/>
                      <a:graphic xmlns:a="http://schemas.openxmlformats.org/drawingml/2006/main">
                        <a:graphicData uri="http://schemas.microsoft.com/office/word/2010/wordprocessingShape">
                          <wps:wsp>
                            <wps:cNvSpPr txBox="1"/>
                            <wps:spPr>
                              <a:xfrm>
                                <a:off x="0" y="0"/>
                                <a:ext cx="330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87655" cy="175260"/>
                      <wp:effectExtent l="0" t="0" r="0" b="0"/>
                      <wp:wrapNone/>
                      <wp:docPr id="546" name="Frame546"/>
                      <a:graphic xmlns:a="http://schemas.openxmlformats.org/drawingml/2006/main">
                        <a:graphicData uri="http://schemas.microsoft.com/office/word/2010/wordprocessingShape">
                          <wps:wsp>
                            <wps:cNvSpPr txBox="1"/>
                            <wps:spPr>
                              <a:xfrm>
                                <a:off x="0" y="0"/>
                                <a:ext cx="287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56" w:type="dxa"/>
            <w:tcBorders/>
            <w:shd w:fill="auto" w:val="clear"/>
            <w:vAlign w:val="center"/>
          </w:tcPr>
          <w:p>
            <w:pPr>
              <w:pStyle w:val="TableContents"/>
              <w:spacing w:before="0" w:after="0"/>
              <w:ind w:left="0" w:right="0" w:hanging="0"/>
              <w:rPr/>
            </w:pPr>
            <w:r>
              <w:rPr/>
              <w:t>​</w:t>
            </w:r>
          </w:p>
        </w:tc>
        <w:tc>
          <w:tcPr>
            <w:tcW w:w="248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456" w:type="dxa"/>
            <w:tcBorders/>
            <w:shd w:fill="auto" w:val="clear"/>
            <w:vAlign w:val="center"/>
          </w:tcPr>
          <w:p>
            <w:pPr>
              <w:pStyle w:val="TableContents"/>
              <w:spacing w:before="0" w:after="0"/>
              <w:ind w:left="0" w:right="0" w:hanging="0"/>
              <w:rPr/>
            </w:pPr>
            <w:r>
              <w:rPr/>
              <w:t>​</w:t>
            </w:r>
          </w:p>
        </w:tc>
        <w:tc>
          <w:tcPr>
            <w:tcW w:w="115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1" w:type="dxa"/>
            <w:tcBorders/>
            <w:shd w:fill="auto" w:val="clear"/>
            <w:vAlign w:val="center"/>
          </w:tcPr>
          <w:p>
            <w:pPr>
              <w:pStyle w:val="TableContents"/>
              <w:spacing w:before="0" w:after="0"/>
              <w:ind w:left="0" w:right="0" w:hanging="0"/>
              <w:rPr/>
            </w:pPr>
            <w:r>
              <w:rPr/>
              <w:t>​</w:t>
            </w:r>
          </w:p>
        </w:tc>
        <w:tc>
          <w:tcPr>
            <w:tcW w:w="120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4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1456" w:type="dxa"/>
            <w:tcBorders/>
            <w:shd w:fill="auto" w:val="clear"/>
            <w:vAlign w:val="center"/>
          </w:tcPr>
          <w:p>
            <w:pPr>
              <w:pStyle w:val="TableContents"/>
              <w:spacing w:before="0" w:after="0"/>
              <w:ind w:left="0" w:right="0" w:hanging="0"/>
              <w:rPr/>
            </w:pPr>
            <w:r>
              <w:rPr/>
              <w:t>​</w:t>
            </w:r>
          </w:p>
        </w:tc>
        <w:tc>
          <w:tcPr>
            <w:tcW w:w="2487" w:type="dxa"/>
            <w:gridSpan w:val="7"/>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1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Leasing revenue</w:t>
            </w:r>
          </w:p>
        </w:tc>
        <w:tc>
          <w:tcPr>
            <w:tcW w:w="2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403" w:type="dxa"/>
            <w:tcBorders/>
            <w:shd w:fill="CCEEFF" w:val="clear"/>
            <w:vAlign w:val="center"/>
          </w:tcPr>
          <w:p>
            <w:pPr>
              <w:pStyle w:val="TableContents"/>
              <w:spacing w:before="0" w:after="0"/>
              <w:ind w:left="0" w:right="0" w:hanging="0"/>
              <w:rPr/>
            </w:pPr>
            <w:r>
              <w:rPr/>
              <w:t>​</w:t>
            </w:r>
          </w:p>
        </w:tc>
        <w:tc>
          <w:tcPr>
            <w:tcW w:w="121"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53" w:type="dxa"/>
            <w:tcBorders/>
            <w:shd w:fill="CCEEFF" w:val="clear"/>
            <w:vAlign w:val="center"/>
          </w:tcPr>
          <w:p>
            <w:pPr>
              <w:pStyle w:val="TableContents"/>
              <w:spacing w:before="0" w:after="0"/>
              <w:ind w:left="0" w:right="0" w:hanging="0"/>
              <w:rPr/>
            </w:pPr>
            <w:r>
              <w:rPr/>
              <w:t>​</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403" w:type="dxa"/>
            <w:tcBorders/>
            <w:shd w:fill="auto" w:val="clear"/>
            <w:vAlign w:val="center"/>
          </w:tcPr>
          <w:p>
            <w:pPr>
              <w:pStyle w:val="TableContents"/>
              <w:spacing w:before="0" w:after="0"/>
              <w:ind w:left="0" w:right="0" w:hanging="0"/>
              <w:rPr/>
            </w:pPr>
            <w:r>
              <w:rPr/>
              <w:t>​</w:t>
            </w:r>
          </w:p>
        </w:tc>
        <w:tc>
          <w:tcPr>
            <w:tcW w:w="121"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53" w:type="dxa"/>
            <w:tcBorders/>
            <w:shd w:fill="auto" w:val="clear"/>
            <w:vAlign w:val="center"/>
          </w:tcPr>
          <w:p>
            <w:pPr>
              <w:pStyle w:val="TableContents"/>
              <w:spacing w:before="0" w:after="0"/>
              <w:ind w:left="0" w:right="0" w:hanging="0"/>
              <w:rPr/>
            </w:pPr>
            <w:r>
              <w:rPr/>
              <w:t>​</w:t>
            </w:r>
          </w:p>
        </w:tc>
      </w:tr>
      <w:tr>
        <w:trPr/>
        <w:tc>
          <w:tcPr>
            <w:tcW w:w="1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235"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4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21"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45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bookmarkStart w:id="1927" w:name="_Hlk132189317"/>
      <w:bookmarkEnd w:id="1927"/>
      <w:r>
        <w:rPr>
          <w:rFonts w:ascii="Times New Roman;Times;serif" w:hAnsi="Times New Roman;Times;serif"/>
          <w:sz w:val="20"/>
        </w:rPr>
        <w:t>Leasing revenue increased $3.0 million, or 34.1%, to $11.8 million during the three months ended March 31, 2023, as compared to $8.8 million in the same period in 2022. The increase was primarily due to new multi-family and senior living leases, as well as other new leases. Leasing gross margin was 54.2% during the three months ended March 31, 2023, as compared to 58.0% during the same period in 2022, primarily due to start-up and lease-up expenses for new assets, including the marinas, in the current period.</w:t>
      </w:r>
    </w:p>
    <w:p>
      <w:pPr>
        <w:pStyle w:val="TextBody"/>
        <w:spacing w:before="0" w:after="240"/>
        <w:ind w:left="0" w:right="0" w:hanging="0"/>
        <w:rPr>
          <w:rFonts w:ascii="Times New Roman;Times;serif" w:hAnsi="Times New Roman;Times;serif"/>
          <w:b/>
          <w:i/>
          <w:sz w:val="20"/>
        </w:rPr>
      </w:pPr>
      <w:bookmarkStart w:id="1928" w:name="_Hlk108604311"/>
      <w:bookmarkEnd w:id="1928"/>
      <w:r>
        <w:rPr>
          <w:rFonts w:ascii="Times New Roman;Times;serif" w:hAnsi="Times New Roman;Times;serif"/>
          <w:b/>
          <w:i/>
          <w:sz w:val="20"/>
        </w:rPr>
        <w:t>Timber Revenue and Gross Profit</w:t>
      </w:r>
    </w:p>
    <w:tbl>
      <w:tblPr>
        <w:tblW w:w="3883" w:type="dxa"/>
        <w:jc w:val="left"/>
        <w:tblInd w:w="0" w:type="dxa"/>
        <w:tblCellMar>
          <w:top w:w="0" w:type="dxa"/>
          <w:left w:w="0" w:type="dxa"/>
          <w:bottom w:w="0" w:type="dxa"/>
          <w:right w:w="0" w:type="dxa"/>
        </w:tblCellMar>
      </w:tblPr>
      <w:tblGrid>
        <w:gridCol w:w="1396"/>
        <w:gridCol w:w="235"/>
        <w:gridCol w:w="520"/>
        <w:gridCol w:w="403"/>
        <w:gridCol w:w="121"/>
        <w:gridCol w:w="235"/>
        <w:gridCol w:w="520"/>
        <w:gridCol w:w="453"/>
      </w:tblGrid>
      <w:tr>
        <w:trPr/>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886460" cy="175260"/>
                      <wp:effectExtent l="0" t="0" r="0" b="0"/>
                      <wp:wrapNone/>
                      <wp:docPr id="547" name="Frame547"/>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49225" cy="175260"/>
                      <wp:effectExtent l="0" t="0" r="0" b="0"/>
                      <wp:wrapNone/>
                      <wp:docPr id="548" name="Frame548"/>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330200" cy="175260"/>
                      <wp:effectExtent l="0" t="0" r="0" b="0"/>
                      <wp:wrapNone/>
                      <wp:docPr id="549" name="Frame549"/>
                      <a:graphic xmlns:a="http://schemas.openxmlformats.org/drawingml/2006/main">
                        <a:graphicData uri="http://schemas.microsoft.com/office/word/2010/wordprocessingShape">
                          <wps:wsp>
                            <wps:cNvSpPr txBox="1"/>
                            <wps:spPr>
                              <a:xfrm>
                                <a:off x="0" y="0"/>
                                <a:ext cx="3302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55905" cy="175260"/>
                      <wp:effectExtent l="0" t="0" r="0" b="0"/>
                      <wp:wrapNone/>
                      <wp:docPr id="550" name="Frame550"/>
                      <a:graphic xmlns:a="http://schemas.openxmlformats.org/drawingml/2006/main">
                        <a:graphicData uri="http://schemas.microsoft.com/office/word/2010/wordprocessingShape">
                          <wps:wsp>
                            <wps:cNvSpPr txBox="1"/>
                            <wps:spPr>
                              <a:xfrm>
                                <a:off x="0" y="0"/>
                                <a:ext cx="255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76835" cy="175260"/>
                      <wp:effectExtent l="0" t="0" r="0" b="0"/>
                      <wp:wrapNone/>
                      <wp:docPr id="551" name="Frame551"/>
                      <a:graphic xmlns:a="http://schemas.openxmlformats.org/drawingml/2006/main">
                        <a:graphicData uri="http://schemas.microsoft.com/office/word/2010/wordprocessingShape">
                          <wps:wsp>
                            <wps:cNvSpPr txBox="1"/>
                            <wps:spPr>
                              <a:xfrm>
                                <a:off x="0" y="0"/>
                                <a:ext cx="76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49225" cy="175260"/>
                      <wp:effectExtent l="0" t="0" r="0" b="0"/>
                      <wp:wrapNone/>
                      <wp:docPr id="552" name="Frame552"/>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330200" cy="175260"/>
                      <wp:effectExtent l="0" t="0" r="0" b="0"/>
                      <wp:wrapNone/>
                      <wp:docPr id="553" name="Frame553"/>
                      <a:graphic xmlns:a="http://schemas.openxmlformats.org/drawingml/2006/main">
                        <a:graphicData uri="http://schemas.microsoft.com/office/word/2010/wordprocessingShape">
                          <wps:wsp>
                            <wps:cNvSpPr txBox="1"/>
                            <wps:spPr>
                              <a:xfrm>
                                <a:off x="0" y="0"/>
                                <a:ext cx="3302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87655" cy="175260"/>
                      <wp:effectExtent l="0" t="0" r="0" b="0"/>
                      <wp:wrapNone/>
                      <wp:docPr id="554" name="Frame554"/>
                      <a:graphic xmlns:a="http://schemas.openxmlformats.org/drawingml/2006/main">
                        <a:graphicData uri="http://schemas.microsoft.com/office/word/2010/wordprocessingShape">
                          <wps:wsp>
                            <wps:cNvSpPr txBox="1"/>
                            <wps:spPr>
                              <a:xfrm>
                                <a:off x="0" y="0"/>
                                <a:ext cx="2876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96" w:type="dxa"/>
            <w:tcBorders/>
            <w:shd w:fill="auto" w:val="clear"/>
            <w:vAlign w:val="center"/>
          </w:tcPr>
          <w:p>
            <w:pPr>
              <w:pStyle w:val="TableContents"/>
              <w:spacing w:before="0" w:after="1"/>
              <w:ind w:left="0" w:right="0" w:hanging="0"/>
              <w:rPr/>
            </w:pPr>
            <w:r>
              <w:rPr/>
              <w:t>​</w:t>
            </w:r>
          </w:p>
        </w:tc>
        <w:tc>
          <w:tcPr>
            <w:tcW w:w="248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396" w:type="dxa"/>
            <w:tcBorders/>
            <w:shd w:fill="auto" w:val="clear"/>
            <w:vAlign w:val="center"/>
          </w:tcPr>
          <w:p>
            <w:pPr>
              <w:pStyle w:val="TableContents"/>
              <w:spacing w:before="0" w:after="1"/>
              <w:ind w:left="0" w:right="0" w:hanging="0"/>
              <w:rPr/>
            </w:pPr>
            <w:r>
              <w:rPr/>
              <w:t>​</w:t>
            </w:r>
          </w:p>
        </w:tc>
        <w:tc>
          <w:tcPr>
            <w:tcW w:w="115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1" w:type="dxa"/>
            <w:tcBorders/>
            <w:shd w:fill="auto" w:val="clear"/>
            <w:vAlign w:val="center"/>
          </w:tcPr>
          <w:p>
            <w:pPr>
              <w:pStyle w:val="TableContents"/>
              <w:spacing w:before="0" w:after="1"/>
              <w:ind w:left="0" w:right="0" w:hanging="0"/>
              <w:rPr/>
            </w:pPr>
            <w:r>
              <w:rPr/>
              <w:t>​</w:t>
            </w:r>
          </w:p>
        </w:tc>
        <w:tc>
          <w:tcPr>
            <w:tcW w:w="120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8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1396" w:type="dxa"/>
            <w:tcBorders/>
            <w:shd w:fill="auto" w:val="clear"/>
            <w:vAlign w:val="center"/>
          </w:tcPr>
          <w:p>
            <w:pPr>
              <w:pStyle w:val="TableContents"/>
              <w:spacing w:before="0" w:after="1"/>
              <w:ind w:left="0" w:right="0" w:hanging="0"/>
              <w:rPr/>
            </w:pPr>
            <w:r>
              <w:rPr/>
              <w:t>​</w:t>
            </w:r>
          </w:p>
        </w:tc>
        <w:tc>
          <w:tcPr>
            <w:tcW w:w="2487" w:type="dxa"/>
            <w:gridSpan w:val="7"/>
            <w:tcBorders/>
            <w:shd w:fill="auto" w:val="clear"/>
            <w:vAlign w:val="center"/>
          </w:tcPr>
          <w:p>
            <w:pPr>
              <w:pStyle w:val="TableContents"/>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13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Timber revenue</w:t>
            </w:r>
          </w:p>
        </w:tc>
        <w:tc>
          <w:tcPr>
            <w:tcW w:w="2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03" w:type="dxa"/>
            <w:tcBorders/>
            <w:shd w:fill="CCEEFF" w:val="clear"/>
            <w:vAlign w:val="center"/>
          </w:tcPr>
          <w:p>
            <w:pPr>
              <w:pStyle w:val="TableContents"/>
              <w:spacing w:before="0" w:after="1"/>
              <w:ind w:left="0" w:right="0" w:hanging="0"/>
              <w:rPr/>
            </w:pPr>
            <w:r>
              <w:rPr/>
              <w:t>​</w:t>
            </w:r>
          </w:p>
        </w:tc>
        <w:tc>
          <w:tcPr>
            <w:tcW w:w="121"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453" w:type="dxa"/>
            <w:tcBorders/>
            <w:shd w:fill="CCEEFF" w:val="clear"/>
            <w:vAlign w:val="center"/>
          </w:tcPr>
          <w:p>
            <w:pPr>
              <w:pStyle w:val="TableContents"/>
              <w:spacing w:before="0" w:after="1"/>
              <w:ind w:left="0" w:right="0" w:hanging="0"/>
              <w:rPr/>
            </w:pPr>
            <w:r>
              <w:rPr/>
              <w:t>​</w:t>
            </w:r>
          </w:p>
        </w:tc>
      </w:tr>
      <w:tr>
        <w:trPr/>
        <w:tc>
          <w:tcPr>
            <w:tcW w:w="13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2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03" w:type="dxa"/>
            <w:tcBorders/>
            <w:shd w:fill="auto" w:val="clear"/>
            <w:vAlign w:val="center"/>
          </w:tcPr>
          <w:p>
            <w:pPr>
              <w:pStyle w:val="TableContents"/>
              <w:spacing w:before="0" w:after="1"/>
              <w:ind w:left="0" w:right="0" w:hanging="0"/>
              <w:rPr/>
            </w:pPr>
            <w:r>
              <w:rPr/>
              <w:t>​</w:t>
            </w:r>
          </w:p>
        </w:tc>
        <w:tc>
          <w:tcPr>
            <w:tcW w:w="121"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53" w:type="dxa"/>
            <w:tcBorders/>
            <w:shd w:fill="auto" w:val="clear"/>
            <w:vAlign w:val="center"/>
          </w:tcPr>
          <w:p>
            <w:pPr>
              <w:pStyle w:val="TableContents"/>
              <w:spacing w:before="0" w:after="1"/>
              <w:ind w:left="0" w:right="0" w:hanging="0"/>
              <w:rPr/>
            </w:pPr>
            <w:r>
              <w:rPr/>
              <w:t>​</w:t>
            </w:r>
          </w:p>
        </w:tc>
      </w:tr>
      <w:tr>
        <w:trPr/>
        <w:tc>
          <w:tcPr>
            <w:tcW w:w="13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margin</w:t>
            </w:r>
          </w:p>
        </w:tc>
        <w:tc>
          <w:tcPr>
            <w:tcW w:w="235" w:type="dxa"/>
            <w:tcBorders/>
            <w:shd w:fill="CCEEFF" w:val="clear"/>
            <w:vAlign w:val="center"/>
          </w:tcPr>
          <w:p>
            <w:pPr>
              <w:pStyle w:val="TableContents"/>
              <w:spacing w:before="0" w:after="1"/>
              <w:ind w:left="0" w:right="0" w:hanging="0"/>
              <w:rPr/>
            </w:pPr>
            <w:r>
              <w:rPr/>
              <w:t> </w:t>
            </w:r>
          </w:p>
        </w:tc>
        <w:tc>
          <w:tcPr>
            <w:tcW w:w="52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40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21"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pPr>
            <w:r>
              <w:rPr/>
              <w:t> </w:t>
            </w:r>
          </w:p>
        </w:tc>
        <w:tc>
          <w:tcPr>
            <w:tcW w:w="52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45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Timber revenue decreased $1.3 million, or 43.3%, to $1.7 million during the three months ended March 31, 2023, as compared to $3.0 million in the same period in 2022. The decrease was primarily due to a decrease in prices and tons of wood products sold in the current period. There were 95,000 tons of wood products sold at an average price per ton of $16.44, during the three months ended March 31, 2023, as compared to 107,000 tons of wood products sold at an average price per ton of $26.63, during the same period in 2022. Timber gross margin was 88.2% during the three months ended March 31, 2023, as compared to 93.3% during the same period in 2022. The decrease was primarily due to the decreased volume and prices in the current period.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Corporate and Other Operating Expenses</w:t>
      </w:r>
    </w:p>
    <w:tbl>
      <w:tblPr>
        <w:tblW w:w="6464" w:type="dxa"/>
        <w:jc w:val="left"/>
        <w:tblInd w:w="0" w:type="dxa"/>
        <w:tblCellMar>
          <w:top w:w="0" w:type="dxa"/>
          <w:left w:w="0" w:type="dxa"/>
          <w:bottom w:w="0" w:type="dxa"/>
          <w:right w:w="0" w:type="dxa"/>
        </w:tblCellMar>
      </w:tblPr>
      <w:tblGrid>
        <w:gridCol w:w="3976"/>
        <w:gridCol w:w="333"/>
        <w:gridCol w:w="570"/>
        <w:gridCol w:w="515"/>
        <w:gridCol w:w="333"/>
        <w:gridCol w:w="737"/>
      </w:tblGrid>
      <w:tr>
        <w:trPr/>
        <w:tc>
          <w:tcPr>
            <w:tcW w:w="3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524760" cy="175260"/>
                      <wp:effectExtent l="0" t="0" r="0" b="0"/>
                      <wp:wrapNone/>
                      <wp:docPr id="555" name="Frame555"/>
                      <a:graphic xmlns:a="http://schemas.openxmlformats.org/drawingml/2006/main">
                        <a:graphicData uri="http://schemas.microsoft.com/office/word/2010/wordprocessingShape">
                          <wps:wsp>
                            <wps:cNvSpPr txBox="1"/>
                            <wps:spPr>
                              <a:xfrm>
                                <a:off x="0" y="0"/>
                                <a:ext cx="2524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1455" cy="175260"/>
                      <wp:effectExtent l="0" t="0" r="0" b="0"/>
                      <wp:wrapNone/>
                      <wp:docPr id="556" name="Frame556"/>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361950" cy="175260"/>
                      <wp:effectExtent l="0" t="0" r="0" b="0"/>
                      <wp:wrapNone/>
                      <wp:docPr id="557" name="Frame557"/>
                      <a:graphic xmlns:a="http://schemas.openxmlformats.org/drawingml/2006/main">
                        <a:graphicData uri="http://schemas.microsoft.com/office/word/2010/wordprocessingShape">
                          <wps:wsp>
                            <wps:cNvSpPr txBox="1"/>
                            <wps:spPr>
                              <a:xfrm>
                                <a:off x="0" y="0"/>
                                <a:ext cx="361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327025" cy="175260"/>
                      <wp:effectExtent l="0" t="0" r="0" b="0"/>
                      <wp:wrapNone/>
                      <wp:docPr id="558" name="Frame558"/>
                      <a:graphic xmlns:a="http://schemas.openxmlformats.org/drawingml/2006/main">
                        <a:graphicData uri="http://schemas.microsoft.com/office/word/2010/wordprocessingShape">
                          <wps:wsp>
                            <wps:cNvSpPr txBox="1"/>
                            <wps:spPr>
                              <a:xfrm>
                                <a:off x="0" y="0"/>
                                <a:ext cx="327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1455" cy="175260"/>
                      <wp:effectExtent l="0" t="0" r="0" b="0"/>
                      <wp:wrapNone/>
                      <wp:docPr id="559" name="Frame559"/>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67995" cy="175260"/>
                      <wp:effectExtent l="0" t="0" r="0" b="0"/>
                      <wp:wrapNone/>
                      <wp:docPr id="560" name="Frame560"/>
                      <a:graphic xmlns:a="http://schemas.openxmlformats.org/drawingml/2006/main">
                        <a:graphicData uri="http://schemas.microsoft.com/office/word/2010/wordprocessingShape">
                          <wps:wsp>
                            <wps:cNvSpPr txBox="1"/>
                            <wps:spPr>
                              <a:xfrm>
                                <a:off x="0" y="0"/>
                                <a:ext cx="467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76" w:type="dxa"/>
            <w:tcBorders/>
            <w:shd w:fill="auto" w:val="clear"/>
            <w:vAlign w:val="center"/>
          </w:tcPr>
          <w:p>
            <w:pPr>
              <w:pStyle w:val="TableContents"/>
              <w:spacing w:before="0" w:after="1"/>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976" w:type="dxa"/>
            <w:tcBorders/>
            <w:shd w:fill="auto" w:val="clear"/>
            <w:vAlign w:val="center"/>
          </w:tcPr>
          <w:p>
            <w:pPr>
              <w:pStyle w:val="TableContents"/>
              <w:spacing w:before="0" w:after="1"/>
              <w:ind w:left="0" w:right="0" w:hanging="0"/>
              <w:rPr/>
            </w:pPr>
            <w:r>
              <w:rPr/>
              <w:t>​</w:t>
            </w:r>
          </w:p>
        </w:tc>
        <w:tc>
          <w:tcPr>
            <w:tcW w:w="90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15" w:type="dxa"/>
            <w:tcBorders/>
            <w:shd w:fill="auto" w:val="clear"/>
            <w:vAlign w:val="center"/>
          </w:tcPr>
          <w:p>
            <w:pPr>
              <w:pStyle w:val="TableContents"/>
              <w:spacing w:before="0" w:after="1"/>
              <w:ind w:left="0" w:right="0" w:hanging="0"/>
              <w:jc w:val="center"/>
              <w:rPr/>
            </w:pPr>
            <w:r>
              <w:rPr/>
              <w:t>    </w:t>
            </w:r>
          </w:p>
        </w:tc>
        <w:tc>
          <w:tcPr>
            <w:tcW w:w="10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464"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3976" w:type="dxa"/>
            <w:tcBorders/>
            <w:shd w:fill="auto" w:val="clear"/>
            <w:vAlign w:val="center"/>
          </w:tcPr>
          <w:p>
            <w:pPr>
              <w:pStyle w:val="TableContents"/>
              <w:spacing w:before="0" w:after="1"/>
              <w:ind w:left="0" w:right="0" w:hanging="0"/>
              <w:rPr/>
            </w:pPr>
            <w:r>
              <w:rPr/>
              <w:t>​</w:t>
            </w:r>
          </w:p>
        </w:tc>
        <w:tc>
          <w:tcPr>
            <w:tcW w:w="2488" w:type="dxa"/>
            <w:gridSpan w:val="5"/>
            <w:tcBorders/>
            <w:shd w:fill="auto" w:val="clear"/>
            <w:vAlign w:val="center"/>
          </w:tcPr>
          <w:p>
            <w:pPr>
              <w:pStyle w:val="TableContents"/>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3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Employee costs</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515" w:type="dxa"/>
            <w:tcBorders/>
            <w:shd w:fill="CCEEFF" w:val="clear"/>
            <w:vAlign w:val="center"/>
          </w:tcPr>
          <w:p>
            <w:pPr>
              <w:pStyle w:val="TableContents"/>
              <w:spacing w:before="0" w:after="1"/>
              <w:ind w:left="0" w:right="0" w:hanging="0"/>
              <w:rPr/>
            </w:pPr>
            <w:r>
              <w:rPr/>
              <w:t>​</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9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taxes and insurance</w:t>
            </w:r>
          </w:p>
        </w:tc>
        <w:tc>
          <w:tcPr>
            <w:tcW w:w="333" w:type="dxa"/>
            <w:tcBorders/>
            <w:shd w:fill="auto" w:val="clear"/>
            <w:vAlign w:val="center"/>
          </w:tcPr>
          <w:p>
            <w:pPr>
              <w:pStyle w:val="TableContents"/>
              <w:spacing w:before="0" w:after="1"/>
              <w:ind w:left="0" w:right="0" w:hanging="0"/>
              <w:rPr/>
            </w:pPr>
            <w:r>
              <w:rPr/>
              <w:t> </w:t>
            </w:r>
          </w:p>
        </w:tc>
        <w:tc>
          <w:tcPr>
            <w:tcW w:w="5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515" w:type="dxa"/>
            <w:tcBorders/>
            <w:shd w:fill="auto" w:val="clear"/>
            <w:vAlign w:val="center"/>
          </w:tcPr>
          <w:p>
            <w:pPr>
              <w:pStyle w:val="TableContents"/>
              <w:spacing w:before="0" w:after="1"/>
              <w:ind w:left="0" w:right="0" w:hanging="0"/>
              <w:rPr/>
            </w:pPr>
            <w:r>
              <w:rPr/>
              <w:t>​</w:t>
            </w:r>
          </w:p>
        </w:tc>
        <w:tc>
          <w:tcPr>
            <w:tcW w:w="333" w:type="dxa"/>
            <w:tcBorders/>
            <w:shd w:fill="auto" w:val="clear"/>
            <w:vAlign w:val="center"/>
          </w:tcPr>
          <w:p>
            <w:pPr>
              <w:pStyle w:val="TableContents"/>
              <w:spacing w:before="0" w:after="1"/>
              <w:ind w:left="0" w:right="0" w:hanging="0"/>
              <w:rPr/>
            </w:pPr>
            <w:r>
              <w:rPr/>
              <w:t> </w:t>
            </w:r>
          </w:p>
        </w:tc>
        <w:tc>
          <w:tcPr>
            <w:tcW w:w="7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Professional fees</w:t>
            </w:r>
          </w:p>
        </w:tc>
        <w:tc>
          <w:tcPr>
            <w:tcW w:w="333" w:type="dxa"/>
            <w:tcBorders/>
            <w:shd w:fill="CCEEFF" w:val="clear"/>
            <w:vAlign w:val="center"/>
          </w:tcPr>
          <w:p>
            <w:pPr>
              <w:pStyle w:val="TableContents"/>
              <w:spacing w:before="0" w:after="1"/>
              <w:ind w:left="0" w:right="0" w:hanging="0"/>
              <w:rPr/>
            </w:pPr>
            <w:r>
              <w:rPr/>
              <w:t> </w:t>
            </w:r>
          </w:p>
        </w:tc>
        <w:tc>
          <w:tcPr>
            <w:tcW w:w="5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15" w:type="dxa"/>
            <w:tcBorders/>
            <w:shd w:fill="CCEEFF" w:val="clear"/>
            <w:vAlign w:val="center"/>
          </w:tcPr>
          <w:p>
            <w:pPr>
              <w:pStyle w:val="TableContents"/>
              <w:spacing w:before="0" w:after="1"/>
              <w:ind w:left="0" w:right="0" w:hanging="0"/>
              <w:rPr/>
            </w:pPr>
            <w:r>
              <w:rPr/>
              <w:t>​</w:t>
            </w:r>
          </w:p>
        </w:tc>
        <w:tc>
          <w:tcPr>
            <w:tcW w:w="333" w:type="dxa"/>
            <w:tcBorders/>
            <w:shd w:fill="CCEEFF" w:val="clear"/>
            <w:vAlign w:val="center"/>
          </w:tcPr>
          <w:p>
            <w:pPr>
              <w:pStyle w:val="TableContents"/>
              <w:spacing w:before="0" w:after="1"/>
              <w:ind w:left="0" w:right="0" w:hanging="0"/>
              <w:rPr/>
            </w:pPr>
            <w:r>
              <w:rPr/>
              <w:t> </w:t>
            </w:r>
          </w:p>
        </w:tc>
        <w:tc>
          <w:tcPr>
            <w:tcW w:w="7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9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Marketing and owner association costs</w:t>
            </w:r>
          </w:p>
        </w:tc>
        <w:tc>
          <w:tcPr>
            <w:tcW w:w="333" w:type="dxa"/>
            <w:tcBorders/>
            <w:shd w:fill="auto" w:val="clear"/>
            <w:vAlign w:val="center"/>
          </w:tcPr>
          <w:p>
            <w:pPr>
              <w:pStyle w:val="TableContents"/>
              <w:spacing w:before="0" w:after="1"/>
              <w:ind w:left="0" w:right="0" w:hanging="0"/>
              <w:rPr/>
            </w:pPr>
            <w:r>
              <w:rPr/>
              <w:t> </w:t>
            </w:r>
          </w:p>
        </w:tc>
        <w:tc>
          <w:tcPr>
            <w:tcW w:w="5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515" w:type="dxa"/>
            <w:tcBorders/>
            <w:shd w:fill="auto" w:val="clear"/>
            <w:vAlign w:val="center"/>
          </w:tcPr>
          <w:p>
            <w:pPr>
              <w:pStyle w:val="TableContents"/>
              <w:spacing w:before="0" w:after="1"/>
              <w:ind w:left="0" w:right="0" w:hanging="0"/>
              <w:rPr/>
            </w:pPr>
            <w:r>
              <w:rPr/>
              <w:t>​</w:t>
            </w:r>
          </w:p>
        </w:tc>
        <w:tc>
          <w:tcPr>
            <w:tcW w:w="333" w:type="dxa"/>
            <w:tcBorders/>
            <w:shd w:fill="auto" w:val="clear"/>
            <w:vAlign w:val="center"/>
          </w:tcPr>
          <w:p>
            <w:pPr>
              <w:pStyle w:val="TableContents"/>
              <w:spacing w:before="0" w:after="1"/>
              <w:ind w:left="0" w:right="0" w:hanging="0"/>
              <w:rPr/>
            </w:pPr>
            <w:r>
              <w:rPr/>
              <w:t> </w:t>
            </w:r>
          </w:p>
        </w:tc>
        <w:tc>
          <w:tcPr>
            <w:tcW w:w="7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Occupancy, repairs and maintenance</w:t>
            </w:r>
          </w:p>
        </w:tc>
        <w:tc>
          <w:tcPr>
            <w:tcW w:w="333" w:type="dxa"/>
            <w:tcBorders/>
            <w:shd w:fill="CCEEFF" w:val="clear"/>
            <w:vAlign w:val="center"/>
          </w:tcPr>
          <w:p>
            <w:pPr>
              <w:pStyle w:val="TableContents"/>
              <w:spacing w:before="0" w:after="1"/>
              <w:ind w:left="0" w:right="0" w:hanging="0"/>
              <w:rPr/>
            </w:pPr>
            <w:r>
              <w:rPr/>
              <w:t> </w:t>
            </w:r>
          </w:p>
        </w:tc>
        <w:tc>
          <w:tcPr>
            <w:tcW w:w="5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15" w:type="dxa"/>
            <w:tcBorders/>
            <w:shd w:fill="CCEEFF" w:val="clear"/>
            <w:vAlign w:val="center"/>
          </w:tcPr>
          <w:p>
            <w:pPr>
              <w:pStyle w:val="TableContents"/>
              <w:spacing w:before="0" w:after="1"/>
              <w:ind w:left="0" w:right="0" w:hanging="0"/>
              <w:rPr/>
            </w:pPr>
            <w:r>
              <w:rPr/>
              <w:t>​</w:t>
            </w:r>
          </w:p>
        </w:tc>
        <w:tc>
          <w:tcPr>
            <w:tcW w:w="333" w:type="dxa"/>
            <w:tcBorders/>
            <w:shd w:fill="CCEEFF" w:val="clear"/>
            <w:vAlign w:val="center"/>
          </w:tcPr>
          <w:p>
            <w:pPr>
              <w:pStyle w:val="TableContents"/>
              <w:spacing w:before="0" w:after="1"/>
              <w:ind w:left="0" w:right="0" w:hanging="0"/>
              <w:rPr/>
            </w:pPr>
            <w:r>
              <w:rPr/>
              <w:t> </w:t>
            </w:r>
          </w:p>
        </w:tc>
        <w:tc>
          <w:tcPr>
            <w:tcW w:w="7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9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miscellaneous</w:t>
            </w:r>
          </w:p>
        </w:tc>
        <w:tc>
          <w:tcPr>
            <w:tcW w:w="33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515" w:type="dxa"/>
            <w:tcBorders/>
            <w:shd w:fill="auto" w:val="clear"/>
            <w:vAlign w:val="center"/>
          </w:tcPr>
          <w:p>
            <w:pPr>
              <w:pStyle w:val="TableContents"/>
              <w:spacing w:before="0" w:after="1"/>
              <w:ind w:left="0" w:right="0" w:hanging="0"/>
              <w:rPr/>
            </w:pPr>
            <w:r>
              <w:rPr/>
              <w:t>​</w:t>
            </w:r>
          </w:p>
        </w:tc>
        <w:tc>
          <w:tcPr>
            <w:tcW w:w="33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397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corporate and other operating expenses</w:t>
            </w:r>
          </w:p>
        </w:tc>
        <w:tc>
          <w:tcPr>
            <w:tcW w:w="33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7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5.7</w:t>
            </w:r>
          </w:p>
        </w:tc>
        <w:tc>
          <w:tcPr>
            <w:tcW w:w="515" w:type="dxa"/>
            <w:tcBorders/>
            <w:shd w:fill="CCEEFF" w:val="clear"/>
            <w:vAlign w:val="center"/>
          </w:tcPr>
          <w:p>
            <w:pPr>
              <w:pStyle w:val="TableContents"/>
              <w:spacing w:before="0" w:after="1"/>
              <w:ind w:left="0" w:right="0" w:hanging="0"/>
              <w:rPr/>
            </w:pPr>
            <w:r>
              <w:rPr/>
              <w:t>​</w:t>
            </w:r>
          </w:p>
        </w:tc>
        <w:tc>
          <w:tcPr>
            <w:tcW w:w="33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37"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5.6</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Corporate and other operating expenses for the three months ended March 31, 2023 and 2022 were comparable.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Depreciation, Depletion and Amortization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Depreciation, depletion and amortization expense increased $2.3 million during the three months ended March 31, 2023, as compared to the same period in 2022, primarily due to new hospitality and commercial assets placed in service.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 Income,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Investment income, net primarily includes (i) interest and dividends earned and accretion of the net discount, (ii) interest income earned on the time deposit held by SPE and (iii) interest earned on mortgage notes receivable and other receivables as detailed in the table below:</w:t>
      </w:r>
    </w:p>
    <w:tbl>
      <w:tblPr>
        <w:tblW w:w="7454" w:type="dxa"/>
        <w:jc w:val="left"/>
        <w:tblInd w:w="0" w:type="dxa"/>
        <w:tblCellMar>
          <w:top w:w="0" w:type="dxa"/>
          <w:left w:w="0" w:type="dxa"/>
          <w:bottom w:w="0" w:type="dxa"/>
          <w:right w:w="0" w:type="dxa"/>
        </w:tblCellMar>
      </w:tblPr>
      <w:tblGrid>
        <w:gridCol w:w="4966"/>
        <w:gridCol w:w="333"/>
        <w:gridCol w:w="570"/>
        <w:gridCol w:w="515"/>
        <w:gridCol w:w="333"/>
        <w:gridCol w:w="737"/>
      </w:tblGrid>
      <w:tr>
        <w:trPr/>
        <w:tc>
          <w:tcPr>
            <w:tcW w:w="4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3153410" cy="175260"/>
                      <wp:effectExtent l="0" t="0" r="0" b="0"/>
                      <wp:wrapNone/>
                      <wp:docPr id="561" name="Frame561"/>
                      <a:graphic xmlns:a="http://schemas.openxmlformats.org/drawingml/2006/main">
                        <a:graphicData uri="http://schemas.microsoft.com/office/word/2010/wordprocessingShape">
                          <wps:wsp>
                            <wps:cNvSpPr txBox="1"/>
                            <wps:spPr>
                              <a:xfrm>
                                <a:off x="0" y="0"/>
                                <a:ext cx="3153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1455" cy="175260"/>
                      <wp:effectExtent l="0" t="0" r="0" b="0"/>
                      <wp:wrapNone/>
                      <wp:docPr id="562" name="Frame562"/>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361950" cy="175260"/>
                      <wp:effectExtent l="0" t="0" r="0" b="0"/>
                      <wp:wrapNone/>
                      <wp:docPr id="563" name="Frame563"/>
                      <a:graphic xmlns:a="http://schemas.openxmlformats.org/drawingml/2006/main">
                        <a:graphicData uri="http://schemas.microsoft.com/office/word/2010/wordprocessingShape">
                          <wps:wsp>
                            <wps:cNvSpPr txBox="1"/>
                            <wps:spPr>
                              <a:xfrm>
                                <a:off x="0" y="0"/>
                                <a:ext cx="361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27025" cy="175260"/>
                      <wp:effectExtent l="0" t="0" r="0" b="0"/>
                      <wp:wrapNone/>
                      <wp:docPr id="564" name="Frame564"/>
                      <a:graphic xmlns:a="http://schemas.openxmlformats.org/drawingml/2006/main">
                        <a:graphicData uri="http://schemas.microsoft.com/office/word/2010/wordprocessingShape">
                          <wps:wsp>
                            <wps:cNvSpPr txBox="1"/>
                            <wps:spPr>
                              <a:xfrm>
                                <a:off x="0" y="0"/>
                                <a:ext cx="3270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1455" cy="175260"/>
                      <wp:effectExtent l="0" t="0" r="0" b="0"/>
                      <wp:wrapNone/>
                      <wp:docPr id="565" name="Frame565"/>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67995" cy="175260"/>
                      <wp:effectExtent l="0" t="0" r="0" b="0"/>
                      <wp:wrapNone/>
                      <wp:docPr id="566" name="Frame566"/>
                      <a:graphic xmlns:a="http://schemas.openxmlformats.org/drawingml/2006/main">
                        <a:graphicData uri="http://schemas.microsoft.com/office/word/2010/wordprocessingShape">
                          <wps:wsp>
                            <wps:cNvSpPr txBox="1"/>
                            <wps:spPr>
                              <a:xfrm>
                                <a:off x="0" y="0"/>
                                <a:ext cx="467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66" w:type="dxa"/>
            <w:tcBorders/>
            <w:shd w:fill="auto" w:val="clear"/>
            <w:vAlign w:val="center"/>
          </w:tcPr>
          <w:p>
            <w:pPr>
              <w:pStyle w:val="TableContents"/>
              <w:spacing w:before="0" w:after="0"/>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966" w:type="dxa"/>
            <w:tcBorders/>
            <w:shd w:fill="auto" w:val="clear"/>
            <w:vAlign w:val="center"/>
          </w:tcPr>
          <w:p>
            <w:pPr>
              <w:pStyle w:val="TableContents"/>
              <w:spacing w:before="0" w:after="0"/>
              <w:ind w:left="0" w:right="0" w:hanging="0"/>
              <w:rPr/>
            </w:pPr>
            <w:r>
              <w:rPr/>
              <w:t>​</w:t>
            </w:r>
          </w:p>
        </w:tc>
        <w:tc>
          <w:tcPr>
            <w:tcW w:w="9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15" w:type="dxa"/>
            <w:tcBorders/>
            <w:shd w:fill="auto" w:val="clear"/>
            <w:vAlign w:val="center"/>
          </w:tcPr>
          <w:p>
            <w:pPr>
              <w:pStyle w:val="TableContents"/>
              <w:spacing w:before="0" w:after="0"/>
              <w:ind w:left="0" w:right="0" w:hanging="0"/>
              <w:jc w:val="center"/>
              <w:rPr/>
            </w:pPr>
            <w:r>
              <w:rPr/>
              <w:t>    </w:t>
            </w:r>
          </w:p>
        </w:tc>
        <w:tc>
          <w:tcPr>
            <w:tcW w:w="10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54"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4966" w:type="dxa"/>
            <w:tcBorders/>
            <w:shd w:fill="auto" w:val="clear"/>
            <w:vAlign w:val="center"/>
          </w:tcPr>
          <w:p>
            <w:pPr>
              <w:pStyle w:val="TableContents"/>
              <w:spacing w:before="0" w:after="0"/>
              <w:ind w:left="0" w:right="0" w:hanging="0"/>
              <w:rPr/>
            </w:pPr>
            <w:r>
              <w:rPr/>
              <w:t>​</w:t>
            </w:r>
          </w:p>
        </w:tc>
        <w:tc>
          <w:tcPr>
            <w:tcW w:w="2488" w:type="dxa"/>
            <w:gridSpan w:val="5"/>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9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dividend and accretion income</w:t>
            </w:r>
          </w:p>
        </w:tc>
        <w:tc>
          <w:tcPr>
            <w:tcW w:w="3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15" w:type="dxa"/>
            <w:tcBorders/>
            <w:shd w:fill="CCEEFF" w:val="clear"/>
            <w:vAlign w:val="center"/>
          </w:tcPr>
          <w:p>
            <w:pPr>
              <w:pStyle w:val="TableContents"/>
              <w:spacing w:before="0" w:after="0"/>
              <w:ind w:left="0" w:right="0" w:hanging="0"/>
              <w:rPr/>
            </w:pPr>
            <w:r>
              <w:rPr/>
              <w:t>​</w:t>
            </w:r>
          </w:p>
        </w:tc>
        <w:tc>
          <w:tcPr>
            <w:tcW w:w="3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from investments in special purpose entities</w:t>
            </w:r>
          </w:p>
        </w:tc>
        <w:tc>
          <w:tcPr>
            <w:tcW w:w="333" w:type="dxa"/>
            <w:tcBorders/>
            <w:shd w:fill="auto" w:val="clear"/>
            <w:vAlign w:val="center"/>
          </w:tcPr>
          <w:p>
            <w:pPr>
              <w:pStyle w:val="TableContents"/>
              <w:spacing w:before="0" w:after="0"/>
              <w:ind w:left="0" w:right="0" w:hanging="0"/>
              <w:rPr/>
            </w:pPr>
            <w:r>
              <w:rPr/>
              <w:t> </w:t>
            </w:r>
          </w:p>
        </w:tc>
        <w:tc>
          <w:tcPr>
            <w:tcW w:w="5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515" w:type="dxa"/>
            <w:tcBorders/>
            <w:shd w:fill="auto" w:val="clear"/>
            <w:vAlign w:val="center"/>
          </w:tcPr>
          <w:p>
            <w:pPr>
              <w:pStyle w:val="TableContents"/>
              <w:spacing w:before="0" w:after="0"/>
              <w:ind w:left="0" w:right="0" w:hanging="0"/>
              <w:rPr/>
            </w:pPr>
            <w:r>
              <w:rPr/>
              <w:t>​</w:t>
            </w:r>
          </w:p>
        </w:tc>
        <w:tc>
          <w:tcPr>
            <w:tcW w:w="333" w:type="dxa"/>
            <w:tcBorders/>
            <w:shd w:fill="auto" w:val="clear"/>
            <w:vAlign w:val="center"/>
          </w:tcPr>
          <w:p>
            <w:pPr>
              <w:pStyle w:val="TableContents"/>
              <w:spacing w:before="0" w:after="0"/>
              <w:ind w:left="0" w:right="0" w:hanging="0"/>
              <w:rPr/>
            </w:pPr>
            <w:r>
              <w:rPr/>
              <w:t> </w:t>
            </w:r>
          </w:p>
        </w:tc>
        <w:tc>
          <w:tcPr>
            <w:tcW w:w="7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9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earned on notes receivable and other interest</w:t>
            </w:r>
          </w:p>
        </w:tc>
        <w:tc>
          <w:tcPr>
            <w:tcW w:w="33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515" w:type="dxa"/>
            <w:tcBorders/>
            <w:shd w:fill="CCEEFF" w:val="clear"/>
            <w:vAlign w:val="center"/>
          </w:tcPr>
          <w:p>
            <w:pPr>
              <w:pStyle w:val="TableContents"/>
              <w:spacing w:before="0" w:after="0"/>
              <w:ind w:left="0" w:right="0" w:hanging="0"/>
              <w:rPr/>
            </w:pPr>
            <w:r>
              <w:rPr/>
              <w:t>​</w:t>
            </w:r>
          </w:p>
        </w:tc>
        <w:tc>
          <w:tcPr>
            <w:tcW w:w="33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9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investment income, net</w:t>
            </w:r>
          </w:p>
        </w:tc>
        <w:tc>
          <w:tcPr>
            <w:tcW w:w="33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57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c>
          <w:tcPr>
            <w:tcW w:w="515" w:type="dxa"/>
            <w:tcBorders/>
            <w:shd w:fill="auto" w:val="clear"/>
            <w:vAlign w:val="center"/>
          </w:tcPr>
          <w:p>
            <w:pPr>
              <w:pStyle w:val="TableContents"/>
              <w:spacing w:before="0" w:after="0"/>
              <w:ind w:left="0" w:right="0" w:hanging="0"/>
              <w:rPr/>
            </w:pPr>
            <w:r>
              <w:rPr/>
              <w:t>​</w:t>
            </w:r>
          </w:p>
        </w:tc>
        <w:tc>
          <w:tcPr>
            <w:tcW w:w="33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3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2.3</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Investment income, net increased $0.6 million to $2.9 million for the three months ended March 31, 2023, as compared to $2.3 million in the same period in 2022, primarily due to higher interest rates earned on our investments and cash equivalents in the current period.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Interest expense primarily includes interest incurred on project financing, the Senior Notes issued by Northwest Florida Timber Finance, LLC, CDD debt and finance leases, as well as amortization of debt discount and premium and debt issuance costs as detailed in the table below:</w:t>
      </w:r>
    </w:p>
    <w:tbl>
      <w:tblPr>
        <w:tblW w:w="10205" w:type="dxa"/>
        <w:jc w:val="left"/>
        <w:tblInd w:w="0" w:type="dxa"/>
        <w:tblCellMar>
          <w:top w:w="0" w:type="dxa"/>
          <w:left w:w="0" w:type="dxa"/>
          <w:bottom w:w="0" w:type="dxa"/>
          <w:right w:w="0" w:type="dxa"/>
        </w:tblCellMar>
      </w:tblPr>
      <w:tblGrid>
        <w:gridCol w:w="7879"/>
        <w:gridCol w:w="311"/>
        <w:gridCol w:w="532"/>
        <w:gridCol w:w="481"/>
        <w:gridCol w:w="311"/>
        <w:gridCol w:w="691"/>
      </w:tblGrid>
      <w:tr>
        <w:trPr/>
        <w:tc>
          <w:tcPr>
            <w:tcW w:w="78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5003165" cy="175260"/>
                      <wp:effectExtent l="0" t="0" r="0" b="0"/>
                      <wp:wrapNone/>
                      <wp:docPr id="567" name="Frame567"/>
                      <a:graphic xmlns:a="http://schemas.openxmlformats.org/drawingml/2006/main">
                        <a:graphicData uri="http://schemas.microsoft.com/office/word/2010/wordprocessingShape">
                          <wps:wsp>
                            <wps:cNvSpPr txBox="1"/>
                            <wps:spPr>
                              <a:xfrm>
                                <a:off x="0" y="0"/>
                                <a:ext cx="5003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97485" cy="175260"/>
                      <wp:effectExtent l="0" t="0" r="0" b="0"/>
                      <wp:wrapNone/>
                      <wp:docPr id="568" name="Frame568"/>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337820" cy="175260"/>
                      <wp:effectExtent l="0" t="0" r="0" b="0"/>
                      <wp:wrapNone/>
                      <wp:docPr id="569" name="Frame569"/>
                      <a:graphic xmlns:a="http://schemas.openxmlformats.org/drawingml/2006/main">
                        <a:graphicData uri="http://schemas.microsoft.com/office/word/2010/wordprocessingShape">
                          <wps:wsp>
                            <wps:cNvSpPr txBox="1"/>
                            <wps:spPr>
                              <a:xfrm>
                                <a:off x="0" y="0"/>
                                <a:ext cx="337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305435" cy="175260"/>
                      <wp:effectExtent l="0" t="0" r="0" b="0"/>
                      <wp:wrapNone/>
                      <wp:docPr id="570" name="Frame570"/>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97485" cy="175260"/>
                      <wp:effectExtent l="0" t="0" r="0" b="0"/>
                      <wp:wrapNone/>
                      <wp:docPr id="571" name="Frame571"/>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38785" cy="175260"/>
                      <wp:effectExtent l="0" t="0" r="0" b="0"/>
                      <wp:wrapNone/>
                      <wp:docPr id="572" name="Frame57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879" w:type="dxa"/>
            <w:tcBorders/>
            <w:shd w:fill="auto" w:val="clear"/>
            <w:vAlign w:val="center"/>
          </w:tcPr>
          <w:p>
            <w:pPr>
              <w:pStyle w:val="TableContents"/>
              <w:spacing w:before="0" w:after="0"/>
              <w:ind w:left="0" w:right="0" w:hanging="0"/>
              <w:rPr/>
            </w:pPr>
            <w:r>
              <w:rPr/>
              <w:t>​</w:t>
            </w:r>
          </w:p>
        </w:tc>
        <w:tc>
          <w:tcPr>
            <w:tcW w:w="232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879" w:type="dxa"/>
            <w:tcBorders/>
            <w:shd w:fill="auto" w:val="clear"/>
            <w:vAlign w:val="center"/>
          </w:tcPr>
          <w:p>
            <w:pPr>
              <w:pStyle w:val="TableContents"/>
              <w:spacing w:before="0" w:after="0"/>
              <w:ind w:left="0" w:right="0" w:hanging="0"/>
              <w:rPr/>
            </w:pPr>
            <w:r>
              <w:rPr/>
              <w:t>​</w:t>
            </w:r>
          </w:p>
        </w:tc>
        <w:tc>
          <w:tcPr>
            <w:tcW w:w="84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81" w:type="dxa"/>
            <w:tcBorders/>
            <w:shd w:fill="auto" w:val="clear"/>
            <w:vAlign w:val="center"/>
          </w:tcPr>
          <w:p>
            <w:pPr>
              <w:pStyle w:val="TableContents"/>
              <w:spacing w:before="0" w:after="0"/>
              <w:ind w:left="0" w:right="0" w:hanging="0"/>
              <w:jc w:val="center"/>
              <w:rPr/>
            </w:pPr>
            <w:r>
              <w:rPr/>
              <w:t>    </w:t>
            </w:r>
          </w:p>
        </w:tc>
        <w:tc>
          <w:tcPr>
            <w:tcW w:w="10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7879" w:type="dxa"/>
            <w:tcBorders/>
            <w:shd w:fill="auto" w:val="clear"/>
            <w:vAlign w:val="center"/>
          </w:tcPr>
          <w:p>
            <w:pPr>
              <w:pStyle w:val="TableContents"/>
              <w:spacing w:before="0" w:after="0"/>
              <w:ind w:left="0" w:right="0" w:hanging="0"/>
              <w:rPr/>
            </w:pPr>
            <w:r>
              <w:rPr/>
              <w:t>​</w:t>
            </w:r>
          </w:p>
        </w:tc>
        <w:tc>
          <w:tcPr>
            <w:tcW w:w="2326" w:type="dxa"/>
            <w:gridSpan w:val="5"/>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78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incurred for project financing and other interest expense</w:t>
            </w:r>
          </w:p>
        </w:tc>
        <w:tc>
          <w:tcPr>
            <w:tcW w:w="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81"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78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and amortization of discount and issuance costs for Senior Notes issued by special purpose entity</w:t>
            </w:r>
          </w:p>
        </w:tc>
        <w:tc>
          <w:tcPr>
            <w:tcW w:w="3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81" w:type="dxa"/>
            <w:tcBorders/>
            <w:shd w:fill="auto" w:val="clear"/>
            <w:vAlign w:val="center"/>
          </w:tcPr>
          <w:p>
            <w:pPr>
              <w:pStyle w:val="TableContents"/>
              <w:spacing w:before="0" w:after="0"/>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87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interest expense</w:t>
            </w:r>
          </w:p>
        </w:tc>
        <w:tc>
          <w:tcPr>
            <w:tcW w:w="3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5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6.2</w:t>
            </w:r>
          </w:p>
        </w:tc>
        <w:tc>
          <w:tcPr>
            <w:tcW w:w="481" w:type="dxa"/>
            <w:tcBorders/>
            <w:shd w:fill="CCEEFF" w:val="clear"/>
            <w:vAlign w:val="center"/>
          </w:tcPr>
          <w:p>
            <w:pPr>
              <w:pStyle w:val="TableContents"/>
              <w:spacing w:before="0" w:after="0"/>
              <w:ind w:left="0" w:right="0" w:hanging="0"/>
              <w:rPr/>
            </w:pPr>
            <w:r>
              <w:rPr/>
              <w:t>​</w:t>
            </w:r>
          </w:p>
        </w:tc>
        <w:tc>
          <w:tcPr>
            <w:tcW w:w="3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4.1</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Interest expense increased $2.1 million, or 51.2%, to $6.2 million during the three months ended March 31, 2023, as compared to $4.1 million in the same period in 2022. The increase in interest expense is primarily related to the increase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in project financing and higher interest rates. See Note 9. </w:t>
      </w:r>
      <w:r>
        <w:rPr>
          <w:rFonts w:ascii="Times New Roman;Times;serif" w:hAnsi="Times New Roman;Times;serif"/>
          <w:i/>
          <w:sz w:val="20"/>
        </w:rPr>
        <w:t>Debt, Net</w:t>
      </w:r>
      <w:r>
        <w:rPr>
          <w:rFonts w:ascii="Times New Roman;Times;serif" w:hAnsi="Times New Roman;Times;serif"/>
          <w:sz w:val="20"/>
        </w:rPr>
        <w:t xml:space="preserve"> for additional information regarding project financing.</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Gain on Contributions to Unconsolidated Joint Ventures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Gain on contributions to unconsolidated joint ventures includes gain on land and additional infrastructure improvements contributed to our unconsolidated JVs as detailed in the table below.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tbl>
      <w:tblPr>
        <w:tblW w:w="7334" w:type="dxa"/>
        <w:jc w:val="left"/>
        <w:tblInd w:w="0" w:type="dxa"/>
        <w:tblCellMar>
          <w:top w:w="0" w:type="dxa"/>
          <w:left w:w="0" w:type="dxa"/>
          <w:bottom w:w="0" w:type="dxa"/>
          <w:right w:w="0" w:type="dxa"/>
        </w:tblCellMar>
      </w:tblPr>
      <w:tblGrid>
        <w:gridCol w:w="4846"/>
        <w:gridCol w:w="333"/>
        <w:gridCol w:w="570"/>
        <w:gridCol w:w="515"/>
        <w:gridCol w:w="333"/>
        <w:gridCol w:w="737"/>
      </w:tblGrid>
      <w:tr>
        <w:trPr/>
        <w:tc>
          <w:tcPr>
            <w:tcW w:w="4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3077210" cy="175260"/>
                      <wp:effectExtent l="0" t="0" r="0" b="0"/>
                      <wp:wrapNone/>
                      <wp:docPr id="573" name="Frame573"/>
                      <a:graphic xmlns:a="http://schemas.openxmlformats.org/drawingml/2006/main">
                        <a:graphicData uri="http://schemas.microsoft.com/office/word/2010/wordprocessingShape">
                          <wps:wsp>
                            <wps:cNvSpPr txBox="1"/>
                            <wps:spPr>
                              <a:xfrm>
                                <a:off x="0" y="0"/>
                                <a:ext cx="3077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11455" cy="175260"/>
                      <wp:effectExtent l="0" t="0" r="0" b="0"/>
                      <wp:wrapNone/>
                      <wp:docPr id="574" name="Frame574"/>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61950" cy="175260"/>
                      <wp:effectExtent l="0" t="0" r="0" b="0"/>
                      <wp:wrapNone/>
                      <wp:docPr id="575" name="Frame575"/>
                      <a:graphic xmlns:a="http://schemas.openxmlformats.org/drawingml/2006/main">
                        <a:graphicData uri="http://schemas.microsoft.com/office/word/2010/wordprocessingShape">
                          <wps:wsp>
                            <wps:cNvSpPr txBox="1"/>
                            <wps:spPr>
                              <a:xfrm>
                                <a:off x="0" y="0"/>
                                <a:ext cx="361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327025" cy="175260"/>
                      <wp:effectExtent l="0" t="0" r="0" b="0"/>
                      <wp:wrapNone/>
                      <wp:docPr id="576" name="Frame576"/>
                      <a:graphic xmlns:a="http://schemas.openxmlformats.org/drawingml/2006/main">
                        <a:graphicData uri="http://schemas.microsoft.com/office/word/2010/wordprocessingShape">
                          <wps:wsp>
                            <wps:cNvSpPr txBox="1"/>
                            <wps:spPr>
                              <a:xfrm>
                                <a:off x="0" y="0"/>
                                <a:ext cx="3270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1455" cy="175260"/>
                      <wp:effectExtent l="0" t="0" r="0" b="0"/>
                      <wp:wrapNone/>
                      <wp:docPr id="577" name="Frame577"/>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467995" cy="175260"/>
                      <wp:effectExtent l="0" t="0" r="0" b="0"/>
                      <wp:wrapNone/>
                      <wp:docPr id="578" name="Frame578"/>
                      <a:graphic xmlns:a="http://schemas.openxmlformats.org/drawingml/2006/main">
                        <a:graphicData uri="http://schemas.microsoft.com/office/word/2010/wordprocessingShape">
                          <wps:wsp>
                            <wps:cNvSpPr txBox="1"/>
                            <wps:spPr>
                              <a:xfrm>
                                <a:off x="0" y="0"/>
                                <a:ext cx="467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46" w:type="dxa"/>
            <w:tcBorders/>
            <w:shd w:fill="auto" w:val="clear"/>
            <w:vAlign w:val="center"/>
          </w:tcPr>
          <w:p>
            <w:pPr>
              <w:pStyle w:val="TableContents"/>
              <w:spacing w:before="0" w:after="0"/>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846" w:type="dxa"/>
            <w:tcBorders/>
            <w:shd w:fill="auto" w:val="clear"/>
            <w:vAlign w:val="center"/>
          </w:tcPr>
          <w:p>
            <w:pPr>
              <w:pStyle w:val="TableContents"/>
              <w:spacing w:before="0" w:after="0"/>
              <w:ind w:left="0" w:right="0" w:hanging="0"/>
              <w:rPr/>
            </w:pPr>
            <w:r>
              <w:rPr/>
              <w:t>​</w:t>
            </w:r>
          </w:p>
        </w:tc>
        <w:tc>
          <w:tcPr>
            <w:tcW w:w="9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15" w:type="dxa"/>
            <w:tcBorders/>
            <w:shd w:fill="auto" w:val="clear"/>
            <w:vAlign w:val="center"/>
          </w:tcPr>
          <w:p>
            <w:pPr>
              <w:pStyle w:val="TableContents"/>
              <w:spacing w:before="0" w:after="0"/>
              <w:ind w:left="0" w:right="0" w:hanging="0"/>
              <w:jc w:val="center"/>
              <w:rPr/>
            </w:pPr>
            <w:r>
              <w:rPr/>
              <w:t>    </w:t>
            </w:r>
          </w:p>
        </w:tc>
        <w:tc>
          <w:tcPr>
            <w:tcW w:w="10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34"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4846" w:type="dxa"/>
            <w:tcBorders/>
            <w:shd w:fill="auto" w:val="clear"/>
            <w:vAlign w:val="center"/>
          </w:tcPr>
          <w:p>
            <w:pPr>
              <w:pStyle w:val="TableContents"/>
              <w:spacing w:before="0" w:after="0"/>
              <w:ind w:left="0" w:right="0" w:hanging="0"/>
              <w:rPr/>
            </w:pPr>
            <w:r>
              <w:rPr/>
              <w:t>​</w:t>
            </w:r>
          </w:p>
        </w:tc>
        <w:tc>
          <w:tcPr>
            <w:tcW w:w="2488" w:type="dxa"/>
            <w:gridSpan w:val="5"/>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84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3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15" w:type="dxa"/>
            <w:tcBorders/>
            <w:shd w:fill="CCEEFF" w:val="clear"/>
            <w:vAlign w:val="center"/>
          </w:tcPr>
          <w:p>
            <w:pPr>
              <w:pStyle w:val="TableContents"/>
              <w:spacing w:before="0" w:after="0"/>
              <w:ind w:left="0" w:right="0" w:hanging="0"/>
              <w:jc w:val="center"/>
              <w:rPr/>
            </w:pPr>
            <w:r>
              <w:rPr/>
              <w:t>​</w:t>
            </w:r>
          </w:p>
        </w:tc>
        <w:tc>
          <w:tcPr>
            <w:tcW w:w="3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84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Electric Cart Watersound JV </w:t>
            </w:r>
            <w:r>
              <w:rPr>
                <w:rFonts w:ascii="Times New Roman;Times;serif" w:hAnsi="Times New Roman;Times;serif"/>
                <w:sz w:val="15"/>
              </w:rPr>
              <w:t>(b)</w:t>
            </w:r>
          </w:p>
        </w:tc>
        <w:tc>
          <w:tcPr>
            <w:tcW w:w="3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15" w:type="dxa"/>
            <w:tcBorders/>
            <w:shd w:fill="auto" w:val="clear"/>
            <w:vAlign w:val="center"/>
          </w:tcPr>
          <w:p>
            <w:pPr>
              <w:pStyle w:val="TableContents"/>
              <w:spacing w:before="0" w:after="0"/>
              <w:ind w:left="0" w:right="0" w:hanging="0"/>
              <w:rPr/>
            </w:pPr>
            <w:r>
              <w:rPr/>
              <w:t>​</w:t>
            </w:r>
          </w:p>
        </w:tc>
        <w:tc>
          <w:tcPr>
            <w:tcW w:w="3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8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Gain on Contributions to Unconsolidated Joint Ventures</w:t>
            </w:r>
          </w:p>
        </w:tc>
        <w:tc>
          <w:tcPr>
            <w:tcW w:w="33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57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0.5</w:t>
            </w:r>
          </w:p>
        </w:tc>
        <w:tc>
          <w:tcPr>
            <w:tcW w:w="515" w:type="dxa"/>
            <w:tcBorders/>
            <w:shd w:fill="CCEEFF" w:val="clear"/>
            <w:vAlign w:val="center"/>
          </w:tcPr>
          <w:p>
            <w:pPr>
              <w:pStyle w:val="TableContents"/>
              <w:spacing w:before="0" w:after="0"/>
              <w:ind w:left="0" w:right="0" w:hanging="0"/>
              <w:rPr/>
            </w:pPr>
            <w:r>
              <w:rPr/>
              <w:t>​</w:t>
            </w:r>
          </w:p>
        </w:tc>
        <w:tc>
          <w:tcPr>
            <w:tcW w:w="33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3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0.5</w:t>
            </w:r>
          </w:p>
        </w:tc>
      </w:tr>
    </w:tbl>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three months ended March 31, 2023 and 2022, include a gain of $0.5 million and $0.1 million, respectively, on additional infrastructure improvements contributed.</w:t>
            </w:r>
          </w:p>
        </w:tc>
      </w:tr>
    </w:tbl>
    <w:tbl>
      <w:tblPr>
        <w:tblW w:w="6977" w:type="dxa"/>
        <w:jc w:val="left"/>
        <w:tblInd w:w="0" w:type="dxa"/>
        <w:tblCellMar>
          <w:top w:w="0" w:type="dxa"/>
          <w:left w:w="0" w:type="dxa"/>
          <w:bottom w:w="0" w:type="dxa"/>
          <w:right w:w="0" w:type="dxa"/>
        </w:tblCellMar>
      </w:tblPr>
      <w:tblGrid>
        <w:gridCol w:w="331"/>
        <w:gridCol w:w="6646"/>
      </w:tblGrid>
      <w:tr>
        <w:trPr/>
        <w:tc>
          <w:tcPr>
            <w:tcW w:w="33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66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three months ended March 31, 2022, include a gain of $0.4 million on land contributed.</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Equity in Income (Loss) from Unconsolidated Joint Ventures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Equity in income (loss) from unconsolidated joint ventures includes our proportionate share of earnings or losses of unconsolidated joint ventures accounted for by the equity method as detailed in the table below.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tbl>
      <w:tblPr>
        <w:tblW w:w="7979" w:type="dxa"/>
        <w:jc w:val="left"/>
        <w:tblInd w:w="0" w:type="dxa"/>
        <w:tblCellMar>
          <w:top w:w="0" w:type="dxa"/>
          <w:left w:w="0" w:type="dxa"/>
          <w:bottom w:w="0" w:type="dxa"/>
          <w:right w:w="0" w:type="dxa"/>
        </w:tblCellMar>
      </w:tblPr>
      <w:tblGrid>
        <w:gridCol w:w="5491"/>
        <w:gridCol w:w="341"/>
        <w:gridCol w:w="779"/>
        <w:gridCol w:w="176"/>
        <w:gridCol w:w="341"/>
        <w:gridCol w:w="851"/>
      </w:tblGrid>
      <w:tr>
        <w:trPr/>
        <w:tc>
          <w:tcPr>
            <w:tcW w:w="5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3486785" cy="175260"/>
                      <wp:effectExtent l="0" t="0" r="0" b="0"/>
                      <wp:wrapNone/>
                      <wp:docPr id="579" name="Frame579"/>
                      <a:graphic xmlns:a="http://schemas.openxmlformats.org/drawingml/2006/main">
                        <a:graphicData uri="http://schemas.microsoft.com/office/word/2010/wordprocessingShape">
                          <wps:wsp>
                            <wps:cNvSpPr txBox="1"/>
                            <wps:spPr>
                              <a:xfrm>
                                <a:off x="0" y="0"/>
                                <a:ext cx="3486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6535" cy="175260"/>
                      <wp:effectExtent l="0" t="0" r="0" b="0"/>
                      <wp:wrapNone/>
                      <wp:docPr id="580" name="Frame580"/>
                      <a:graphic xmlns:a="http://schemas.openxmlformats.org/drawingml/2006/main">
                        <a:graphicData uri="http://schemas.microsoft.com/office/word/2010/wordprocessingShape">
                          <wps:wsp>
                            <wps:cNvSpPr txBox="1"/>
                            <wps:spPr>
                              <a:xfrm>
                                <a:off x="0" y="0"/>
                                <a:ext cx="21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94665" cy="175260"/>
                      <wp:effectExtent l="0" t="0" r="0" b="0"/>
                      <wp:wrapNone/>
                      <wp:docPr id="581" name="Frame581"/>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11760" cy="175260"/>
                      <wp:effectExtent l="0" t="0" r="0" b="0"/>
                      <wp:wrapNone/>
                      <wp:docPr id="582" name="Frame582"/>
                      <a:graphic xmlns:a="http://schemas.openxmlformats.org/drawingml/2006/main">
                        <a:graphicData uri="http://schemas.microsoft.com/office/word/2010/wordprocessingShape">
                          <wps:wsp>
                            <wps:cNvSpPr txBox="1"/>
                            <wps:spPr>
                              <a:xfrm>
                                <a:off x="0" y="0"/>
                                <a:ext cx="111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6535" cy="175260"/>
                      <wp:effectExtent l="0" t="0" r="0" b="0"/>
                      <wp:wrapNone/>
                      <wp:docPr id="583" name="Frame583"/>
                      <a:graphic xmlns:a="http://schemas.openxmlformats.org/drawingml/2006/main">
                        <a:graphicData uri="http://schemas.microsoft.com/office/word/2010/wordprocessingShape">
                          <wps:wsp>
                            <wps:cNvSpPr txBox="1"/>
                            <wps:spPr>
                              <a:xfrm>
                                <a:off x="0" y="0"/>
                                <a:ext cx="21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540385" cy="175260"/>
                      <wp:effectExtent l="0" t="0" r="0" b="0"/>
                      <wp:wrapNone/>
                      <wp:docPr id="584" name="Frame584"/>
                      <a:graphic xmlns:a="http://schemas.openxmlformats.org/drawingml/2006/main">
                        <a:graphicData uri="http://schemas.microsoft.com/office/word/2010/wordprocessingShape">
                          <wps:wsp>
                            <wps:cNvSpPr txBox="1"/>
                            <wps:spPr>
                              <a:xfrm>
                                <a:off x="0" y="0"/>
                                <a:ext cx="540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91" w:type="dxa"/>
            <w:tcBorders/>
            <w:shd w:fill="auto" w:val="clear"/>
            <w:vAlign w:val="center"/>
          </w:tcPr>
          <w:p>
            <w:pPr>
              <w:pStyle w:val="TableContents"/>
              <w:spacing w:before="0" w:after="0"/>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491" w:type="dxa"/>
            <w:tcBorders/>
            <w:shd w:fill="auto" w:val="clear"/>
            <w:vAlign w:val="center"/>
          </w:tcPr>
          <w:p>
            <w:pPr>
              <w:pStyle w:val="TableContents"/>
              <w:spacing w:before="0" w:after="0"/>
              <w:ind w:left="0" w:right="0" w:hanging="0"/>
              <w:rPr/>
            </w:pPr>
            <w:r>
              <w:rPr/>
              <w:t>​</w:t>
            </w:r>
          </w:p>
        </w:tc>
        <w:tc>
          <w:tcPr>
            <w:tcW w:w="11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76" w:type="dxa"/>
            <w:tcBorders/>
            <w:shd w:fill="auto" w:val="clear"/>
            <w:vAlign w:val="center"/>
          </w:tcPr>
          <w:p>
            <w:pPr>
              <w:pStyle w:val="TableContents"/>
              <w:spacing w:before="0" w:after="0"/>
              <w:ind w:left="0" w:right="0" w:hanging="0"/>
              <w:rPr/>
            </w:pPr>
            <w:r>
              <w:rPr/>
              <w:t>​</w:t>
            </w:r>
          </w:p>
        </w:tc>
        <w:tc>
          <w:tcPr>
            <w:tcW w:w="11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979"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5491" w:type="dxa"/>
            <w:tcBorders/>
            <w:shd w:fill="auto" w:val="clear"/>
            <w:vAlign w:val="center"/>
          </w:tcPr>
          <w:p>
            <w:pPr>
              <w:pStyle w:val="TableContents"/>
              <w:spacing w:before="0" w:after="0"/>
              <w:ind w:left="0" w:right="0" w:hanging="0"/>
              <w:jc w:val="center"/>
              <w:rPr/>
            </w:pPr>
            <w:r>
              <w:rPr/>
              <w:t>​</w:t>
            </w:r>
          </w:p>
        </w:tc>
        <w:tc>
          <w:tcPr>
            <w:tcW w:w="2488" w:type="dxa"/>
            <w:gridSpan w:val="5"/>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549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7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549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Sea Sound JV </w:t>
            </w:r>
            <w:r>
              <w:rPr>
                <w:rFonts w:ascii="Times New Roman;Times;serif" w:hAnsi="Times New Roman;Times;serif"/>
                <w:sz w:val="15"/>
              </w:rPr>
              <w:t>(b)</w:t>
            </w:r>
          </w:p>
        </w:tc>
        <w:tc>
          <w:tcPr>
            <w:tcW w:w="341"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jc w:val="right"/>
              <w:rPr/>
            </w:pPr>
            <w:r>
              <w:rPr/>
              <w:t>—</w:t>
            </w:r>
          </w:p>
        </w:tc>
        <w:tc>
          <w:tcPr>
            <w:tcW w:w="176"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jc w:val="right"/>
              <w:rPr/>
            </w:pPr>
            <w:r>
              <w:rPr/>
              <w:t>—</w:t>
            </w:r>
          </w:p>
        </w:tc>
      </w:tr>
      <w:tr>
        <w:trPr/>
        <w:tc>
          <w:tcPr>
            <w:tcW w:w="5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Pier Park TPS JV</w:t>
            </w:r>
          </w:p>
        </w:tc>
        <w:tc>
          <w:tcPr>
            <w:tcW w:w="341" w:type="dxa"/>
            <w:tcBorders/>
            <w:shd w:fill="CCEEFF" w:val="clear"/>
            <w:vAlign w:val="center"/>
          </w:tcPr>
          <w:p>
            <w:pPr>
              <w:pStyle w:val="TableContents"/>
              <w:spacing w:before="0" w:after="0"/>
              <w:ind w:left="0" w:right="0" w:hanging="0"/>
              <w:rPr/>
            </w:pPr>
            <w:r>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7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8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Busy Bee JV</w:t>
            </w:r>
          </w:p>
        </w:tc>
        <w:tc>
          <w:tcPr>
            <w:tcW w:w="341"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76"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5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Electric Cart Watersound JV</w:t>
            </w:r>
          </w:p>
        </w:tc>
        <w:tc>
          <w:tcPr>
            <w:tcW w:w="341" w:type="dxa"/>
            <w:tcBorders/>
            <w:shd w:fill="CCEEFF" w:val="clear"/>
            <w:vAlign w:val="center"/>
          </w:tcPr>
          <w:p>
            <w:pPr>
              <w:pStyle w:val="TableContents"/>
              <w:spacing w:before="0" w:after="0"/>
              <w:ind w:left="0" w:right="0" w:hanging="0"/>
              <w:rPr/>
            </w:pPr>
            <w:r>
              <w:rPr/>
              <w:t>​</w:t>
            </w:r>
          </w:p>
        </w:tc>
        <w:tc>
          <w:tcPr>
            <w:tcW w:w="779" w:type="dxa"/>
            <w:tcBorders/>
            <w:shd w:fill="CCEEFF" w:val="clear"/>
            <w:vAlign w:val="center"/>
          </w:tcPr>
          <w:p>
            <w:pPr>
              <w:pStyle w:val="TableContents"/>
              <w:spacing w:before="0" w:after="0"/>
              <w:ind w:left="0" w:right="0" w:hanging="0"/>
              <w:jc w:val="right"/>
              <w:rPr/>
            </w:pPr>
            <w:r>
              <w:rPr/>
              <w:t>—</w:t>
            </w:r>
          </w:p>
        </w:tc>
        <w:tc>
          <w:tcPr>
            <w:tcW w:w="17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851" w:type="dxa"/>
            <w:tcBorders/>
            <w:shd w:fill="CCEEFF" w:val="clear"/>
            <w:vAlign w:val="center"/>
          </w:tcPr>
          <w:p>
            <w:pPr>
              <w:pStyle w:val="TableContents"/>
              <w:spacing w:before="0" w:after="0"/>
              <w:ind w:left="0" w:right="0" w:hanging="0"/>
              <w:jc w:val="right"/>
              <w:rPr/>
            </w:pPr>
            <w:r>
              <w:rPr/>
              <w:t>—</w:t>
            </w:r>
          </w:p>
        </w:tc>
      </w:tr>
      <w:tr>
        <w:trPr/>
        <w:tc>
          <w:tcPr>
            <w:tcW w:w="5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Watersound Management JV</w:t>
            </w:r>
          </w:p>
        </w:tc>
        <w:tc>
          <w:tcPr>
            <w:tcW w:w="3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7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76" w:type="dxa"/>
            <w:tcBorders/>
            <w:shd w:fill="auto" w:val="clear"/>
            <w:vAlign w:val="center"/>
          </w:tcPr>
          <w:p>
            <w:pPr>
              <w:pStyle w:val="TableContents"/>
              <w:spacing w:before="0" w:after="0"/>
              <w:ind w:left="0" w:right="0" w:hanging="0"/>
              <w:rPr/>
            </w:pPr>
            <w:r>
              <w:rPr/>
              <w:t>​</w:t>
            </w:r>
          </w:p>
        </w:tc>
        <w:tc>
          <w:tcPr>
            <w:tcW w:w="3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4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equity in income (loss) from unconsolidated joint ventures</w:t>
            </w:r>
          </w:p>
        </w:tc>
        <w:tc>
          <w:tcPr>
            <w:tcW w:w="3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7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176" w:type="dxa"/>
            <w:tcBorders/>
            <w:shd w:fill="CCEEFF" w:val="clear"/>
            <w:vAlign w:val="center"/>
          </w:tcPr>
          <w:p>
            <w:pPr>
              <w:pStyle w:val="TableContents"/>
              <w:spacing w:before="0" w:after="0"/>
              <w:ind w:left="0" w:right="0" w:hanging="0"/>
              <w:rPr/>
            </w:pPr>
            <w:r>
              <w:rPr/>
              <w:t>​</w:t>
            </w:r>
          </w:p>
        </w:tc>
        <w:tc>
          <w:tcPr>
            <w:tcW w:w="3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(0.5)</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During the three months ended March, 31, 2023 and 2022, the Latitude Margaritaville Watersound JV completed 149 and 18 homes sale transactions, respectively. </w:t>
            </w:r>
          </w:p>
        </w:tc>
      </w:tr>
    </w:tbl>
    <w:tbl>
      <w:tblPr>
        <w:tblW w:w="10205" w:type="dxa"/>
        <w:jc w:val="left"/>
        <w:tblInd w:w="0" w:type="dxa"/>
        <w:tblCellMar>
          <w:top w:w="0" w:type="dxa"/>
          <w:left w:w="0" w:type="dxa"/>
          <w:bottom w:w="0" w:type="dxa"/>
          <w:right w:w="0" w:type="dxa"/>
        </w:tblCellMar>
      </w:tblPr>
      <w:tblGrid>
        <w:gridCol w:w="325"/>
        <w:gridCol w:w="9880"/>
      </w:tblGrid>
      <w:tr>
        <w:trPr/>
        <w:tc>
          <w:tcPr>
            <w:tcW w:w="325"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88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 xml:space="preserve">In November 2022, the Sea Sound JV sold its assets to an unrelated third party and no longer has activity from operations. See Note 4. </w:t>
            </w:r>
            <w:r>
              <w:rPr>
                <w:rFonts w:ascii="Times New Roman;Times;serif" w:hAnsi="Times New Roman;Times;serif"/>
                <w:b w:val="false"/>
                <w:i/>
                <w:sz w:val="18"/>
              </w:rPr>
              <w:t>Joint Ventures</w:t>
            </w:r>
            <w:r>
              <w:rPr>
                <w:rFonts w:ascii="Times New Roman;Times;serif" w:hAnsi="Times New Roman;Times;serif"/>
                <w:b w:val="false"/>
                <w:i w:val="false"/>
                <w:caps w:val="false"/>
                <w:smallCaps w:val="false"/>
                <w:sz w:val="18"/>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Income (Expense),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income (expense), net primarily includes income from our retained interest investments, gain on insurance recoveries, loss from hurricane damage and other income and expense items as detailed in the table below:</w:t>
      </w:r>
    </w:p>
    <w:tbl>
      <w:tblPr>
        <w:tblW w:w="6840" w:type="dxa"/>
        <w:jc w:val="left"/>
        <w:tblInd w:w="0" w:type="dxa"/>
        <w:tblCellMar>
          <w:top w:w="0" w:type="dxa"/>
          <w:left w:w="0" w:type="dxa"/>
          <w:bottom w:w="0" w:type="dxa"/>
          <w:right w:w="0" w:type="dxa"/>
        </w:tblCellMar>
      </w:tblPr>
      <w:tblGrid>
        <w:gridCol w:w="4351"/>
        <w:gridCol w:w="321"/>
        <w:gridCol w:w="550"/>
        <w:gridCol w:w="496"/>
        <w:gridCol w:w="321"/>
        <w:gridCol w:w="801"/>
      </w:tblGrid>
      <w:tr>
        <w:trPr/>
        <w:tc>
          <w:tcPr>
            <w:tcW w:w="4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762885" cy="175260"/>
                      <wp:effectExtent l="0" t="0" r="0" b="0"/>
                      <wp:wrapNone/>
                      <wp:docPr id="585" name="Frame585"/>
                      <a:graphic xmlns:a="http://schemas.openxmlformats.org/drawingml/2006/main">
                        <a:graphicData uri="http://schemas.microsoft.com/office/word/2010/wordprocessingShape">
                          <wps:wsp>
                            <wps:cNvSpPr txBox="1"/>
                            <wps:spPr>
                              <a:xfrm>
                                <a:off x="0" y="0"/>
                                <a:ext cx="2762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3835" cy="175260"/>
                      <wp:effectExtent l="0" t="0" r="0" b="0"/>
                      <wp:wrapNone/>
                      <wp:docPr id="586" name="Frame586"/>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49250" cy="175260"/>
                      <wp:effectExtent l="0" t="0" r="0" b="0"/>
                      <wp:wrapNone/>
                      <wp:docPr id="587" name="Frame587"/>
                      <a:graphic xmlns:a="http://schemas.openxmlformats.org/drawingml/2006/main">
                        <a:graphicData uri="http://schemas.microsoft.com/office/word/2010/wordprocessingShape">
                          <wps:wsp>
                            <wps:cNvSpPr txBox="1"/>
                            <wps:spPr>
                              <a:xfrm>
                                <a:off x="0" y="0"/>
                                <a:ext cx="349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314960" cy="175260"/>
                      <wp:effectExtent l="0" t="0" r="0" b="0"/>
                      <wp:wrapNone/>
                      <wp:docPr id="588" name="Frame588"/>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3835" cy="175260"/>
                      <wp:effectExtent l="0" t="0" r="0" b="0"/>
                      <wp:wrapNone/>
                      <wp:docPr id="589" name="Frame589"/>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508635" cy="175260"/>
                      <wp:effectExtent l="0" t="0" r="0" b="0"/>
                      <wp:wrapNone/>
                      <wp:docPr id="590" name="Frame590"/>
                      <a:graphic xmlns:a="http://schemas.openxmlformats.org/drawingml/2006/main">
                        <a:graphicData uri="http://schemas.microsoft.com/office/word/2010/wordprocessingShape">
                          <wps:wsp>
                            <wps:cNvSpPr txBox="1"/>
                            <wps:spPr>
                              <a:xfrm>
                                <a:off x="0" y="0"/>
                                <a:ext cx="508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51" w:type="dxa"/>
            <w:tcBorders/>
            <w:shd w:fill="auto" w:val="clear"/>
            <w:vAlign w:val="center"/>
          </w:tcPr>
          <w:p>
            <w:pPr>
              <w:pStyle w:val="TableContents"/>
              <w:spacing w:before="0" w:after="0"/>
              <w:ind w:left="0" w:right="0" w:hanging="0"/>
              <w:rPr/>
            </w:pPr>
            <w:r>
              <w:rPr/>
              <w:t>​</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351" w:type="dxa"/>
            <w:tcBorders/>
            <w:shd w:fill="auto" w:val="clear"/>
            <w:vAlign w:val="center"/>
          </w:tcPr>
          <w:p>
            <w:pPr>
              <w:pStyle w:val="TableContents"/>
              <w:spacing w:before="0" w:after="0"/>
              <w:ind w:left="0" w:right="0" w:hanging="0"/>
              <w:rPr/>
            </w:pPr>
            <w:r>
              <w:rPr/>
              <w:t>​</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6" w:type="dxa"/>
            <w:tcBorders/>
            <w:shd w:fill="auto" w:val="clear"/>
            <w:vAlign w:val="center"/>
          </w:tcPr>
          <w:p>
            <w:pPr>
              <w:pStyle w:val="TableContents"/>
              <w:spacing w:before="0" w:after="0"/>
              <w:ind w:left="0" w:right="0" w:hanging="0"/>
              <w:jc w:val="center"/>
              <w:rPr/>
            </w:pPr>
            <w:r>
              <w:rPr/>
              <w:t>    </w:t>
            </w:r>
          </w:p>
        </w:tc>
        <w:tc>
          <w:tcPr>
            <w:tcW w:w="11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840"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4351" w:type="dxa"/>
            <w:tcBorders/>
            <w:shd w:fill="auto" w:val="clear"/>
            <w:vAlign w:val="center"/>
          </w:tcPr>
          <w:p>
            <w:pPr>
              <w:pStyle w:val="TableContents"/>
              <w:spacing w:before="0" w:after="0"/>
              <w:ind w:left="0" w:right="0" w:hanging="0"/>
              <w:rPr/>
            </w:pPr>
            <w:r>
              <w:rPr/>
              <w:t>​</w:t>
            </w:r>
          </w:p>
        </w:tc>
        <w:tc>
          <w:tcPr>
            <w:tcW w:w="2489" w:type="dxa"/>
            <w:gridSpan w:val="5"/>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Accretion income from retained interest investments</w:t>
            </w:r>
          </w:p>
        </w:tc>
        <w:tc>
          <w:tcPr>
            <w:tcW w:w="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9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insurance recoveries</w:t>
            </w:r>
          </w:p>
        </w:tc>
        <w:tc>
          <w:tcPr>
            <w:tcW w:w="321" w:type="dxa"/>
            <w:tcBorders/>
            <w:shd w:fill="auto" w:val="clear"/>
            <w:vAlign w:val="center"/>
          </w:tcPr>
          <w:p>
            <w:pPr>
              <w:pStyle w:val="TableContents"/>
              <w:spacing w:before="0" w:after="0"/>
              <w:ind w:left="0" w:right="0" w:hanging="0"/>
              <w:rPr/>
            </w:pPr>
            <w:r>
              <w:rPr/>
              <w:t>​</w:t>
            </w:r>
          </w:p>
        </w:tc>
        <w:tc>
          <w:tcPr>
            <w:tcW w:w="550" w:type="dxa"/>
            <w:tcBorders/>
            <w:shd w:fill="auto" w:val="clear"/>
            <w:vAlign w:val="center"/>
          </w:tcPr>
          <w:p>
            <w:pPr>
              <w:pStyle w:val="TableContents"/>
              <w:spacing w:before="0" w:after="0"/>
              <w:ind w:left="0" w:right="0" w:hanging="0"/>
              <w:jc w:val="right"/>
              <w:rPr/>
            </w:pPr>
            <w:r>
              <w:rPr/>
              <w:t>—</w:t>
            </w:r>
          </w:p>
        </w:tc>
        <w:tc>
          <w:tcPr>
            <w:tcW w:w="49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w:t>
            </w:r>
          </w:p>
        </w:tc>
        <w:tc>
          <w:tcPr>
            <w:tcW w:w="8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4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from hurricane damage</w:t>
            </w:r>
          </w:p>
        </w:tc>
        <w:tc>
          <w:tcPr>
            <w:tcW w:w="321" w:type="dxa"/>
            <w:tcBorders/>
            <w:shd w:fill="CCEEFF" w:val="clear"/>
            <w:vAlign w:val="center"/>
          </w:tcPr>
          <w:p>
            <w:pPr>
              <w:pStyle w:val="TableContents"/>
              <w:spacing w:before="0" w:after="0"/>
              <w:ind w:left="0" w:right="0" w:hanging="0"/>
              <w:rPr/>
            </w:pPr>
            <w:r>
              <w:rPr/>
              <w:t>​</w:t>
            </w:r>
          </w:p>
        </w:tc>
        <w:tc>
          <w:tcPr>
            <w:tcW w:w="550" w:type="dxa"/>
            <w:tcBorders/>
            <w:shd w:fill="CCEEFF" w:val="clear"/>
            <w:vAlign w:val="center"/>
          </w:tcPr>
          <w:p>
            <w:pPr>
              <w:pStyle w:val="TableContents"/>
              <w:spacing w:before="0" w:after="0"/>
              <w:ind w:left="0" w:right="0" w:hanging="0"/>
              <w:jc w:val="right"/>
              <w:rPr/>
            </w:pPr>
            <w:r>
              <w:rPr/>
              <w:t>—</w:t>
            </w:r>
          </w:p>
        </w:tc>
        <w:tc>
          <w:tcPr>
            <w:tcW w:w="49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pPr>
            <w:r>
              <w:rPr/>
              <w:t>​</w:t>
            </w:r>
          </w:p>
        </w:tc>
        <w:tc>
          <w:tcPr>
            <w:tcW w:w="801" w:type="dxa"/>
            <w:tcBorders/>
            <w:shd w:fill="CCEEFF" w:val="clear"/>
            <w:vAlign w:val="center"/>
          </w:tcPr>
          <w:p>
            <w:pPr>
              <w:pStyle w:val="TableContents"/>
              <w:spacing w:before="0" w:after="0"/>
              <w:ind w:left="0" w:right="0" w:hanging="0"/>
              <w:jc w:val="right"/>
              <w:rPr/>
            </w:pPr>
            <w:r>
              <w:rPr/>
              <w:t>—</w:t>
            </w:r>
          </w:p>
        </w:tc>
      </w:tr>
      <w:tr>
        <w:trPr/>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Miscellaneous income (expense), net</w:t>
            </w:r>
          </w:p>
        </w:tc>
        <w:tc>
          <w:tcPr>
            <w:tcW w:w="32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96" w:type="dxa"/>
            <w:tcBorders/>
            <w:shd w:fill="auto" w:val="clear"/>
            <w:vAlign w:val="center"/>
          </w:tcPr>
          <w:p>
            <w:pPr>
              <w:pStyle w:val="TableContents"/>
              <w:spacing w:before="0" w:after="0"/>
              <w:ind w:left="0" w:right="0" w:hanging="0"/>
              <w:rPr/>
            </w:pPr>
            <w:r>
              <w:rPr/>
              <w:t>​</w:t>
            </w:r>
          </w:p>
        </w:tc>
        <w:tc>
          <w:tcPr>
            <w:tcW w:w="32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3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income (expense), net</w:t>
            </w:r>
          </w:p>
        </w:tc>
        <w:tc>
          <w:tcPr>
            <w:tcW w:w="32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55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0.7</w:t>
            </w:r>
          </w:p>
        </w:tc>
        <w:tc>
          <w:tcPr>
            <w:tcW w:w="496" w:type="dxa"/>
            <w:tcBorders/>
            <w:shd w:fill="CCEEFF" w:val="clear"/>
            <w:vAlign w:val="center"/>
          </w:tcPr>
          <w:p>
            <w:pPr>
              <w:pStyle w:val="TableContents"/>
              <w:spacing w:before="0" w:after="0"/>
              <w:ind w:left="0" w:right="0" w:hanging="0"/>
              <w:rPr/>
            </w:pPr>
            <w:r>
              <w:rPr/>
              <w:t>​</w:t>
            </w:r>
          </w:p>
        </w:tc>
        <w:tc>
          <w:tcPr>
            <w:tcW w:w="32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(0.4)</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income (expense), net increased $1.1 million to income of $0.7 million during the three months ended March 31, 2023, as compared to expense of $0.4 million in the same period in 2022. The three months ended March 31, 2022, includes a gain on insurance recovery of $0.7 million, and loss from hurricane damage of less than $0.1 million related to Hurricane Michael. In November 2022, we closed out the insurance claim related to Hurricane Michael and therefore will not receive additional proceeds in future periods.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Miscellaneous income (expense), net during the three months ended March 31, 2023, includes income of $0.5 million related to a gain on retained interest investment. Miscellaneous income (expense), net during the three months ended March 31, 2022, includes $0.4 million of income received from the Pier Park CDD for repayment of subordinated notes and expenses of $1.1 million for design costs no longer pursued and $0.6 million for a homeowner’s association special assessment. </w:t>
      </w:r>
    </w:p>
    <w:p>
      <w:pPr>
        <w:pStyle w:val="TextBody"/>
        <w:spacing w:before="0" w:after="240"/>
        <w:ind w:left="0" w:right="0" w:hanging="0"/>
        <w:rPr>
          <w:rFonts w:ascii="Times New Roman;Times;serif" w:hAnsi="Times New Roman;Times;serif"/>
          <w:b/>
          <w:i/>
          <w:sz w:val="20"/>
        </w:rPr>
      </w:pPr>
      <w:bookmarkStart w:id="1929" w:name="_Hlk85471067"/>
      <w:bookmarkStart w:id="1930" w:name="_Hlk132630439"/>
      <w:bookmarkStart w:id="1931" w:name="_Hlk85289305"/>
      <w:bookmarkEnd w:id="1929"/>
      <w:bookmarkEnd w:id="1930"/>
      <w:bookmarkEnd w:id="1931"/>
      <w:r>
        <w:rPr>
          <w:rFonts w:ascii="Times New Roman;Times;serif" w:hAnsi="Times New Roman;Times;serif"/>
          <w:b/>
          <w:i/>
          <w:sz w:val="20"/>
        </w:rPr>
        <w:t>Income Tax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Income tax expense was $3.4 million during the three months ended March 31, 2023, as compared to $4.5 million during the same period in 2022. Our effective tax rate was 24.9% for the three months ended March 31, 2023, as compared to 25.3% during the same period in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effective rate for the three months ended March 31, 2023 and 2022, differed from the federal statutory rate of 21.0% primarily due to state income taxes and other permanent items. See Note 12. </w:t>
      </w:r>
      <w:r>
        <w:rPr>
          <w:rFonts w:ascii="Times New Roman;Times;serif" w:hAnsi="Times New Roman;Times;serif"/>
          <w:i/>
          <w:sz w:val="20"/>
        </w:rPr>
        <w:t>Income Taxes</w:t>
      </w:r>
      <w:r>
        <w:rPr>
          <w:rFonts w:ascii="Times New Roman;Times;serif" w:hAnsi="Times New Roman;Times;serif"/>
          <w:sz w:val="20"/>
        </w:rPr>
        <w:t xml:space="preserve"> for additional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932" w:name="_Hlk108602207"/>
      <w:bookmarkEnd w:id="1932"/>
      <w:r>
        <w:rPr>
          <w:rFonts w:ascii="Times New Roman;Times;serif" w:hAnsi="Times New Roman;Times;serif"/>
          <w:b/>
          <w:sz w:val="20"/>
        </w:rPr>
        <w:t>Segment Results</w:t>
      </w:r>
    </w:p>
    <w:p>
      <w:pPr>
        <w:pStyle w:val="TextBody"/>
        <w:spacing w:before="0" w:after="240"/>
        <w:ind w:left="0" w:right="0" w:hanging="0"/>
        <w:rPr>
          <w:rFonts w:ascii="Times New Roman;Times;serif" w:hAnsi="Times New Roman;Times;serif"/>
          <w:b/>
          <w:i/>
          <w:sz w:val="20"/>
        </w:rPr>
      </w:pPr>
      <w:bookmarkStart w:id="1933" w:name="_Hlk84937269"/>
      <w:bookmarkStart w:id="1934" w:name="_Hlk100678064"/>
      <w:bookmarkEnd w:id="1933"/>
      <w:bookmarkEnd w:id="1934"/>
      <w:r>
        <w:rPr>
          <w:rFonts w:ascii="Times New Roman;Times;serif" w:hAnsi="Times New Roman;Times;serif"/>
          <w:b/>
          <w:i/>
          <w:sz w:val="20"/>
        </w:rPr>
        <w:t>Residential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table below sets forth the consolidated results of operations of our residential segment:</w:t>
      </w:r>
    </w:p>
    <w:tbl>
      <w:tblPr>
        <w:tblW w:w="7396" w:type="dxa"/>
        <w:jc w:val="left"/>
        <w:tblInd w:w="0" w:type="dxa"/>
        <w:tblCellMar>
          <w:top w:w="0" w:type="dxa"/>
          <w:left w:w="0" w:type="dxa"/>
          <w:bottom w:w="0" w:type="dxa"/>
          <w:right w:w="0" w:type="dxa"/>
        </w:tblCellMar>
      </w:tblPr>
      <w:tblGrid>
        <w:gridCol w:w="4906"/>
        <w:gridCol w:w="292"/>
        <w:gridCol w:w="665"/>
        <w:gridCol w:w="451"/>
        <w:gridCol w:w="292"/>
        <w:gridCol w:w="790"/>
      </w:tblGrid>
      <w:tr>
        <w:trPr/>
        <w:tc>
          <w:tcPr>
            <w:tcW w:w="4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3115310" cy="175260"/>
                      <wp:effectExtent l="0" t="0" r="0" b="0"/>
                      <wp:wrapNone/>
                      <wp:docPr id="591" name="Frame591"/>
                      <a:graphic xmlns:a="http://schemas.openxmlformats.org/drawingml/2006/main">
                        <a:graphicData uri="http://schemas.microsoft.com/office/word/2010/wordprocessingShape">
                          <wps:wsp>
                            <wps:cNvSpPr txBox="1"/>
                            <wps:spPr>
                              <a:xfrm>
                                <a:off x="0" y="0"/>
                                <a:ext cx="311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85420" cy="175260"/>
                      <wp:effectExtent l="0" t="0" r="0" b="0"/>
                      <wp:wrapNone/>
                      <wp:docPr id="592" name="Frame592"/>
                      <a:graphic xmlns:a="http://schemas.openxmlformats.org/drawingml/2006/main">
                        <a:graphicData uri="http://schemas.microsoft.com/office/word/2010/wordprocessingShape">
                          <wps:wsp>
                            <wps:cNvSpPr txBox="1"/>
                            <wps:spPr>
                              <a:xfrm>
                                <a:off x="0" y="0"/>
                                <a:ext cx="185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422275" cy="175260"/>
                      <wp:effectExtent l="0" t="0" r="0" b="0"/>
                      <wp:wrapNone/>
                      <wp:docPr id="593" name="Frame593"/>
                      <a:graphic xmlns:a="http://schemas.openxmlformats.org/drawingml/2006/main">
                        <a:graphicData uri="http://schemas.microsoft.com/office/word/2010/wordprocessingShape">
                          <wps:wsp>
                            <wps:cNvSpPr txBox="1"/>
                            <wps:spPr>
                              <a:xfrm>
                                <a:off x="0" y="0"/>
                                <a:ext cx="422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86385" cy="175260"/>
                      <wp:effectExtent l="0" t="0" r="0" b="0"/>
                      <wp:wrapNone/>
                      <wp:docPr id="594" name="Frame594"/>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85420" cy="175260"/>
                      <wp:effectExtent l="0" t="0" r="0" b="0"/>
                      <wp:wrapNone/>
                      <wp:docPr id="595" name="Frame595"/>
                      <a:graphic xmlns:a="http://schemas.openxmlformats.org/drawingml/2006/main">
                        <a:graphicData uri="http://schemas.microsoft.com/office/word/2010/wordprocessingShape">
                          <wps:wsp>
                            <wps:cNvSpPr txBox="1"/>
                            <wps:spPr>
                              <a:xfrm>
                                <a:off x="0" y="0"/>
                                <a:ext cx="185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501650" cy="175260"/>
                      <wp:effectExtent l="0" t="0" r="0" b="0"/>
                      <wp:wrapNone/>
                      <wp:docPr id="596" name="Frame596"/>
                      <a:graphic xmlns:a="http://schemas.openxmlformats.org/drawingml/2006/main">
                        <a:graphicData uri="http://schemas.microsoft.com/office/word/2010/wordprocessingShape">
                          <wps:wsp>
                            <wps:cNvSpPr txBox="1"/>
                            <wps:spPr>
                              <a:xfrm>
                                <a:off x="0" y="0"/>
                                <a:ext cx="501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06" w:type="dxa"/>
            <w:tcBorders/>
            <w:shd w:fill="auto" w:val="clear"/>
            <w:vAlign w:val="center"/>
          </w:tcPr>
          <w:p>
            <w:pPr>
              <w:pStyle w:val="TableContents"/>
              <w:spacing w:before="0" w:after="0"/>
              <w:ind w:left="0" w:right="0" w:hanging="0"/>
              <w:rPr/>
            </w:pPr>
            <w:r>
              <w:rPr/>
              <w:t>​</w:t>
            </w:r>
          </w:p>
        </w:tc>
        <w:tc>
          <w:tcPr>
            <w:tcW w:w="24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906" w:type="dxa"/>
            <w:tcBorders/>
            <w:shd w:fill="auto" w:val="clear"/>
            <w:vAlign w:val="center"/>
          </w:tcPr>
          <w:p>
            <w:pPr>
              <w:pStyle w:val="TableContents"/>
              <w:spacing w:before="0" w:after="0"/>
              <w:ind w:left="0" w:right="0" w:hanging="0"/>
              <w:rPr/>
            </w:pPr>
            <w:r>
              <w:rPr/>
              <w:t>​</w:t>
            </w:r>
          </w:p>
        </w:tc>
        <w:tc>
          <w:tcPr>
            <w:tcW w:w="9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1" w:type="dxa"/>
            <w:tcBorders/>
            <w:shd w:fill="auto" w:val="clear"/>
            <w:vAlign w:val="center"/>
          </w:tcPr>
          <w:p>
            <w:pPr>
              <w:pStyle w:val="TableContents"/>
              <w:spacing w:before="0" w:after="0"/>
              <w:ind w:left="0" w:right="0" w:hanging="0"/>
              <w:jc w:val="center"/>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96"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4906" w:type="dxa"/>
            <w:tcBorders/>
            <w:shd w:fill="auto" w:val="clear"/>
            <w:vAlign w:val="center"/>
          </w:tcPr>
          <w:p>
            <w:pPr>
              <w:pStyle w:val="TableContents"/>
              <w:spacing w:before="0" w:after="0"/>
              <w:ind w:left="0" w:right="0" w:hanging="0"/>
              <w:rPr/>
            </w:pPr>
            <w:r>
              <w:rPr/>
              <w:t>​</w:t>
            </w:r>
          </w:p>
        </w:tc>
        <w:tc>
          <w:tcPr>
            <w:tcW w:w="2490" w:type="dxa"/>
            <w:gridSpan w:val="5"/>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292" w:type="dxa"/>
            <w:tcBorders/>
            <w:shd w:fill="CCEEFF" w:val="clear"/>
            <w:vAlign w:val="center"/>
          </w:tcPr>
          <w:p>
            <w:pPr>
              <w:pStyle w:val="TableContents"/>
              <w:spacing w:before="0" w:after="0"/>
              <w:ind w:left="0" w:right="0" w:hanging="0"/>
              <w:rPr/>
            </w:pPr>
            <w:r>
              <w:rPr/>
              <w:t>​</w:t>
            </w:r>
          </w:p>
        </w:tc>
        <w:tc>
          <w:tcPr>
            <w:tcW w:w="665" w:type="dxa"/>
            <w:tcBorders/>
            <w:shd w:fill="CCEEFF" w:val="clear"/>
            <w:vAlign w:val="center"/>
          </w:tcPr>
          <w:p>
            <w:pPr>
              <w:pStyle w:val="TableContents"/>
              <w:spacing w:before="0" w:after="0"/>
              <w:ind w:left="0" w:right="0" w:hanging="0"/>
              <w:jc w:val="right"/>
              <w:rPr/>
            </w:pPr>
            <w:r>
              <w:rPr/>
              <w:t>  </w:t>
            </w:r>
          </w:p>
        </w:tc>
        <w:tc>
          <w:tcPr>
            <w:tcW w:w="451" w:type="dxa"/>
            <w:tcBorders/>
            <w:shd w:fill="CCEEFF" w:val="clear"/>
            <w:vAlign w:val="center"/>
          </w:tcPr>
          <w:p>
            <w:pPr>
              <w:pStyle w:val="TableContents"/>
              <w:spacing w:before="0" w:after="0"/>
              <w:ind w:left="0" w:right="0" w:hanging="0"/>
              <w:rPr/>
            </w:pPr>
            <w:r>
              <w:rPr/>
              <w:t> </w:t>
            </w:r>
          </w:p>
        </w:tc>
        <w:tc>
          <w:tcPr>
            <w:tcW w:w="292"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  </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revenue</w:t>
            </w:r>
          </w:p>
        </w:tc>
        <w:tc>
          <w:tcPr>
            <w:tcW w:w="2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451" w:type="dxa"/>
            <w:tcBorders/>
            <w:shd w:fill="auto" w:val="clear"/>
            <w:vAlign w:val="center"/>
          </w:tcPr>
          <w:p>
            <w:pPr>
              <w:pStyle w:val="TableContents"/>
              <w:spacing w:before="0" w:after="0"/>
              <w:ind w:left="0" w:right="0" w:hanging="0"/>
              <w:rPr/>
            </w:pPr>
            <w:r>
              <w:rPr/>
              <w:t>​</w:t>
            </w:r>
          </w:p>
        </w:tc>
        <w:tc>
          <w:tcPr>
            <w:tcW w:w="2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revenue</w:t>
            </w:r>
          </w:p>
        </w:tc>
        <w:tc>
          <w:tcPr>
            <w:tcW w:w="29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51" w:type="dxa"/>
            <w:tcBorders/>
            <w:shd w:fill="CCEEFF" w:val="clear"/>
            <w:vAlign w:val="center"/>
          </w:tcPr>
          <w:p>
            <w:pPr>
              <w:pStyle w:val="TableContents"/>
              <w:spacing w:before="0" w:after="0"/>
              <w:ind w:left="0" w:right="0" w:hanging="0"/>
              <w:rPr/>
            </w:pPr>
            <w:r>
              <w:rPr/>
              <w:t>​</w:t>
            </w:r>
          </w:p>
        </w:tc>
        <w:tc>
          <w:tcPr>
            <w:tcW w:w="29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292" w:type="dxa"/>
            <w:tcBorders/>
            <w:shd w:fill="auto" w:val="clear"/>
            <w:vAlign w:val="center"/>
          </w:tcPr>
          <w:p>
            <w:pPr>
              <w:pStyle w:val="TableContents"/>
              <w:spacing w:before="0" w:after="0"/>
              <w:ind w:left="0" w:right="0" w:hanging="0"/>
              <w:rPr/>
            </w:pPr>
            <w:r>
              <w:rPr/>
              <w:t> </w:t>
            </w:r>
          </w:p>
        </w:tc>
        <w:tc>
          <w:tcPr>
            <w:tcW w:w="6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451" w:type="dxa"/>
            <w:tcBorders/>
            <w:shd w:fill="auto" w:val="clear"/>
            <w:vAlign w:val="center"/>
          </w:tcPr>
          <w:p>
            <w:pPr>
              <w:pStyle w:val="TableContents"/>
              <w:spacing w:before="0" w:after="0"/>
              <w:ind w:left="0" w:right="0" w:hanging="0"/>
              <w:rPr/>
            </w:pPr>
            <w:r>
              <w:rPr/>
              <w:t>​</w:t>
            </w:r>
          </w:p>
        </w:tc>
        <w:tc>
          <w:tcPr>
            <w:tcW w:w="292"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Expenses:</w:t>
            </w:r>
          </w:p>
        </w:tc>
        <w:tc>
          <w:tcPr>
            <w:tcW w:w="292"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0"/>
              <w:ind w:left="0" w:right="0" w:hanging="0"/>
              <w:jc w:val="right"/>
              <w:rPr/>
            </w:pPr>
            <w:r>
              <w:rPr/>
              <w:t>  </w:t>
            </w:r>
          </w:p>
        </w:tc>
        <w:tc>
          <w:tcPr>
            <w:tcW w:w="451" w:type="dxa"/>
            <w:tcBorders/>
            <w:shd w:fill="CCEEFF" w:val="clear"/>
            <w:vAlign w:val="center"/>
          </w:tcPr>
          <w:p>
            <w:pPr>
              <w:pStyle w:val="TableContents"/>
              <w:spacing w:before="0" w:after="0"/>
              <w:ind w:left="0" w:right="0" w:hanging="0"/>
              <w:rPr/>
            </w:pPr>
            <w:r>
              <w:rPr/>
              <w:t>​</w:t>
            </w:r>
          </w:p>
        </w:tc>
        <w:tc>
          <w:tcPr>
            <w:tcW w:w="292"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pPr>
            <w:r>
              <w:rPr/>
              <w:t>  </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real estate and other revenue</w:t>
            </w:r>
          </w:p>
        </w:tc>
        <w:tc>
          <w:tcPr>
            <w:tcW w:w="292" w:type="dxa"/>
            <w:tcBorders/>
            <w:shd w:fill="auto" w:val="clear"/>
            <w:vAlign w:val="center"/>
          </w:tcPr>
          <w:p>
            <w:pPr>
              <w:pStyle w:val="TableContents"/>
              <w:spacing w:before="0" w:after="0"/>
              <w:ind w:left="0" w:right="0" w:hanging="0"/>
              <w:rPr/>
            </w:pPr>
            <w:r>
              <w:rPr/>
              <w:t> </w:t>
            </w:r>
          </w:p>
        </w:tc>
        <w:tc>
          <w:tcPr>
            <w:tcW w:w="6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451" w:type="dxa"/>
            <w:tcBorders/>
            <w:shd w:fill="auto" w:val="clear"/>
            <w:vAlign w:val="center"/>
          </w:tcPr>
          <w:p>
            <w:pPr>
              <w:pStyle w:val="TableContents"/>
              <w:spacing w:before="0" w:after="0"/>
              <w:ind w:left="0" w:right="0" w:hanging="0"/>
              <w:rPr/>
            </w:pPr>
            <w:r>
              <w:rPr/>
              <w:t>​</w:t>
            </w:r>
          </w:p>
        </w:tc>
        <w:tc>
          <w:tcPr>
            <w:tcW w:w="292"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expenses</w:t>
            </w:r>
          </w:p>
        </w:tc>
        <w:tc>
          <w:tcPr>
            <w:tcW w:w="292"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51" w:type="dxa"/>
            <w:tcBorders/>
            <w:shd w:fill="CCEEFF" w:val="clear"/>
            <w:vAlign w:val="center"/>
          </w:tcPr>
          <w:p>
            <w:pPr>
              <w:pStyle w:val="TableContents"/>
              <w:spacing w:before="0" w:after="0"/>
              <w:ind w:left="0" w:right="0" w:hanging="0"/>
              <w:rPr/>
            </w:pPr>
            <w:r>
              <w:rPr/>
              <w:t>​</w:t>
            </w:r>
          </w:p>
        </w:tc>
        <w:tc>
          <w:tcPr>
            <w:tcW w:w="292"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depletion and amortization</w:t>
            </w:r>
          </w:p>
        </w:tc>
        <w:tc>
          <w:tcPr>
            <w:tcW w:w="29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451" w:type="dxa"/>
            <w:tcBorders/>
            <w:shd w:fill="auto" w:val="clear"/>
            <w:vAlign w:val="center"/>
          </w:tcPr>
          <w:p>
            <w:pPr>
              <w:pStyle w:val="TableContents"/>
              <w:spacing w:before="0" w:after="0"/>
              <w:ind w:left="0" w:right="0" w:hanging="0"/>
              <w:rPr/>
            </w:pPr>
            <w:r>
              <w:rPr/>
              <w:t>​</w:t>
            </w:r>
          </w:p>
        </w:tc>
        <w:tc>
          <w:tcPr>
            <w:tcW w:w="29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expenses</w:t>
            </w:r>
          </w:p>
        </w:tc>
        <w:tc>
          <w:tcPr>
            <w:tcW w:w="292"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451" w:type="dxa"/>
            <w:tcBorders/>
            <w:shd w:fill="CCEEFF" w:val="clear"/>
            <w:vAlign w:val="center"/>
          </w:tcPr>
          <w:p>
            <w:pPr>
              <w:pStyle w:val="TableContents"/>
              <w:spacing w:before="0" w:after="0"/>
              <w:ind w:left="0" w:right="0" w:hanging="0"/>
              <w:rPr/>
            </w:pPr>
            <w:r>
              <w:rPr/>
              <w:t>​</w:t>
            </w:r>
          </w:p>
        </w:tc>
        <w:tc>
          <w:tcPr>
            <w:tcW w:w="292"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income</w:t>
            </w:r>
          </w:p>
        </w:tc>
        <w:tc>
          <w:tcPr>
            <w:tcW w:w="292" w:type="dxa"/>
            <w:tcBorders/>
            <w:shd w:fill="auto" w:val="clear"/>
            <w:vAlign w:val="center"/>
          </w:tcPr>
          <w:p>
            <w:pPr>
              <w:pStyle w:val="TableContents"/>
              <w:spacing w:before="0" w:after="0"/>
              <w:ind w:left="0" w:right="0" w:hanging="0"/>
              <w:rPr/>
            </w:pPr>
            <w:r>
              <w:rPr/>
              <w:t> </w:t>
            </w:r>
          </w:p>
        </w:tc>
        <w:tc>
          <w:tcPr>
            <w:tcW w:w="6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51" w:type="dxa"/>
            <w:tcBorders/>
            <w:shd w:fill="auto" w:val="clear"/>
            <w:vAlign w:val="center"/>
          </w:tcPr>
          <w:p>
            <w:pPr>
              <w:pStyle w:val="TableContents"/>
              <w:spacing w:before="0" w:after="0"/>
              <w:ind w:left="0" w:right="0" w:hanging="0"/>
              <w:rPr/>
            </w:pPr>
            <w:r>
              <w:rPr/>
              <w:t>​</w:t>
            </w:r>
          </w:p>
        </w:tc>
        <w:tc>
          <w:tcPr>
            <w:tcW w:w="292"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w:t>
            </w:r>
          </w:p>
        </w:tc>
        <w:tc>
          <w:tcPr>
            <w:tcW w:w="292"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0"/>
              <w:ind w:left="0" w:right="0" w:hanging="0"/>
              <w:jc w:val="right"/>
              <w:rPr/>
            </w:pPr>
            <w:r>
              <w:rPr/>
              <w:t>  </w:t>
            </w:r>
          </w:p>
        </w:tc>
        <w:tc>
          <w:tcPr>
            <w:tcW w:w="451" w:type="dxa"/>
            <w:tcBorders/>
            <w:shd w:fill="CCEEFF" w:val="clear"/>
            <w:vAlign w:val="center"/>
          </w:tcPr>
          <w:p>
            <w:pPr>
              <w:pStyle w:val="TableContents"/>
              <w:spacing w:before="0" w:after="0"/>
              <w:ind w:left="0" w:right="0" w:hanging="0"/>
              <w:rPr/>
            </w:pPr>
            <w:r>
              <w:rPr/>
              <w:t>​</w:t>
            </w:r>
          </w:p>
        </w:tc>
        <w:tc>
          <w:tcPr>
            <w:tcW w:w="292"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pPr>
            <w:r>
              <w:rPr/>
              <w:t>  </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income, net</w:t>
            </w:r>
          </w:p>
        </w:tc>
        <w:tc>
          <w:tcPr>
            <w:tcW w:w="292"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51" w:type="dxa"/>
            <w:tcBorders/>
            <w:shd w:fill="auto" w:val="clear"/>
            <w:vAlign w:val="center"/>
          </w:tcPr>
          <w:p>
            <w:pPr>
              <w:pStyle w:val="TableContents"/>
              <w:spacing w:before="0" w:after="0"/>
              <w:ind w:left="0" w:right="0" w:hanging="0"/>
              <w:rPr/>
            </w:pPr>
            <w:r>
              <w:rPr/>
              <w:t>​</w:t>
            </w:r>
          </w:p>
        </w:tc>
        <w:tc>
          <w:tcPr>
            <w:tcW w:w="292"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292"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51" w:type="dxa"/>
            <w:tcBorders/>
            <w:shd w:fill="CCEEFF" w:val="clear"/>
            <w:vAlign w:val="center"/>
          </w:tcPr>
          <w:p>
            <w:pPr>
              <w:pStyle w:val="TableContents"/>
              <w:spacing w:before="0" w:after="0"/>
              <w:ind w:left="0" w:right="0" w:hanging="0"/>
              <w:rPr/>
            </w:pPr>
            <w:r>
              <w:rPr/>
              <w:t>​</w:t>
            </w:r>
          </w:p>
        </w:tc>
        <w:tc>
          <w:tcPr>
            <w:tcW w:w="292"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292"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51" w:type="dxa"/>
            <w:tcBorders/>
            <w:shd w:fill="auto" w:val="clear"/>
            <w:vAlign w:val="center"/>
          </w:tcPr>
          <w:p>
            <w:pPr>
              <w:pStyle w:val="TableContents"/>
              <w:spacing w:before="0" w:after="0"/>
              <w:ind w:left="0" w:right="0" w:hanging="0"/>
              <w:rPr/>
            </w:pPr>
            <w:r>
              <w:rPr/>
              <w:t>​</w:t>
            </w:r>
          </w:p>
        </w:tc>
        <w:tc>
          <w:tcPr>
            <w:tcW w:w="292"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pPr>
            <w:r>
              <w:rPr/>
              <w:t>—</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 income (loss) from unconsolidated joint ventures</w:t>
            </w:r>
          </w:p>
        </w:tc>
        <w:tc>
          <w:tcPr>
            <w:tcW w:w="292" w:type="dxa"/>
            <w:tcBorders/>
            <w:shd w:fill="CCEEFF" w:val="clear"/>
            <w:vAlign w:val="center"/>
          </w:tcPr>
          <w:p>
            <w:pPr>
              <w:pStyle w:val="TableContents"/>
              <w:spacing w:before="0" w:after="0"/>
              <w:ind w:left="0" w:right="0" w:hanging="0"/>
              <w:rPr/>
            </w:pPr>
            <w:r>
              <w:rPr/>
              <w:t>​</w:t>
            </w:r>
          </w:p>
        </w:tc>
        <w:tc>
          <w:tcPr>
            <w:tcW w:w="6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51" w:type="dxa"/>
            <w:tcBorders/>
            <w:shd w:fill="CCEEFF" w:val="clear"/>
            <w:vAlign w:val="center"/>
          </w:tcPr>
          <w:p>
            <w:pPr>
              <w:pStyle w:val="TableContents"/>
              <w:spacing w:before="0" w:after="0"/>
              <w:ind w:left="0" w:right="0" w:hanging="0"/>
              <w:rPr/>
            </w:pPr>
            <w:r>
              <w:rPr/>
              <w:t>​</w:t>
            </w:r>
          </w:p>
        </w:tc>
        <w:tc>
          <w:tcPr>
            <w:tcW w:w="292"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29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51" w:type="dxa"/>
            <w:tcBorders/>
            <w:shd w:fill="auto" w:val="clear"/>
            <w:vAlign w:val="center"/>
          </w:tcPr>
          <w:p>
            <w:pPr>
              <w:pStyle w:val="TableContents"/>
              <w:spacing w:before="0" w:after="0"/>
              <w:ind w:left="0" w:right="0" w:hanging="0"/>
              <w:rPr/>
            </w:pPr>
            <w:r>
              <w:rPr/>
              <w:t>​</w:t>
            </w:r>
          </w:p>
        </w:tc>
        <w:tc>
          <w:tcPr>
            <w:tcW w:w="29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income (expense), net</w:t>
            </w:r>
          </w:p>
        </w:tc>
        <w:tc>
          <w:tcPr>
            <w:tcW w:w="29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51" w:type="dxa"/>
            <w:tcBorders/>
            <w:shd w:fill="CCEEFF" w:val="clear"/>
            <w:vAlign w:val="center"/>
          </w:tcPr>
          <w:p>
            <w:pPr>
              <w:pStyle w:val="TableContents"/>
              <w:spacing w:before="0" w:after="0"/>
              <w:ind w:left="0" w:right="0" w:hanging="0"/>
              <w:rPr/>
            </w:pPr>
            <w:r>
              <w:rPr/>
              <w:t>​</w:t>
            </w:r>
          </w:p>
        </w:tc>
        <w:tc>
          <w:tcPr>
            <w:tcW w:w="29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before income taxes</w:t>
            </w:r>
          </w:p>
        </w:tc>
        <w:tc>
          <w:tcPr>
            <w:tcW w:w="29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6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451" w:type="dxa"/>
            <w:tcBorders/>
            <w:shd w:fill="auto" w:val="clear"/>
            <w:vAlign w:val="center"/>
          </w:tcPr>
          <w:p>
            <w:pPr>
              <w:pStyle w:val="TableContents"/>
              <w:spacing w:before="0" w:after="0"/>
              <w:ind w:left="0" w:right="0" w:hanging="0"/>
              <w:rPr/>
            </w:pPr>
            <w:r>
              <w:rPr/>
              <w:t>​</w:t>
            </w:r>
          </w:p>
        </w:tc>
        <w:tc>
          <w:tcPr>
            <w:tcW w:w="29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16.6</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Real estate revenue includes sales of homesites, homes and other residential land and certain homesite residuals from homebuilder sales that provide us a percentage of the sale price of the completed home if the home price exceeds a negotiated threshold. Leasing revenue includes long-term leases of residential assets. Other revenue includes tap and impact fee credits sold and marketing fees. Certain homesite residuals and other revenue related to homebuilder homesite sales are recognized in revenue at the point in time of the closing of the sale. For the three months ended March 31, 2023 and 2022, real estate revenue includes estimated homesite residuals of $3.2 million and $1.9 million, respectively, and other revenue includes estimated fees related to homebuilder homesite sales of $1.0 million and $0.5 million, respectively. Cost of real estate revenue includes direct costs (e.g., development and construction costs), selling costs and other indirect costs.</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Three months ended March 31, 2023 compared to the three months ended March 31,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sets forth our consolidated residential real estate revenue and cost of revenue activity:</w:t>
      </w:r>
    </w:p>
    <w:tbl>
      <w:tblPr>
        <w:tblW w:w="11559" w:type="dxa"/>
        <w:jc w:val="left"/>
        <w:tblInd w:w="0" w:type="dxa"/>
        <w:tblCellMar>
          <w:top w:w="0" w:type="dxa"/>
          <w:left w:w="0" w:type="dxa"/>
          <w:bottom w:w="0" w:type="dxa"/>
          <w:right w:w="0" w:type="dxa"/>
        </w:tblCellMar>
      </w:tblPr>
      <w:tblGrid>
        <w:gridCol w:w="1426"/>
        <w:gridCol w:w="326"/>
        <w:gridCol w:w="481"/>
        <w:gridCol w:w="326"/>
        <w:gridCol w:w="224"/>
        <w:gridCol w:w="497"/>
        <w:gridCol w:w="326"/>
        <w:gridCol w:w="224"/>
        <w:gridCol w:w="497"/>
        <w:gridCol w:w="326"/>
        <w:gridCol w:w="211"/>
        <w:gridCol w:w="466"/>
        <w:gridCol w:w="326"/>
        <w:gridCol w:w="646"/>
        <w:gridCol w:w="361"/>
        <w:gridCol w:w="481"/>
        <w:gridCol w:w="326"/>
        <w:gridCol w:w="224"/>
        <w:gridCol w:w="497"/>
        <w:gridCol w:w="326"/>
        <w:gridCol w:w="224"/>
        <w:gridCol w:w="497"/>
        <w:gridCol w:w="326"/>
        <w:gridCol w:w="211"/>
        <w:gridCol w:w="466"/>
        <w:gridCol w:w="326"/>
        <w:gridCol w:w="646"/>
        <w:gridCol w:w="346"/>
      </w:tblGrid>
      <w:tr>
        <w:trPr/>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905510" cy="175260"/>
                      <wp:effectExtent l="0" t="0" r="0" b="0"/>
                      <wp:wrapNone/>
                      <wp:docPr id="597" name="Frame597"/>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8" name="Frame5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305435" cy="175260"/>
                      <wp:effectExtent l="0" t="0" r="0" b="0"/>
                      <wp:wrapNone/>
                      <wp:docPr id="599" name="Frame599"/>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07010" cy="175260"/>
                      <wp:effectExtent l="0" t="0" r="0" b="0"/>
                      <wp:wrapNone/>
                      <wp:docPr id="600" name="Frame6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42240" cy="175260"/>
                      <wp:effectExtent l="0" t="0" r="0" b="0"/>
                      <wp:wrapNone/>
                      <wp:docPr id="601" name="Frame601"/>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315595" cy="175260"/>
                      <wp:effectExtent l="0" t="0" r="0" b="0"/>
                      <wp:wrapNone/>
                      <wp:docPr id="602" name="Frame602"/>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3" name="Frame6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42240" cy="175260"/>
                      <wp:effectExtent l="0" t="0" r="0" b="0"/>
                      <wp:wrapNone/>
                      <wp:docPr id="604" name="Frame604"/>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315595" cy="175260"/>
                      <wp:effectExtent l="0" t="0" r="0" b="0"/>
                      <wp:wrapNone/>
                      <wp:docPr id="605" name="Frame605"/>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6" name="Frame6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33985" cy="175260"/>
                      <wp:effectExtent l="0" t="0" r="0" b="0"/>
                      <wp:wrapNone/>
                      <wp:docPr id="607" name="Frame60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95910" cy="175260"/>
                      <wp:effectExtent l="0" t="0" r="0" b="0"/>
                      <wp:wrapNone/>
                      <wp:docPr id="608" name="Frame608"/>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609" name="Frame6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410210" cy="175260"/>
                      <wp:effectExtent l="0" t="0" r="0" b="0"/>
                      <wp:wrapNone/>
                      <wp:docPr id="610" name="Frame610"/>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29235" cy="175260"/>
                      <wp:effectExtent l="0" t="0" r="0" b="0"/>
                      <wp:wrapNone/>
                      <wp:docPr id="611" name="Frame61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305435" cy="175260"/>
                      <wp:effectExtent l="0" t="0" r="0" b="0"/>
                      <wp:wrapNone/>
                      <wp:docPr id="612" name="Frame612"/>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7010" cy="175260"/>
                      <wp:effectExtent l="0" t="0" r="0" b="0"/>
                      <wp:wrapNone/>
                      <wp:docPr id="613" name="Frame6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42240" cy="175260"/>
                      <wp:effectExtent l="0" t="0" r="0" b="0"/>
                      <wp:wrapNone/>
                      <wp:docPr id="614" name="Frame614"/>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315595" cy="175260"/>
                      <wp:effectExtent l="0" t="0" r="0" b="0"/>
                      <wp:wrapNone/>
                      <wp:docPr id="615" name="Frame615"/>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6" name="Frame6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42240" cy="175260"/>
                      <wp:effectExtent l="0" t="0" r="0" b="0"/>
                      <wp:wrapNone/>
                      <wp:docPr id="617" name="Frame617"/>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315595" cy="175260"/>
                      <wp:effectExtent l="0" t="0" r="0" b="0"/>
                      <wp:wrapNone/>
                      <wp:docPr id="618" name="Frame618"/>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07010" cy="175260"/>
                      <wp:effectExtent l="0" t="0" r="0" b="0"/>
                      <wp:wrapNone/>
                      <wp:docPr id="619" name="Frame6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33985" cy="175260"/>
                      <wp:effectExtent l="0" t="0" r="0" b="0"/>
                      <wp:wrapNone/>
                      <wp:docPr id="620" name="Frame6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95910" cy="175260"/>
                      <wp:effectExtent l="0" t="0" r="0" b="0"/>
                      <wp:wrapNone/>
                      <wp:docPr id="621" name="Frame62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07010" cy="175260"/>
                      <wp:effectExtent l="0" t="0" r="0" b="0"/>
                      <wp:wrapNone/>
                      <wp:docPr id="622" name="Frame6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410210" cy="175260"/>
                      <wp:effectExtent l="0" t="0" r="0" b="0"/>
                      <wp:wrapNone/>
                      <wp:docPr id="623" name="Frame623"/>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24" name="Frame624"/>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50" w:type="dxa"/>
            <w:gridSpan w:val="1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c>
          <w:tcPr>
            <w:tcW w:w="361" w:type="dxa"/>
            <w:tcBorders/>
            <w:shd w:fill="auto" w:val="clear"/>
            <w:vAlign w:val="center"/>
          </w:tcPr>
          <w:p>
            <w:pPr>
              <w:pStyle w:val="TableContents"/>
              <w:spacing w:before="0" w:after="1"/>
              <w:ind w:left="0" w:right="0" w:hanging="0"/>
              <w:jc w:val="center"/>
              <w:rPr/>
            </w:pPr>
            <w:r>
              <w:rPr/>
              <w:t>​</w:t>
            </w:r>
          </w:p>
        </w:tc>
        <w:tc>
          <w:tcPr>
            <w:tcW w:w="4550" w:type="dxa"/>
            <w:gridSpan w:val="1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2022</w:t>
            </w:r>
          </w:p>
        </w:tc>
        <w:tc>
          <w:tcPr>
            <w:tcW w:w="346" w:type="dxa"/>
            <w:tcBorders/>
            <w:shd w:fill="auto" w:val="clear"/>
            <w:vAlign w:val="center"/>
          </w:tcPr>
          <w:p>
            <w:pPr>
              <w:pStyle w:val="TableContents"/>
              <w:spacing w:before="0" w:after="1"/>
              <w:ind w:left="0" w:right="0" w:hanging="0"/>
              <w:jc w:val="center"/>
              <w:rPr/>
            </w:pPr>
            <w:r>
              <w:rPr/>
              <w:t> </w:t>
            </w:r>
          </w:p>
        </w:tc>
      </w:tr>
      <w:tr>
        <w:trPr/>
        <w:tc>
          <w:tcPr>
            <w:tcW w:w="1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1"/>
              <w:ind w:left="0" w:right="0" w:hanging="0"/>
              <w:jc w:val="center"/>
              <w:rPr/>
            </w:pPr>
            <w:r>
              <w:rPr/>
              <w:t>    </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26" w:type="dxa"/>
            <w:tcBorders/>
            <w:shd w:fill="auto" w:val="clear"/>
            <w:vAlign w:val="center"/>
          </w:tcPr>
          <w:p>
            <w:pPr>
              <w:pStyle w:val="TableContents"/>
              <w:spacing w:before="0" w:after="1"/>
              <w:ind w:left="0" w:right="0" w:hanging="0"/>
              <w:jc w:val="center"/>
              <w:rPr/>
            </w:pPr>
            <w:r>
              <w:rPr/>
              <w:t>    </w:t>
            </w:r>
          </w:p>
        </w:tc>
        <w:tc>
          <w:tcPr>
            <w:tcW w:w="67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jc w:val="center"/>
              <w:rPr/>
            </w:pPr>
            <w:r>
              <w:rPr/>
              <w:t>    </w:t>
            </w:r>
          </w:p>
        </w:tc>
        <w:tc>
          <w:tcPr>
            <w:tcW w:w="6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61" w:type="dxa"/>
            <w:tcBorders/>
            <w:shd w:fill="auto" w:val="clear"/>
            <w:vAlign w:val="center"/>
          </w:tcPr>
          <w:p>
            <w:pPr>
              <w:pStyle w:val="TableContents"/>
              <w:spacing w:before="0" w:after="1"/>
              <w:ind w:left="0" w:right="0" w:hanging="0"/>
              <w:jc w:val="center"/>
              <w:rPr/>
            </w:pPr>
            <w:r>
              <w:rPr/>
              <w:t>​</w:t>
            </w:r>
          </w:p>
        </w:tc>
        <w:tc>
          <w:tcPr>
            <w:tcW w:w="4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1"/>
              <w:ind w:left="0" w:right="0" w:hanging="0"/>
              <w:jc w:val="center"/>
              <w:rPr/>
            </w:pPr>
            <w:r>
              <w:rPr/>
              <w:t>    </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26" w:type="dxa"/>
            <w:tcBorders/>
            <w:shd w:fill="auto" w:val="clear"/>
            <w:vAlign w:val="center"/>
          </w:tcPr>
          <w:p>
            <w:pPr>
              <w:pStyle w:val="TableContents"/>
              <w:spacing w:before="0" w:after="1"/>
              <w:ind w:left="0" w:right="0" w:hanging="0"/>
              <w:jc w:val="center"/>
              <w:rPr/>
            </w:pPr>
            <w:r>
              <w:rPr/>
              <w:t>    </w:t>
            </w:r>
          </w:p>
        </w:tc>
        <w:tc>
          <w:tcPr>
            <w:tcW w:w="67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jc w:val="center"/>
              <w:rPr/>
            </w:pPr>
            <w:r>
              <w:rPr/>
              <w:t>    </w:t>
            </w:r>
          </w:p>
        </w:tc>
        <w:tc>
          <w:tcPr>
            <w:tcW w:w="6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shd w:fill="auto" w:val="clear"/>
            <w:vAlign w:val="center"/>
          </w:tcPr>
          <w:p>
            <w:pPr>
              <w:pStyle w:val="TableContents"/>
              <w:spacing w:before="0" w:after="1"/>
              <w:ind w:left="0" w:right="0" w:hanging="0"/>
              <w:jc w:val="center"/>
              <w:rPr/>
            </w:pPr>
            <w:r>
              <w:rPr/>
              <w:t> </w:t>
            </w:r>
          </w:p>
        </w:tc>
      </w:tr>
      <w:tr>
        <w:trPr/>
        <w:tc>
          <w:tcPr>
            <w:tcW w:w="1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26" w:type="dxa"/>
            <w:tcBorders/>
            <w:shd w:fill="auto" w:val="clear"/>
            <w:vAlign w:val="center"/>
          </w:tcPr>
          <w:p>
            <w:pPr>
              <w:pStyle w:val="TableContents"/>
              <w:spacing w:before="0" w:after="1"/>
              <w:ind w:left="0" w:right="0" w:hanging="0"/>
              <w:jc w:val="center"/>
              <w:rPr/>
            </w:pPr>
            <w:r>
              <w:rPr/>
              <w:t>​</w:t>
            </w:r>
          </w:p>
        </w:tc>
        <w:tc>
          <w:tcPr>
            <w:tcW w:w="7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shd w:fill="auto" w:val="clear"/>
            <w:vAlign w:val="center"/>
          </w:tcPr>
          <w:p>
            <w:pPr>
              <w:pStyle w:val="TableContents"/>
              <w:spacing w:before="0" w:after="1"/>
              <w:ind w:left="0" w:right="0" w:hanging="0"/>
              <w:jc w:val="center"/>
              <w:rPr/>
            </w:pPr>
            <w:r>
              <w:rPr/>
              <w:t>​</w:t>
            </w:r>
          </w:p>
        </w:tc>
        <w:tc>
          <w:tcPr>
            <w:tcW w:w="7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shd w:fill="auto" w:val="clear"/>
            <w:vAlign w:val="center"/>
          </w:tcPr>
          <w:p>
            <w:pPr>
              <w:pStyle w:val="TableContents"/>
              <w:spacing w:before="0" w:after="1"/>
              <w:ind w:left="0" w:right="0" w:hanging="0"/>
              <w:jc w:val="center"/>
              <w:rPr/>
            </w:pPr>
            <w:r>
              <w:rPr/>
              <w:t>​</w:t>
            </w:r>
          </w:p>
        </w:tc>
        <w:tc>
          <w:tcPr>
            <w:tcW w:w="67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shd w:fill="auto" w:val="clear"/>
            <w:vAlign w:val="center"/>
          </w:tcPr>
          <w:p>
            <w:pPr>
              <w:pStyle w:val="TableContents"/>
              <w:spacing w:before="0" w:after="1"/>
              <w:ind w:left="0" w:right="0" w:hanging="0"/>
              <w:jc w:val="center"/>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61" w:type="dxa"/>
            <w:tcBorders/>
            <w:shd w:fill="auto" w:val="clear"/>
            <w:vAlign w:val="center"/>
          </w:tcPr>
          <w:p>
            <w:pPr>
              <w:pStyle w:val="TableContents"/>
              <w:spacing w:before="0" w:after="1"/>
              <w:ind w:left="0" w:right="0" w:hanging="0"/>
              <w:jc w:val="center"/>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26" w:type="dxa"/>
            <w:tcBorders/>
            <w:shd w:fill="auto" w:val="clear"/>
            <w:vAlign w:val="center"/>
          </w:tcPr>
          <w:p>
            <w:pPr>
              <w:pStyle w:val="TableContents"/>
              <w:spacing w:before="0" w:after="1"/>
              <w:ind w:left="0" w:right="0" w:hanging="0"/>
              <w:jc w:val="center"/>
              <w:rPr/>
            </w:pPr>
            <w:r>
              <w:rPr/>
              <w:t>​</w:t>
            </w:r>
          </w:p>
        </w:tc>
        <w:tc>
          <w:tcPr>
            <w:tcW w:w="7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shd w:fill="auto" w:val="clear"/>
            <w:vAlign w:val="center"/>
          </w:tcPr>
          <w:p>
            <w:pPr>
              <w:pStyle w:val="TableContents"/>
              <w:spacing w:before="0" w:after="1"/>
              <w:ind w:left="0" w:right="0" w:hanging="0"/>
              <w:jc w:val="center"/>
              <w:rPr/>
            </w:pPr>
            <w:r>
              <w:rPr/>
              <w:t>​</w:t>
            </w:r>
          </w:p>
        </w:tc>
        <w:tc>
          <w:tcPr>
            <w:tcW w:w="7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shd w:fill="auto" w:val="clear"/>
            <w:vAlign w:val="center"/>
          </w:tcPr>
          <w:p>
            <w:pPr>
              <w:pStyle w:val="TableContents"/>
              <w:spacing w:before="0" w:after="1"/>
              <w:ind w:left="0" w:right="0" w:hanging="0"/>
              <w:jc w:val="center"/>
              <w:rPr/>
            </w:pPr>
            <w:r>
              <w:rPr/>
              <w:t>​</w:t>
            </w:r>
          </w:p>
        </w:tc>
        <w:tc>
          <w:tcPr>
            <w:tcW w:w="67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shd w:fill="auto" w:val="clear"/>
            <w:vAlign w:val="center"/>
          </w:tcPr>
          <w:p>
            <w:pPr>
              <w:pStyle w:val="TableContents"/>
              <w:spacing w:before="0" w:after="1"/>
              <w:ind w:left="0" w:right="0" w:hanging="0"/>
              <w:jc w:val="center"/>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shd w:fill="auto" w:val="clear"/>
            <w:vAlign w:val="center"/>
          </w:tcPr>
          <w:p>
            <w:pPr>
              <w:pStyle w:val="TableContents"/>
              <w:spacing w:before="0" w:after="1"/>
              <w:ind w:left="0" w:right="0" w:hanging="0"/>
              <w:jc w:val="center"/>
              <w:rPr/>
            </w:pPr>
            <w:r>
              <w:rPr/>
              <w:t> </w:t>
            </w:r>
          </w:p>
        </w:tc>
      </w:tr>
      <w:tr>
        <w:trPr/>
        <w:tc>
          <w:tcPr>
            <w:tcW w:w="11559" w:type="dxa"/>
            <w:gridSpan w:val="28"/>
            <w:tcBorders/>
            <w:shd w:fill="auto" w:val="clear"/>
            <w:vAlign w:val="center"/>
          </w:tcPr>
          <w:p>
            <w:pPr>
              <w:pStyle w:val="TableContents"/>
              <w:spacing w:before="0" w:after="283"/>
              <w:ind w:left="0" w:right="0" w:hanging="0"/>
              <w:rPr>
                <w:sz w:val="4"/>
                <w:szCs w:val="4"/>
              </w:rPr>
            </w:pPr>
            <w:r>
              <w:rPr>
                <w:sz w:val="4"/>
                <w:szCs w:val="4"/>
              </w:rPr>
            </w:r>
          </w:p>
        </w:tc>
      </w:tr>
      <w:tr>
        <w:trPr/>
        <w:tc>
          <w:tcPr>
            <w:tcW w:w="1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807" w:type="dxa"/>
            <w:gridSpan w:val="26"/>
            <w:tcBorders/>
            <w:shd w:fill="auto" w:val="clear"/>
            <w:vAlign w:val="center"/>
          </w:tcPr>
          <w:p>
            <w:pPr>
              <w:pStyle w:val="TableContents"/>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r>
      <w:tr>
        <w:trPr/>
        <w:tc>
          <w:tcPr>
            <w:tcW w:w="1426" w:type="dxa"/>
            <w:tcBorders/>
            <w:shd w:fill="CCEEFF"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Consolidated</w:t>
            </w:r>
          </w:p>
        </w:tc>
        <w:tc>
          <w:tcPr>
            <w:tcW w:w="326" w:type="dxa"/>
            <w:tcBorders/>
            <w:shd w:fill="CCEEFF" w:val="clear"/>
            <w:vAlign w:val="center"/>
          </w:tcPr>
          <w:p>
            <w:pPr>
              <w:pStyle w:val="TableContents"/>
              <w:spacing w:before="0" w:after="1"/>
              <w:ind w:left="0" w:right="0" w:hanging="0"/>
              <w:jc w:val="center"/>
              <w:rPr/>
            </w:pPr>
            <w:r>
              <w:rPr/>
              <w:t>​</w:t>
            </w:r>
          </w:p>
        </w:tc>
        <w:tc>
          <w:tcPr>
            <w:tcW w:w="48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24" w:type="dxa"/>
            <w:tcBorders/>
            <w:shd w:fill="CCEEFF" w:val="clear"/>
            <w:vAlign w:val="center"/>
          </w:tcPr>
          <w:p>
            <w:pPr>
              <w:pStyle w:val="TableContents"/>
              <w:spacing w:before="0" w:after="1"/>
              <w:ind w:left="0" w:right="0" w:hanging="0"/>
              <w:jc w:val="center"/>
              <w:rPr/>
            </w:pPr>
            <w:r>
              <w:rPr/>
              <w:t>​</w:t>
            </w:r>
          </w:p>
        </w:tc>
        <w:tc>
          <w:tcPr>
            <w:tcW w:w="497"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24" w:type="dxa"/>
            <w:tcBorders/>
            <w:shd w:fill="CCEEFF" w:val="clear"/>
            <w:vAlign w:val="center"/>
          </w:tcPr>
          <w:p>
            <w:pPr>
              <w:pStyle w:val="TableContents"/>
              <w:spacing w:before="0" w:after="1"/>
              <w:ind w:left="0" w:right="0" w:hanging="0"/>
              <w:jc w:val="center"/>
              <w:rPr/>
            </w:pPr>
            <w:r>
              <w:rPr/>
              <w:t>​</w:t>
            </w:r>
          </w:p>
        </w:tc>
        <w:tc>
          <w:tcPr>
            <w:tcW w:w="497"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46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646" w:type="dxa"/>
            <w:tcBorders/>
            <w:shd w:fill="CCEEFF" w:val="clear"/>
            <w:vAlign w:val="center"/>
          </w:tcPr>
          <w:p>
            <w:pPr>
              <w:pStyle w:val="TableContents"/>
              <w:spacing w:before="0" w:after="1"/>
              <w:ind w:left="0" w:right="0" w:hanging="0"/>
              <w:jc w:val="center"/>
              <w:rPr/>
            </w:pPr>
            <w:r>
              <w:rPr/>
              <w:t>​</w:t>
            </w:r>
          </w:p>
        </w:tc>
        <w:tc>
          <w:tcPr>
            <w:tcW w:w="361" w:type="dxa"/>
            <w:tcBorders/>
            <w:shd w:fill="CCEEFF" w:val="clear"/>
            <w:vAlign w:val="center"/>
          </w:tcPr>
          <w:p>
            <w:pPr>
              <w:pStyle w:val="TableContents"/>
              <w:spacing w:before="0" w:after="1"/>
              <w:ind w:left="0" w:right="0" w:hanging="0"/>
              <w:jc w:val="center"/>
              <w:rPr/>
            </w:pPr>
            <w:r>
              <w:rPr/>
              <w:t>​</w:t>
            </w:r>
          </w:p>
        </w:tc>
        <w:tc>
          <w:tcPr>
            <w:tcW w:w="48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24" w:type="dxa"/>
            <w:tcBorders/>
            <w:shd w:fill="CCEEFF" w:val="clear"/>
            <w:vAlign w:val="center"/>
          </w:tcPr>
          <w:p>
            <w:pPr>
              <w:pStyle w:val="TableContents"/>
              <w:spacing w:before="0" w:after="1"/>
              <w:ind w:left="0" w:right="0" w:hanging="0"/>
              <w:jc w:val="center"/>
              <w:rPr/>
            </w:pPr>
            <w:r>
              <w:rPr/>
              <w:t>​</w:t>
            </w:r>
          </w:p>
        </w:tc>
        <w:tc>
          <w:tcPr>
            <w:tcW w:w="497"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24" w:type="dxa"/>
            <w:tcBorders/>
            <w:shd w:fill="CCEEFF" w:val="clear"/>
            <w:vAlign w:val="center"/>
          </w:tcPr>
          <w:p>
            <w:pPr>
              <w:pStyle w:val="TableContents"/>
              <w:spacing w:before="0" w:after="1"/>
              <w:ind w:left="0" w:right="0" w:hanging="0"/>
              <w:jc w:val="center"/>
              <w:rPr/>
            </w:pPr>
            <w:r>
              <w:rPr/>
              <w:t>​</w:t>
            </w:r>
          </w:p>
        </w:tc>
        <w:tc>
          <w:tcPr>
            <w:tcW w:w="497"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46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646" w:type="dxa"/>
            <w:tcBorders/>
            <w:shd w:fill="CCEEFF" w:val="clear"/>
            <w:vAlign w:val="center"/>
          </w:tcPr>
          <w:p>
            <w:pPr>
              <w:pStyle w:val="TableContents"/>
              <w:spacing w:before="0" w:after="1"/>
              <w:ind w:left="0" w:right="0" w:hanging="0"/>
              <w:jc w:val="center"/>
              <w:rPr/>
            </w:pPr>
            <w:r>
              <w:rPr/>
              <w:t>​</w:t>
            </w:r>
          </w:p>
        </w:tc>
        <w:tc>
          <w:tcPr>
            <w:tcW w:w="346" w:type="dxa"/>
            <w:tcBorders/>
            <w:shd w:fill="CCEEFF" w:val="clear"/>
            <w:vAlign w:val="center"/>
          </w:tcPr>
          <w:p>
            <w:pPr>
              <w:pStyle w:val="TableContents"/>
              <w:spacing w:before="0" w:after="1"/>
              <w:ind w:left="0" w:right="0" w:hanging="0"/>
              <w:jc w:val="center"/>
              <w:rPr/>
            </w:pPr>
            <w:r>
              <w:rPr/>
              <w:t>​</w:t>
            </w:r>
          </w:p>
        </w:tc>
      </w:tr>
      <w:tr>
        <w:trPr/>
        <w:tc>
          <w:tcPr>
            <w:tcW w:w="1426" w:type="dxa"/>
            <w:tcBorders/>
            <w:shd w:fill="auto" w:val="clear"/>
            <w:vAlign w:val="center"/>
          </w:tcPr>
          <w:p>
            <w:pPr>
              <w:pStyle w:val="TableContents"/>
              <w:spacing w:lineRule="auto" w:line="240" w:before="0" w:after="1"/>
              <w:ind w:left="0" w:right="0" w:hanging="0"/>
              <w:rPr>
                <w:rFonts w:ascii="Times New Roman;Times;serif" w:hAnsi="Times New Roman;Times;serif"/>
                <w:sz w:val="18"/>
              </w:rPr>
            </w:pPr>
            <w:r>
              <w:rPr>
                <w:rFonts w:ascii="Times New Roman;Times;serif" w:hAnsi="Times New Roman;Times;serif"/>
                <w:sz w:val="19"/>
              </w:rPr>
              <w:t>Homesites</w:t>
            </w:r>
            <w:r>
              <w:rPr>
                <w:rFonts w:ascii="Times New Roman;Times;serif" w:hAnsi="Times New Roman;Times;serif"/>
                <w:sz w:val="18"/>
              </w:rPr>
              <w:t xml:space="preserve"> </w:t>
            </w:r>
            <w:r>
              <w:rPr>
                <w:rFonts w:ascii="Times New Roman;Times;serif" w:hAnsi="Times New Roman;Times;serif"/>
                <w:sz w:val="14"/>
              </w:rPr>
              <w:t>(a)</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327</w:t>
            </w:r>
          </w:p>
        </w:tc>
        <w:tc>
          <w:tcPr>
            <w:tcW w:w="326" w:type="dxa"/>
            <w:tcBorders/>
            <w:shd w:fill="auto" w:val="clear"/>
            <w:vAlign w:val="center"/>
          </w:tcPr>
          <w:p>
            <w:pPr>
              <w:pStyle w:val="TableContents"/>
              <w:spacing w:before="0" w:after="1"/>
              <w:ind w:left="0" w:right="0" w:hanging="0"/>
              <w:jc w:val="right"/>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497"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25.6</w:t>
            </w:r>
          </w:p>
        </w:tc>
        <w:tc>
          <w:tcPr>
            <w:tcW w:w="326" w:type="dxa"/>
            <w:tcBorders/>
            <w:shd w:fill="auto" w:val="clear"/>
            <w:vAlign w:val="center"/>
          </w:tcPr>
          <w:p>
            <w:pPr>
              <w:pStyle w:val="TableContents"/>
              <w:spacing w:before="0" w:after="1"/>
              <w:ind w:left="0" w:right="0" w:hanging="0"/>
              <w:jc w:val="right"/>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497"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15.1</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10.5</w:t>
            </w:r>
          </w:p>
        </w:tc>
        <w:tc>
          <w:tcPr>
            <w:tcW w:w="32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41.0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 xml:space="preserve">% </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181</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497"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30.3</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497"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12.9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17.4</w:t>
            </w:r>
          </w:p>
        </w:tc>
        <w:tc>
          <w:tcPr>
            <w:tcW w:w="32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57.4</w:t>
            </w:r>
          </w:p>
        </w:tc>
        <w:tc>
          <w:tcPr>
            <w:tcW w:w="346"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 xml:space="preserve">% </w:t>
            </w:r>
          </w:p>
        </w:tc>
      </w:tr>
      <w:tr>
        <w:trPr/>
        <w:tc>
          <w:tcPr>
            <w:tcW w:w="1426"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Land sales</w:t>
            </w:r>
          </w:p>
        </w:tc>
        <w:tc>
          <w:tcPr>
            <w:tcW w:w="326" w:type="dxa"/>
            <w:tcBorders/>
            <w:shd w:fill="CCEEFF" w:val="clear"/>
            <w:vAlign w:val="center"/>
          </w:tcPr>
          <w:p>
            <w:pPr>
              <w:pStyle w:val="TableContents"/>
              <w:spacing w:before="0" w:after="1"/>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N/A</w:t>
            </w:r>
          </w:p>
        </w:tc>
        <w:tc>
          <w:tcPr>
            <w:tcW w:w="326" w:type="dxa"/>
            <w:tcBorders/>
            <w:shd w:fill="CCEEFF" w:val="clear"/>
            <w:vAlign w:val="center"/>
          </w:tcPr>
          <w:p>
            <w:pPr>
              <w:pStyle w:val="TableContents"/>
              <w:spacing w:before="0" w:after="1"/>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49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spacing w:before="0" w:after="1"/>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49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4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83.3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  </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N/A</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9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9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100.0</w:t>
            </w:r>
          </w:p>
        </w:tc>
        <w:tc>
          <w:tcPr>
            <w:tcW w:w="346"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r>
      <w:tr>
        <w:trPr/>
        <w:tc>
          <w:tcPr>
            <w:tcW w:w="1426" w:type="dxa"/>
            <w:tcBorders/>
            <w:shd w:fill="auto"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Total consolidated</w:t>
            </w:r>
          </w:p>
        </w:tc>
        <w:tc>
          <w:tcPr>
            <w:tcW w:w="326" w:type="dxa"/>
            <w:tcBorders/>
            <w:shd w:fill="auto" w:val="clear"/>
            <w:vAlign w:val="center"/>
          </w:tcPr>
          <w:p>
            <w:pPr>
              <w:pStyle w:val="TableContents"/>
              <w:spacing w:before="0" w:after="1"/>
              <w:ind w:left="0" w:right="0" w:hanging="0"/>
              <w:rPr/>
            </w:pPr>
            <w:r>
              <w:rPr/>
              <w:t> </w:t>
            </w:r>
          </w:p>
        </w:tc>
        <w:tc>
          <w:tcPr>
            <w:tcW w:w="4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327</w:t>
            </w:r>
          </w:p>
        </w:tc>
        <w:tc>
          <w:tcPr>
            <w:tcW w:w="326" w:type="dxa"/>
            <w:tcBorders/>
            <w:shd w:fill="auto" w:val="clear"/>
            <w:vAlign w:val="center"/>
          </w:tcPr>
          <w:p>
            <w:pPr>
              <w:pStyle w:val="TableContents"/>
              <w:spacing w:before="0" w:after="1"/>
              <w:ind w:left="0" w:right="0" w:hanging="0"/>
              <w:jc w:val="right"/>
              <w:rPr/>
            </w:pPr>
            <w:r>
              <w:rPr/>
              <w:t>​</w:t>
            </w:r>
          </w:p>
        </w:tc>
        <w:tc>
          <w:tcPr>
            <w:tcW w:w="22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26.2</w:t>
            </w:r>
          </w:p>
        </w:tc>
        <w:tc>
          <w:tcPr>
            <w:tcW w:w="326" w:type="dxa"/>
            <w:tcBorders/>
            <w:shd w:fill="auto" w:val="clear"/>
            <w:vAlign w:val="center"/>
          </w:tcPr>
          <w:p>
            <w:pPr>
              <w:pStyle w:val="TableContents"/>
              <w:spacing w:before="0" w:after="1"/>
              <w:ind w:left="0" w:right="0" w:hanging="0"/>
              <w:jc w:val="right"/>
              <w:rPr/>
            </w:pPr>
            <w:r>
              <w:rPr/>
              <w:t>​</w:t>
            </w:r>
          </w:p>
        </w:tc>
        <w:tc>
          <w:tcPr>
            <w:tcW w:w="22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15.2</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4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11.0</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42.0</w:t>
            </w:r>
          </w:p>
        </w:tc>
        <w:tc>
          <w:tcPr>
            <w:tcW w:w="361" w:type="dxa"/>
            <w:tcBorders/>
            <w:shd w:fill="auto"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4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181</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30.4</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12.9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c>
          <w:tcPr>
            <w:tcW w:w="4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17.5</w:t>
            </w:r>
          </w:p>
        </w:tc>
        <w:tc>
          <w:tcPr>
            <w:tcW w:w="32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57.6</w:t>
            </w:r>
          </w:p>
        </w:tc>
        <w:tc>
          <w:tcPr>
            <w:tcW w:w="346" w:type="dxa"/>
            <w:tcBorders/>
            <w:shd w:fill="auto"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w:t>
            </w:r>
          </w:p>
        </w:tc>
      </w:tr>
      <w:tr>
        <w:trPr/>
        <w:tc>
          <w:tcPr>
            <w:tcW w:w="14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24" w:type="dxa"/>
            <w:tcBorders/>
            <w:shd w:fill="CCEEFF" w:val="clear"/>
            <w:vAlign w:val="center"/>
          </w:tcPr>
          <w:p>
            <w:pPr>
              <w:pStyle w:val="TableContents"/>
              <w:spacing w:before="0" w:after="1"/>
              <w:ind w:left="0" w:right="0" w:hanging="0"/>
              <w:rPr/>
            </w:pPr>
            <w:r>
              <w:rPr/>
              <w:t>​</w:t>
            </w:r>
          </w:p>
        </w:tc>
        <w:tc>
          <w:tcPr>
            <w:tcW w:w="4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24" w:type="dxa"/>
            <w:tcBorders/>
            <w:shd w:fill="CCEEFF" w:val="clear"/>
            <w:vAlign w:val="center"/>
          </w:tcPr>
          <w:p>
            <w:pPr>
              <w:pStyle w:val="TableContents"/>
              <w:spacing w:before="0" w:after="1"/>
              <w:ind w:left="0" w:right="0" w:hanging="0"/>
              <w:rPr/>
            </w:pPr>
            <w:r>
              <w:rPr/>
              <w:t>​</w:t>
            </w:r>
          </w:p>
        </w:tc>
        <w:tc>
          <w:tcPr>
            <w:tcW w:w="4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4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4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46" w:type="dxa"/>
            <w:tcBorders/>
            <w:shd w:fill="CCEEFF" w:val="clear"/>
            <w:vAlign w:val="center"/>
          </w:tcPr>
          <w:p>
            <w:pPr>
              <w:pStyle w:val="TableContents"/>
              <w:spacing w:before="0" w:after="1"/>
              <w:ind w:left="0" w:right="0" w:hanging="0"/>
              <w:rPr/>
            </w:pPr>
            <w:r>
              <w:rPr/>
              <w:t>​</w:t>
            </w:r>
          </w:p>
        </w:tc>
      </w:tr>
      <w:tr>
        <w:trPr/>
        <w:tc>
          <w:tcPr>
            <w:tcW w:w="1426" w:type="dxa"/>
            <w:tcBorders/>
            <w:shd w:fill="auto"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Unconsolidated</w:t>
            </w:r>
          </w:p>
        </w:tc>
        <w:tc>
          <w:tcPr>
            <w:tcW w:w="326"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61"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46" w:type="dxa"/>
            <w:tcBorders/>
            <w:shd w:fill="auto" w:val="clear"/>
            <w:vAlign w:val="center"/>
          </w:tcPr>
          <w:p>
            <w:pPr>
              <w:pStyle w:val="TableContents"/>
              <w:spacing w:before="0" w:after="1"/>
              <w:ind w:left="0" w:right="0" w:hanging="0"/>
              <w:rPr/>
            </w:pPr>
            <w:r>
              <w:rPr/>
              <w:t>​</w:t>
            </w:r>
          </w:p>
        </w:tc>
      </w:tr>
      <w:tr>
        <w:trPr/>
        <w:tc>
          <w:tcPr>
            <w:tcW w:w="1426" w:type="dxa"/>
            <w:tcBorders/>
            <w:shd w:fill="CCEEFF" w:val="clear"/>
            <w:vAlign w:val="center"/>
          </w:tcPr>
          <w:p>
            <w:pPr>
              <w:pStyle w:val="TableContents"/>
              <w:spacing w:lineRule="auto" w:line="240" w:before="0" w:after="1"/>
              <w:ind w:left="0" w:right="0" w:hanging="0"/>
              <w:rPr>
                <w:rFonts w:ascii="Times New Roman;Times;serif" w:hAnsi="Times New Roman;Times;serif"/>
                <w:sz w:val="18"/>
              </w:rPr>
            </w:pPr>
            <w:r>
              <w:rPr>
                <w:rFonts w:ascii="Times New Roman;Times;serif" w:hAnsi="Times New Roman;Times;serif"/>
                <w:sz w:val="19"/>
              </w:rPr>
              <w:t>Homes</w:t>
            </w:r>
            <w:r>
              <w:rPr>
                <w:rFonts w:ascii="Times New Roman;Times;serif" w:hAnsi="Times New Roman;Times;serif"/>
                <w:sz w:val="18"/>
              </w:rPr>
              <w:t xml:space="preserve"> </w:t>
            </w:r>
            <w:r>
              <w:rPr>
                <w:rFonts w:ascii="Times New Roman;Times;serif" w:hAnsi="Times New Roman;Times;serif"/>
                <w:sz w:val="14"/>
              </w:rPr>
              <w:t>(b)</w:t>
            </w:r>
          </w:p>
        </w:tc>
        <w:tc>
          <w:tcPr>
            <w:tcW w:w="326" w:type="dxa"/>
            <w:tcBorders/>
            <w:shd w:fill="CCEEFF" w:val="clear"/>
            <w:vAlign w:val="center"/>
          </w:tcPr>
          <w:p>
            <w:pPr>
              <w:pStyle w:val="TableContents"/>
              <w:spacing w:before="0" w:after="1"/>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149</w:t>
            </w:r>
          </w:p>
        </w:tc>
        <w:tc>
          <w:tcPr>
            <w:tcW w:w="326" w:type="dxa"/>
            <w:tcBorders/>
            <w:shd w:fill="CCEEFF" w:val="clear"/>
            <w:vAlign w:val="center"/>
          </w:tcPr>
          <w:p>
            <w:pPr>
              <w:pStyle w:val="TableContents"/>
              <w:spacing w:before="0" w:after="1"/>
              <w:ind w:left="0" w:right="0" w:hanging="0"/>
              <w:jc w:val="right"/>
              <w:rPr/>
            </w:pPr>
            <w:r>
              <w:rPr/>
              <w:t>​</w:t>
            </w:r>
          </w:p>
        </w:tc>
        <w:tc>
          <w:tcPr>
            <w:tcW w:w="224" w:type="dxa"/>
            <w:tcBorders/>
            <w:shd w:fill="CCEEFF" w:val="clear"/>
            <w:vAlign w:val="center"/>
          </w:tcPr>
          <w:p>
            <w:pPr>
              <w:pStyle w:val="TableContents"/>
              <w:spacing w:before="0" w:after="1"/>
              <w:ind w:left="0" w:right="0" w:hanging="0"/>
              <w:rPr/>
            </w:pPr>
            <w:r>
              <w:rPr/>
              <w:t>​</w:t>
            </w:r>
          </w:p>
        </w:tc>
        <w:tc>
          <w:tcPr>
            <w:tcW w:w="4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24" w:type="dxa"/>
            <w:tcBorders/>
            <w:shd w:fill="CCEEFF" w:val="clear"/>
            <w:vAlign w:val="center"/>
          </w:tcPr>
          <w:p>
            <w:pPr>
              <w:pStyle w:val="TableContents"/>
              <w:spacing w:before="0" w:after="1"/>
              <w:ind w:left="0" w:right="0" w:hanging="0"/>
              <w:rPr/>
            </w:pPr>
            <w:r>
              <w:rPr/>
              <w:t>​</w:t>
            </w:r>
          </w:p>
        </w:tc>
        <w:tc>
          <w:tcPr>
            <w:tcW w:w="4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18</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4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4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46" w:type="dxa"/>
            <w:tcBorders/>
            <w:shd w:fill="CCEEFF" w:val="clear"/>
            <w:vAlign w:val="center"/>
          </w:tcPr>
          <w:p>
            <w:pPr>
              <w:pStyle w:val="TableContents"/>
              <w:spacing w:before="0" w:after="1"/>
              <w:ind w:left="0" w:right="0" w:hanging="0"/>
              <w:rPr/>
            </w:pPr>
            <w:r>
              <w:rPr/>
              <w:t>​</w:t>
            </w:r>
          </w:p>
        </w:tc>
      </w:tr>
      <w:tr>
        <w:trPr/>
        <w:tc>
          <w:tcPr>
            <w:tcW w:w="1426" w:type="dxa"/>
            <w:tcBorders/>
            <w:shd w:fill="auto"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Total consolidated and unconsolidated</w:t>
            </w:r>
          </w:p>
        </w:tc>
        <w:tc>
          <w:tcPr>
            <w:tcW w:w="326" w:type="dxa"/>
            <w:tcBorders/>
            <w:shd w:fill="auto" w:val="clear"/>
            <w:vAlign w:val="center"/>
          </w:tcPr>
          <w:p>
            <w:pPr>
              <w:pStyle w:val="TableContents"/>
              <w:spacing w:before="0" w:after="1"/>
              <w:ind w:left="0" w:right="0" w:hanging="0"/>
              <w:rPr/>
            </w:pPr>
            <w:r>
              <w:rPr/>
              <w:t>​</w:t>
            </w:r>
          </w:p>
        </w:tc>
        <w:tc>
          <w:tcPr>
            <w:tcW w:w="4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476</w:t>
            </w:r>
          </w:p>
        </w:tc>
        <w:tc>
          <w:tcPr>
            <w:tcW w:w="326" w:type="dxa"/>
            <w:tcBorders/>
            <w:shd w:fill="auto" w:val="clear"/>
            <w:vAlign w:val="center"/>
          </w:tcPr>
          <w:p>
            <w:pPr>
              <w:pStyle w:val="TableContents"/>
              <w:spacing w:before="0" w:after="1"/>
              <w:ind w:left="0" w:right="0" w:hanging="0"/>
              <w:jc w:val="right"/>
              <w:rPr/>
            </w:pPr>
            <w:r>
              <w:rPr/>
              <w:t>​</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61" w:type="dxa"/>
            <w:tcBorders/>
            <w:shd w:fill="auto" w:val="clear"/>
            <w:vAlign w:val="center"/>
          </w:tcPr>
          <w:p>
            <w:pPr>
              <w:pStyle w:val="TableContents"/>
              <w:spacing w:before="0" w:after="1"/>
              <w:ind w:left="0" w:right="0" w:hanging="0"/>
              <w:rPr/>
            </w:pPr>
            <w:r>
              <w:rPr/>
              <w:t>​</w:t>
            </w:r>
          </w:p>
        </w:tc>
        <w:tc>
          <w:tcPr>
            <w:tcW w:w="4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9"/>
              </w:rPr>
            </w:pPr>
            <w:r>
              <w:rPr>
                <w:rFonts w:ascii="Times New Roman;Times;serif" w:hAnsi="Times New Roman;Times;serif"/>
                <w:b/>
                <w:sz w:val="19"/>
              </w:rPr>
              <w:t>199</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46" w:type="dxa"/>
            <w:tcBorders/>
            <w:shd w:fill="auto" w:val="clear"/>
            <w:vAlign w:val="center"/>
          </w:tcPr>
          <w:p>
            <w:pPr>
              <w:pStyle w:val="TableContents"/>
              <w:spacing w:before="0" w:after="1"/>
              <w:ind w:left="0" w:right="0" w:hanging="0"/>
              <w:rPr/>
            </w:pPr>
            <w:r>
              <w:rPr/>
              <w:t>​</w:t>
            </w:r>
          </w:p>
        </w:tc>
      </w:tr>
    </w:tbl>
    <w:tbl>
      <w:tblPr>
        <w:tblW w:w="9782" w:type="dxa"/>
        <w:jc w:val="left"/>
        <w:tblInd w:w="0" w:type="dxa"/>
        <w:tblCellMar>
          <w:top w:w="0" w:type="dxa"/>
          <w:left w:w="0" w:type="dxa"/>
          <w:bottom w:w="0" w:type="dxa"/>
          <w:right w:w="0" w:type="dxa"/>
        </w:tblCellMar>
      </w:tblPr>
      <w:tblGrid>
        <w:gridCol w:w="316"/>
        <w:gridCol w:w="9466"/>
      </w:tblGrid>
      <w:tr>
        <w:trPr/>
        <w:tc>
          <w:tcPr>
            <w:tcW w:w="31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46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three months ended March 31, 2023, includes 100 entitled but undeveloped homesites sold within the SouthWood community. </w:t>
            </w:r>
          </w:p>
        </w:tc>
      </w:tr>
    </w:tbl>
    <w:tbl>
      <w:tblPr>
        <w:tblW w:w="10205" w:type="dxa"/>
        <w:jc w:val="left"/>
        <w:tblInd w:w="0" w:type="dxa"/>
        <w:tblCellMar>
          <w:top w:w="0" w:type="dxa"/>
          <w:left w:w="0" w:type="dxa"/>
          <w:bottom w:w="0" w:type="dxa"/>
          <w:right w:w="0" w:type="dxa"/>
        </w:tblCellMar>
      </w:tblPr>
      <w:tblGrid>
        <w:gridCol w:w="309"/>
        <w:gridCol w:w="9896"/>
      </w:tblGrid>
      <w:tr>
        <w:trPr/>
        <w:tc>
          <w:tcPr>
            <w:tcW w:w="309"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89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8"/>
              </w:rPr>
              <w:t xml:space="preserve">Includes homes sold by the Latitude Margaritaville Watersound JV, which is unconsolidated and is accounted for under the equity method of accounting.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residential segment.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Homesites</w:t>
      </w:r>
      <w:r>
        <w:rPr>
          <w:rFonts w:ascii="Times New Roman;Times;serif" w:hAnsi="Times New Roman;Times;serif"/>
          <w:sz w:val="20"/>
        </w:rPr>
        <w:t xml:space="preserve">. Revenue from homesite sales decreased $4.7 million, or 15.5%, during the three months ended March 31, 2023, as compared to the same period in 2022, primarily due to the mix and number of homesites sold per community and the timing of homebuilder contractual closing obligations in our residential communities. During the three months ended March 31, 2023 and 2022, the average revenue, excluding homesite residuals, per homesite sold was approximately $62,000 and $150,000, respectively. The decrease in average revenue per homesite sold during the current period was due to the mix of sales from different communities, primarily from sales in the Watersound Camp Creek and WaterColor communities, which had a higher volume during the prior period. The current period homesite sales also include the sale of 100 entitled but undeveloped homesites sold within the SouthWood community, which reduced the average price per homesite. </w:t>
      </w:r>
      <w:r>
        <w:rPr>
          <w:rFonts w:ascii="TimesNewRomanPSMT" w:hAnsi="TimesNewRomanPSMT"/>
          <w:sz w:val="20"/>
        </w:rPr>
        <w:t>Gross margin decreased to 41.0% during the three months ended March 31, 2023, as compared to 57.4% during the same period in 2022, primarily due to the mix and number of homesites sold from different communities during each respective period. Gross margin may vary each period depending on the location of homesite sales.</w:t>
      </w:r>
    </w:p>
    <w:p>
      <w:pPr>
        <w:pStyle w:val="TextBody"/>
        <w:spacing w:before="0" w:after="240"/>
        <w:ind w:left="0" w:right="0" w:firstLine="360"/>
        <w:rPr>
          <w:rFonts w:ascii="Times New Roman;Times;serif" w:hAnsi="Times New Roman;Times;serif"/>
          <w:sz w:val="20"/>
        </w:rPr>
      </w:pPr>
      <w:r>
        <w:rPr>
          <w:rFonts w:ascii="TimesNewRomanPS-ItalicMT" w:hAnsi="TimesNewRomanPS-ItalicMT"/>
          <w:i/>
          <w:sz w:val="20"/>
        </w:rPr>
        <w:t xml:space="preserve">Land sales. </w:t>
      </w:r>
      <w:r>
        <w:rPr>
          <w:rFonts w:ascii="TimesNewRomanPS-ItalicMT" w:hAnsi="TimesNewRomanPS-ItalicMT"/>
          <w:sz w:val="20"/>
        </w:rPr>
        <w:t xml:space="preserve">During the three months ended March 31, 2023, we had unimproved residential land sales for $0.6 million, resulting in a gross margin of approximately 83.3%. </w:t>
      </w:r>
      <w:r>
        <w:rPr>
          <w:rFonts w:ascii="Times New Roman;Times;serif" w:hAnsi="Times New Roman;Times;serif"/>
          <w:sz w:val="20"/>
        </w:rPr>
        <w:t>During the three months ended March 31, 2022, we had unimproved residential land sales for $0.1 million, with de minimis cost of revenue.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operating expenses include salaries and benefits, property taxes, marketing, professional fees, project administration, owner association and CDD assessments and other administrative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Investment income, net primarily consists of interest earned on our notes receivable and unimproved land contribution to our unconsolidated Latitude Margaritaville Watersound JV as home sales are transacted in the community. See Note 8. </w:t>
      </w:r>
      <w:r>
        <w:rPr>
          <w:rFonts w:ascii="Times New Roman;Times;serif" w:hAnsi="Times New Roman;Times;serif"/>
          <w:i/>
          <w:sz w:val="20"/>
        </w:rPr>
        <w:t>Other Assets</w:t>
      </w:r>
      <w:r>
        <w:rPr>
          <w:rFonts w:ascii="Times New Roman;Times;serif" w:hAnsi="Times New Roman;Times;serif"/>
          <w:sz w:val="20"/>
        </w:rPr>
        <w:t xml:space="preserve"> and Note 4. </w:t>
      </w:r>
      <w:r>
        <w:rPr>
          <w:rFonts w:ascii="Times New Roman;Times;serif" w:hAnsi="Times New Roman;Times;serif"/>
          <w:i/>
          <w:sz w:val="20"/>
        </w:rPr>
        <w:t>Joint Ventures</w:t>
      </w:r>
      <w:r>
        <w:rPr>
          <w:rFonts w:ascii="Times New Roman;Times;serif" w:hAnsi="Times New Roman;Times;serif"/>
          <w:sz w:val="20"/>
        </w:rPr>
        <w:t xml:space="preserve"> for additional information. Interest expense primarily consists of interest incurred on our portion of the total outstanding CDD debt.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Gain on contributions to unconsolidated joint ventures for the three months ended March 31, 2023 and 2022, includes a gain of $0.5 million and less than $0.1 million, respectively, on additional infrastructure improvements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contributed to our unconsolidated Latitude Margaritaville Watersound JV.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Equity in income (loss) from unconsolidated joint ventures includes our proportionate share of earnings or losses of unconsolidated joint ventures accounted for by the equity method. Equity in income (loss) from unconsolidated joint ventures during the three months ended March 31, 2023 includes $3.9 million of income, compared to $0.6 million of loss during the same period in 2022, related to the Latitude Margaritaville Watersound JV. The Latitude Margaritaville Watersound JV began completing home sale transactions in the fourth quarter of 2021 and completed 149 home sale transactions during the three months ended March 31, 2023, compared to 18 home sale transactions during the same period in 2022.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income (expense), net for the three months ended March 31, 2022 includes $1.0 million of design costs no longer pursued.</w:t>
      </w:r>
    </w:p>
    <w:p>
      <w:pPr>
        <w:pStyle w:val="TextBody"/>
        <w:spacing w:before="0" w:after="240"/>
        <w:ind w:left="0" w:right="0" w:hanging="0"/>
        <w:rPr>
          <w:rFonts w:ascii="Times New Roman;Times;serif" w:hAnsi="Times New Roman;Times;serif"/>
          <w:b/>
          <w:i/>
          <w:sz w:val="20"/>
        </w:rPr>
      </w:pPr>
      <w:bookmarkStart w:id="1935" w:name="_Hlk77005955"/>
      <w:bookmarkStart w:id="1936" w:name="_Hlk100760697"/>
      <w:bookmarkEnd w:id="1935"/>
      <w:bookmarkEnd w:id="1936"/>
      <w:r>
        <w:rPr>
          <w:rFonts w:ascii="Times New Roman;Times;serif" w:hAnsi="Times New Roman;Times;serif"/>
          <w:b/>
          <w:i/>
          <w:sz w:val="20"/>
        </w:rPr>
        <w:t>Hospitality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table below sets forth the consolidated results of operations of our hospitality segment:</w:t>
      </w:r>
    </w:p>
    <w:tbl>
      <w:tblPr>
        <w:tblW w:w="5954" w:type="dxa"/>
        <w:jc w:val="left"/>
        <w:tblInd w:w="0" w:type="dxa"/>
        <w:tblCellMar>
          <w:top w:w="0" w:type="dxa"/>
          <w:left w:w="0" w:type="dxa"/>
          <w:bottom w:w="0" w:type="dxa"/>
          <w:right w:w="0" w:type="dxa"/>
        </w:tblCellMar>
      </w:tblPr>
      <w:tblGrid>
        <w:gridCol w:w="3466"/>
        <w:gridCol w:w="299"/>
        <w:gridCol w:w="682"/>
        <w:gridCol w:w="462"/>
        <w:gridCol w:w="299"/>
        <w:gridCol w:w="746"/>
      </w:tblGrid>
      <w:tr>
        <w:trPr/>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200910" cy="175260"/>
                      <wp:effectExtent l="0" t="0" r="0" b="0"/>
                      <wp:wrapNone/>
                      <wp:docPr id="625" name="Frame625"/>
                      <a:graphic xmlns:a="http://schemas.openxmlformats.org/drawingml/2006/main">
                        <a:graphicData uri="http://schemas.microsoft.com/office/word/2010/wordprocessingShape">
                          <wps:wsp>
                            <wps:cNvSpPr txBox="1"/>
                            <wps:spPr>
                              <a:xfrm>
                                <a:off x="0" y="0"/>
                                <a:ext cx="2200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89865" cy="175260"/>
                      <wp:effectExtent l="0" t="0" r="0" b="0"/>
                      <wp:wrapNone/>
                      <wp:docPr id="626" name="Frame626"/>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433070" cy="175260"/>
                      <wp:effectExtent l="0" t="0" r="0" b="0"/>
                      <wp:wrapNone/>
                      <wp:docPr id="627" name="Frame627"/>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93370" cy="175260"/>
                      <wp:effectExtent l="0" t="0" r="0" b="0"/>
                      <wp:wrapNone/>
                      <wp:docPr id="628" name="Frame628"/>
                      <a:graphic xmlns:a="http://schemas.openxmlformats.org/drawingml/2006/main">
                        <a:graphicData uri="http://schemas.microsoft.com/office/word/2010/wordprocessingShape">
                          <wps:wsp>
                            <wps:cNvSpPr txBox="1"/>
                            <wps:spPr>
                              <a:xfrm>
                                <a:off x="0" y="0"/>
                                <a:ext cx="293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89865" cy="175260"/>
                      <wp:effectExtent l="0" t="0" r="0" b="0"/>
                      <wp:wrapNone/>
                      <wp:docPr id="629" name="Frame629"/>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73710" cy="175260"/>
                      <wp:effectExtent l="0" t="0" r="0" b="0"/>
                      <wp:wrapNone/>
                      <wp:docPr id="630" name="Frame630"/>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1"/>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466" w:type="dxa"/>
            <w:tcBorders/>
            <w:shd w:fill="auto" w:val="clear"/>
            <w:vAlign w:val="center"/>
          </w:tcPr>
          <w:p>
            <w:pPr>
              <w:pStyle w:val="TableContents"/>
              <w:spacing w:before="0" w:after="1"/>
              <w:ind w:left="0" w:right="0" w:hanging="0"/>
              <w:rPr/>
            </w:pPr>
            <w:r>
              <w:rPr/>
              <w:t>​</w:t>
            </w:r>
          </w:p>
        </w:tc>
        <w:tc>
          <w:tcPr>
            <w:tcW w:w="9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2" w:type="dxa"/>
            <w:tcBorders/>
            <w:shd w:fill="auto" w:val="clear"/>
            <w:vAlign w:val="center"/>
          </w:tcPr>
          <w:p>
            <w:pPr>
              <w:pStyle w:val="TableContents"/>
              <w:spacing w:before="0" w:after="1"/>
              <w:ind w:left="0" w:right="0" w:hanging="0"/>
              <w:jc w:val="center"/>
              <w:rPr/>
            </w:pPr>
            <w:r>
              <w:rPr/>
              <w:t>    </w:t>
            </w:r>
          </w:p>
        </w:tc>
        <w:tc>
          <w:tcPr>
            <w:tcW w:w="10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54"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3466" w:type="dxa"/>
            <w:tcBorders/>
            <w:shd w:fill="auto" w:val="clear"/>
            <w:vAlign w:val="center"/>
          </w:tcPr>
          <w:p>
            <w:pPr>
              <w:pStyle w:val="TableContents"/>
              <w:spacing w:before="0" w:after="1"/>
              <w:ind w:left="0" w:right="0" w:hanging="0"/>
              <w:rPr/>
            </w:pPr>
            <w:r>
              <w:rPr/>
              <w:t>​</w:t>
            </w:r>
          </w:p>
        </w:tc>
        <w:tc>
          <w:tcPr>
            <w:tcW w:w="2488" w:type="dxa"/>
            <w:gridSpan w:val="5"/>
            <w:tcBorders/>
            <w:shd w:fill="auto" w:val="clear"/>
            <w:vAlign w:val="center"/>
          </w:tcPr>
          <w:p>
            <w:pPr>
              <w:pStyle w:val="TableContents"/>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Revenue:</w:t>
            </w:r>
          </w:p>
        </w:tc>
        <w:tc>
          <w:tcPr>
            <w:tcW w:w="299" w:type="dxa"/>
            <w:tcBorders/>
            <w:shd w:fill="CCEEFF" w:val="clear"/>
            <w:vAlign w:val="center"/>
          </w:tcPr>
          <w:p>
            <w:pPr>
              <w:pStyle w:val="TableContents"/>
              <w:spacing w:before="0" w:after="1"/>
              <w:ind w:left="0" w:right="0" w:hanging="0"/>
              <w:rPr/>
            </w:pPr>
            <w:r>
              <w:rPr/>
              <w:t>​</w:t>
            </w:r>
          </w:p>
        </w:tc>
        <w:tc>
          <w:tcPr>
            <w:tcW w:w="682" w:type="dxa"/>
            <w:tcBorders/>
            <w:shd w:fill="CCEEFF" w:val="clear"/>
            <w:vAlign w:val="center"/>
          </w:tcPr>
          <w:p>
            <w:pPr>
              <w:pStyle w:val="TableContents"/>
              <w:spacing w:before="0" w:after="1"/>
              <w:ind w:left="0" w:right="0" w:hanging="0"/>
              <w:jc w:val="right"/>
              <w:rPr/>
            </w:pPr>
            <w:r>
              <w:rPr/>
              <w:t>  </w:t>
            </w:r>
          </w:p>
        </w:tc>
        <w:tc>
          <w:tcPr>
            <w:tcW w:w="462" w:type="dxa"/>
            <w:tcBorders/>
            <w:shd w:fill="CCEEFF" w:val="clear"/>
            <w:vAlign w:val="center"/>
          </w:tcPr>
          <w:p>
            <w:pPr>
              <w:pStyle w:val="TableContents"/>
              <w:spacing w:before="0" w:after="1"/>
              <w:ind w:left="0" w:right="0" w:hanging="0"/>
              <w:rPr/>
            </w:pPr>
            <w:r>
              <w:rPr/>
              <w:t> </w:t>
            </w:r>
          </w:p>
        </w:tc>
        <w:tc>
          <w:tcPr>
            <w:tcW w:w="299" w:type="dxa"/>
            <w:tcBorders/>
            <w:shd w:fill="CCEEFF" w:val="clear"/>
            <w:vAlign w:val="center"/>
          </w:tcPr>
          <w:p>
            <w:pPr>
              <w:pStyle w:val="TableContents"/>
              <w:spacing w:before="0" w:after="1"/>
              <w:ind w:left="0" w:right="0" w:hanging="0"/>
              <w:rPr/>
            </w:pPr>
            <w:r>
              <w:rPr/>
              <w:t>​</w:t>
            </w:r>
          </w:p>
        </w:tc>
        <w:tc>
          <w:tcPr>
            <w:tcW w:w="746" w:type="dxa"/>
            <w:tcBorders/>
            <w:shd w:fill="CCEEFF" w:val="clear"/>
            <w:vAlign w:val="center"/>
          </w:tcPr>
          <w:p>
            <w:pPr>
              <w:pStyle w:val="TableContents"/>
              <w:spacing w:before="0" w:after="1"/>
              <w:ind w:left="0" w:right="0" w:hanging="0"/>
              <w:jc w:val="right"/>
              <w:rPr/>
            </w:pPr>
            <w:r>
              <w:rPr/>
              <w:t>  </w:t>
            </w:r>
          </w:p>
        </w:tc>
      </w:tr>
      <w:tr>
        <w:trPr/>
        <w:tc>
          <w:tcPr>
            <w:tcW w:w="3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Hospitality revenue</w:t>
            </w:r>
          </w:p>
        </w:tc>
        <w:tc>
          <w:tcPr>
            <w:tcW w:w="2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462"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Leasing revenue</w:t>
            </w:r>
          </w:p>
        </w:tc>
        <w:tc>
          <w:tcPr>
            <w:tcW w:w="29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462" w:type="dxa"/>
            <w:tcBorders/>
            <w:shd w:fill="CCEEFF" w:val="clear"/>
            <w:vAlign w:val="center"/>
          </w:tcPr>
          <w:p>
            <w:pPr>
              <w:pStyle w:val="TableContents"/>
              <w:spacing w:before="0" w:after="1"/>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revenue</w:t>
            </w:r>
          </w:p>
        </w:tc>
        <w:tc>
          <w:tcPr>
            <w:tcW w:w="299" w:type="dxa"/>
            <w:tcBorders/>
            <w:shd w:fill="auto" w:val="clear"/>
            <w:vAlign w:val="center"/>
          </w:tcPr>
          <w:p>
            <w:pPr>
              <w:pStyle w:val="TableContents"/>
              <w:spacing w:before="0" w:after="1"/>
              <w:ind w:left="0" w:right="0" w:hanging="0"/>
              <w:rPr/>
            </w:pPr>
            <w:r>
              <w:rPr/>
              <w:t>​</w:t>
            </w:r>
          </w:p>
        </w:tc>
        <w:tc>
          <w:tcPr>
            <w:tcW w:w="6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462"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pPr>
            <w:r>
              <w:rPr/>
              <w:t>​</w:t>
            </w:r>
          </w:p>
        </w:tc>
        <w:tc>
          <w:tcPr>
            <w:tcW w:w="7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Expenses:</w:t>
            </w:r>
          </w:p>
        </w:tc>
        <w:tc>
          <w:tcPr>
            <w:tcW w:w="299" w:type="dxa"/>
            <w:tcBorders/>
            <w:shd w:fill="CCEEFF" w:val="clear"/>
            <w:vAlign w:val="center"/>
          </w:tcPr>
          <w:p>
            <w:pPr>
              <w:pStyle w:val="TableContents"/>
              <w:spacing w:before="0" w:after="1"/>
              <w:ind w:left="0" w:right="0" w:hanging="0"/>
              <w:rPr/>
            </w:pPr>
            <w:r>
              <w:rPr/>
              <w:t> </w:t>
            </w:r>
          </w:p>
        </w:tc>
        <w:tc>
          <w:tcPr>
            <w:tcW w:w="682" w:type="dxa"/>
            <w:tcBorders/>
            <w:shd w:fill="CCEEFF" w:val="clear"/>
            <w:vAlign w:val="center"/>
          </w:tcPr>
          <w:p>
            <w:pPr>
              <w:pStyle w:val="TableContents"/>
              <w:spacing w:before="0" w:after="1"/>
              <w:ind w:left="0" w:right="0" w:hanging="0"/>
              <w:jc w:val="right"/>
              <w:rPr/>
            </w:pPr>
            <w:r>
              <w:rPr/>
              <w:t>  </w:t>
            </w:r>
          </w:p>
        </w:tc>
        <w:tc>
          <w:tcPr>
            <w:tcW w:w="462"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pPr>
            <w:r>
              <w:rPr/>
              <w:t> </w:t>
            </w:r>
          </w:p>
        </w:tc>
        <w:tc>
          <w:tcPr>
            <w:tcW w:w="746" w:type="dxa"/>
            <w:tcBorders/>
            <w:shd w:fill="CCEEFF" w:val="clear"/>
            <w:vAlign w:val="center"/>
          </w:tcPr>
          <w:p>
            <w:pPr>
              <w:pStyle w:val="TableContents"/>
              <w:spacing w:before="0" w:after="1"/>
              <w:ind w:left="0" w:right="0" w:hanging="0"/>
              <w:jc w:val="right"/>
              <w:rPr/>
            </w:pPr>
            <w:r>
              <w:rPr/>
              <w:t>  </w:t>
            </w:r>
          </w:p>
        </w:tc>
      </w:tr>
      <w:tr>
        <w:trPr/>
        <w:tc>
          <w:tcPr>
            <w:tcW w:w="3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hospitality revenue</w:t>
            </w:r>
          </w:p>
        </w:tc>
        <w:tc>
          <w:tcPr>
            <w:tcW w:w="299" w:type="dxa"/>
            <w:tcBorders/>
            <w:shd w:fill="auto" w:val="clear"/>
            <w:vAlign w:val="center"/>
          </w:tcPr>
          <w:p>
            <w:pPr>
              <w:pStyle w:val="TableContents"/>
              <w:spacing w:before="0" w:after="1"/>
              <w:ind w:left="0" w:right="0" w:hanging="0"/>
              <w:rPr/>
            </w:pPr>
            <w:r>
              <w:rPr/>
              <w:t> </w:t>
            </w:r>
          </w:p>
        </w:tc>
        <w:tc>
          <w:tcPr>
            <w:tcW w:w="6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462"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pPr>
            <w:r>
              <w:rPr/>
              <w:t> </w:t>
            </w:r>
          </w:p>
        </w:tc>
        <w:tc>
          <w:tcPr>
            <w:tcW w:w="7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leasing revenue</w:t>
            </w:r>
          </w:p>
        </w:tc>
        <w:tc>
          <w:tcPr>
            <w:tcW w:w="299" w:type="dxa"/>
            <w:tcBorders/>
            <w:shd w:fill="CCEEFF" w:val="clear"/>
            <w:vAlign w:val="center"/>
          </w:tcPr>
          <w:p>
            <w:pPr>
              <w:pStyle w:val="TableContents"/>
              <w:spacing w:before="0" w:after="1"/>
              <w:ind w:left="0" w:right="0" w:hanging="0"/>
              <w:rPr/>
            </w:pPr>
            <w:r>
              <w:rPr/>
              <w:t> </w:t>
            </w:r>
          </w:p>
        </w:tc>
        <w:tc>
          <w:tcPr>
            <w:tcW w:w="6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462"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pPr>
            <w:r>
              <w:rPr/>
              <w:t> </w:t>
            </w:r>
          </w:p>
        </w:tc>
        <w:tc>
          <w:tcPr>
            <w:tcW w:w="746" w:type="dxa"/>
            <w:tcBorders/>
            <w:shd w:fill="CCEEFF" w:val="clear"/>
            <w:vAlign w:val="center"/>
          </w:tcPr>
          <w:p>
            <w:pPr>
              <w:pStyle w:val="TableContents"/>
              <w:spacing w:before="0" w:after="1"/>
              <w:ind w:left="0" w:right="0" w:hanging="0"/>
              <w:jc w:val="right"/>
              <w:rPr/>
            </w:pPr>
            <w:r>
              <w:rPr/>
              <w:t>—</w:t>
            </w:r>
          </w:p>
        </w:tc>
      </w:tr>
      <w:tr>
        <w:trPr/>
        <w:tc>
          <w:tcPr>
            <w:tcW w:w="3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operating expenses</w:t>
            </w:r>
          </w:p>
        </w:tc>
        <w:tc>
          <w:tcPr>
            <w:tcW w:w="299" w:type="dxa"/>
            <w:tcBorders/>
            <w:shd w:fill="auto" w:val="clear"/>
            <w:vAlign w:val="center"/>
          </w:tcPr>
          <w:p>
            <w:pPr>
              <w:pStyle w:val="TableContents"/>
              <w:spacing w:before="0" w:after="1"/>
              <w:ind w:left="0" w:right="0" w:hanging="0"/>
              <w:rPr/>
            </w:pPr>
            <w:r>
              <w:rPr/>
              <w:t> </w:t>
            </w:r>
          </w:p>
        </w:tc>
        <w:tc>
          <w:tcPr>
            <w:tcW w:w="6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462"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pPr>
            <w:r>
              <w:rPr/>
              <w:t> </w:t>
            </w:r>
          </w:p>
        </w:tc>
        <w:tc>
          <w:tcPr>
            <w:tcW w:w="7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depletion and amortization</w:t>
            </w:r>
          </w:p>
        </w:tc>
        <w:tc>
          <w:tcPr>
            <w:tcW w:w="29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462" w:type="dxa"/>
            <w:tcBorders/>
            <w:shd w:fill="CCEEFF" w:val="clear"/>
            <w:vAlign w:val="center"/>
          </w:tcPr>
          <w:p>
            <w:pPr>
              <w:pStyle w:val="TableContents"/>
              <w:spacing w:before="0" w:after="1"/>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expenses</w:t>
            </w:r>
          </w:p>
        </w:tc>
        <w:tc>
          <w:tcPr>
            <w:tcW w:w="299" w:type="dxa"/>
            <w:tcBorders/>
            <w:shd w:fill="auto" w:val="clear"/>
            <w:vAlign w:val="center"/>
          </w:tcPr>
          <w:p>
            <w:pPr>
              <w:pStyle w:val="TableContents"/>
              <w:spacing w:before="0" w:after="1"/>
              <w:ind w:left="0" w:right="0" w:hanging="0"/>
              <w:rPr/>
            </w:pPr>
            <w:r>
              <w:rPr/>
              <w:t> </w:t>
            </w:r>
          </w:p>
        </w:tc>
        <w:tc>
          <w:tcPr>
            <w:tcW w:w="6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462"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pPr>
            <w:r>
              <w:rPr/>
              <w:t> </w:t>
            </w:r>
          </w:p>
        </w:tc>
        <w:tc>
          <w:tcPr>
            <w:tcW w:w="7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loss</w:t>
            </w:r>
          </w:p>
        </w:tc>
        <w:tc>
          <w:tcPr>
            <w:tcW w:w="299" w:type="dxa"/>
            <w:tcBorders/>
            <w:shd w:fill="CCEEFF" w:val="clear"/>
            <w:vAlign w:val="center"/>
          </w:tcPr>
          <w:p>
            <w:pPr>
              <w:pStyle w:val="TableContents"/>
              <w:spacing w:before="0" w:after="1"/>
              <w:ind w:left="0" w:right="0" w:hanging="0"/>
              <w:rPr/>
            </w:pPr>
            <w:r>
              <w:rPr/>
              <w:t> </w:t>
            </w:r>
          </w:p>
        </w:tc>
        <w:tc>
          <w:tcPr>
            <w:tcW w:w="6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462"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pPr>
            <w:r>
              <w:rPr/>
              <w:t> </w:t>
            </w:r>
          </w:p>
        </w:tc>
        <w:tc>
          <w:tcPr>
            <w:tcW w:w="7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3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expense:</w:t>
            </w:r>
          </w:p>
        </w:tc>
        <w:tc>
          <w:tcPr>
            <w:tcW w:w="299" w:type="dxa"/>
            <w:tcBorders/>
            <w:shd w:fill="auto" w:val="clear"/>
            <w:vAlign w:val="center"/>
          </w:tcPr>
          <w:p>
            <w:pPr>
              <w:pStyle w:val="TableContents"/>
              <w:spacing w:before="0" w:after="1"/>
              <w:ind w:left="0" w:right="0" w:hanging="0"/>
              <w:rPr/>
            </w:pPr>
            <w:r>
              <w:rPr/>
              <w:t> </w:t>
            </w:r>
          </w:p>
        </w:tc>
        <w:tc>
          <w:tcPr>
            <w:tcW w:w="682" w:type="dxa"/>
            <w:tcBorders/>
            <w:shd w:fill="auto" w:val="clear"/>
            <w:vAlign w:val="center"/>
          </w:tcPr>
          <w:p>
            <w:pPr>
              <w:pStyle w:val="TableContents"/>
              <w:spacing w:before="0" w:after="1"/>
              <w:ind w:left="0" w:right="0" w:hanging="0"/>
              <w:jc w:val="right"/>
              <w:rPr/>
            </w:pPr>
            <w:r>
              <w:rPr/>
              <w:t>  </w:t>
            </w:r>
          </w:p>
        </w:tc>
        <w:tc>
          <w:tcPr>
            <w:tcW w:w="462"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pPr>
            <w:r>
              <w:rPr/>
              <w:t> </w:t>
            </w:r>
          </w:p>
        </w:tc>
        <w:tc>
          <w:tcPr>
            <w:tcW w:w="746" w:type="dxa"/>
            <w:tcBorders/>
            <w:shd w:fill="auto" w:val="clear"/>
            <w:vAlign w:val="center"/>
          </w:tcPr>
          <w:p>
            <w:pPr>
              <w:pStyle w:val="TableContents"/>
              <w:spacing w:before="0" w:after="1"/>
              <w:ind w:left="0" w:right="0" w:hanging="0"/>
              <w:jc w:val="right"/>
              <w:rPr/>
            </w:pPr>
            <w:r>
              <w:rPr/>
              <w:t>  </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299" w:type="dxa"/>
            <w:tcBorders/>
            <w:shd w:fill="CCEEFF" w:val="clear"/>
            <w:vAlign w:val="center"/>
          </w:tcPr>
          <w:p>
            <w:pPr>
              <w:pStyle w:val="TableContents"/>
              <w:spacing w:before="0" w:after="1"/>
              <w:ind w:left="0" w:right="0" w:hanging="0"/>
              <w:rPr/>
            </w:pPr>
            <w:r>
              <w:rPr/>
              <w:t>​</w:t>
            </w:r>
          </w:p>
        </w:tc>
        <w:tc>
          <w:tcPr>
            <w:tcW w:w="6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62"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pPr>
            <w:r>
              <w:rPr/>
              <w:t>​</w:t>
            </w:r>
          </w:p>
        </w:tc>
        <w:tc>
          <w:tcPr>
            <w:tcW w:w="7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expense, net</w:t>
            </w:r>
          </w:p>
        </w:tc>
        <w:tc>
          <w:tcPr>
            <w:tcW w:w="2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462" w:type="dxa"/>
            <w:tcBorders/>
            <w:shd w:fill="auto" w:val="clear"/>
            <w:vAlign w:val="center"/>
          </w:tcPr>
          <w:p>
            <w:pPr>
              <w:pStyle w:val="TableContents"/>
              <w:spacing w:before="0" w:after="1"/>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29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62" w:type="dxa"/>
            <w:tcBorders/>
            <w:shd w:fill="CCEEFF" w:val="clear"/>
            <w:vAlign w:val="center"/>
          </w:tcPr>
          <w:p>
            <w:pPr>
              <w:pStyle w:val="TableContents"/>
              <w:spacing w:before="0" w:after="1"/>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346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Loss before income taxes</w:t>
            </w:r>
          </w:p>
        </w:tc>
        <w:tc>
          <w:tcPr>
            <w:tcW w:w="29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(3.5)</w:t>
            </w:r>
          </w:p>
        </w:tc>
        <w:tc>
          <w:tcPr>
            <w:tcW w:w="462" w:type="dxa"/>
            <w:tcBorders/>
            <w:shd w:fill="auto" w:val="clear"/>
            <w:vAlign w:val="center"/>
          </w:tcPr>
          <w:p>
            <w:pPr>
              <w:pStyle w:val="TableContents"/>
              <w:spacing w:before="0" w:after="1"/>
              <w:ind w:left="0" w:right="0" w:hanging="0"/>
              <w:rPr/>
            </w:pPr>
            <w:r>
              <w:rPr/>
              <w:t>​</w:t>
            </w:r>
          </w:p>
        </w:tc>
        <w:tc>
          <w:tcPr>
            <w:tcW w:w="29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(0.9)</w:t>
            </w:r>
          </w:p>
        </w:tc>
      </w:tr>
    </w:tbl>
    <w:p>
      <w:pPr>
        <w:pStyle w:val="TextBody"/>
        <w:spacing w:before="0" w:after="240"/>
        <w:ind w:left="0" w:right="0" w:firstLine="360"/>
        <w:rPr/>
      </w:pPr>
      <w:r>
        <w:rPr/>
        <w:t>​</w:t>
      </w:r>
    </w:p>
    <w:p>
      <w:pPr>
        <w:pStyle w:val="TextBody"/>
        <w:spacing w:before="240" w:after="240"/>
        <w:ind w:left="0" w:right="0" w:hanging="0"/>
        <w:rPr>
          <w:rFonts w:ascii="Times New Roman;Times;serif" w:hAnsi="Times New Roman;Times;serif"/>
          <w:i/>
          <w:sz w:val="20"/>
        </w:rPr>
      </w:pPr>
      <w:r>
        <w:rPr>
          <w:rFonts w:ascii="Times New Roman;Times;serif" w:hAnsi="Times New Roman;Times;serif"/>
          <w:i/>
          <w:sz w:val="20"/>
        </w:rPr>
        <w:t>Three months ended March 31, 2023 compared to the three months ended March 31,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sets forth details of our hospitality segment consolidated revenue and cost of revenue:</w:t>
      </w:r>
    </w:p>
    <w:tbl>
      <w:tblPr>
        <w:tblW w:w="7250" w:type="dxa"/>
        <w:jc w:val="left"/>
        <w:tblInd w:w="0" w:type="dxa"/>
        <w:tblCellMar>
          <w:top w:w="0" w:type="dxa"/>
          <w:left w:w="0" w:type="dxa"/>
          <w:bottom w:w="0" w:type="dxa"/>
          <w:right w:w="0" w:type="dxa"/>
        </w:tblCellMar>
      </w:tblPr>
      <w:tblGrid>
        <w:gridCol w:w="646"/>
        <w:gridCol w:w="109"/>
        <w:gridCol w:w="260"/>
        <w:gridCol w:w="576"/>
        <w:gridCol w:w="134"/>
        <w:gridCol w:w="260"/>
        <w:gridCol w:w="594"/>
        <w:gridCol w:w="180"/>
        <w:gridCol w:w="798"/>
        <w:gridCol w:w="391"/>
        <w:gridCol w:w="109"/>
        <w:gridCol w:w="260"/>
        <w:gridCol w:w="576"/>
        <w:gridCol w:w="134"/>
        <w:gridCol w:w="260"/>
        <w:gridCol w:w="594"/>
        <w:gridCol w:w="180"/>
        <w:gridCol w:w="798"/>
        <w:gridCol w:w="391"/>
      </w:tblGrid>
      <w:tr>
        <w:trPr/>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410210" cy="175260"/>
                      <wp:effectExtent l="0" t="0" r="0" b="0"/>
                      <wp:wrapNone/>
                      <wp:docPr id="631" name="Frame631"/>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9215" cy="175260"/>
                      <wp:effectExtent l="0" t="0" r="0" b="0"/>
                      <wp:wrapNone/>
                      <wp:docPr id="632" name="Frame6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65100" cy="175260"/>
                      <wp:effectExtent l="0" t="0" r="0" b="0"/>
                      <wp:wrapNone/>
                      <wp:docPr id="633" name="Frame633"/>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365760" cy="175260"/>
                      <wp:effectExtent l="0" t="0" r="0" b="0"/>
                      <wp:wrapNone/>
                      <wp:docPr id="634" name="Frame634"/>
                      <a:graphic xmlns:a="http://schemas.openxmlformats.org/drawingml/2006/main">
                        <a:graphicData uri="http://schemas.microsoft.com/office/word/2010/wordprocessingShape">
                          <wps:wsp>
                            <wps:cNvSpPr txBox="1"/>
                            <wps:spPr>
                              <a:xfrm>
                                <a:off x="0" y="0"/>
                                <a:ext cx="365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85090" cy="175260"/>
                      <wp:effectExtent l="0" t="0" r="0" b="0"/>
                      <wp:wrapNone/>
                      <wp:docPr id="635" name="Frame635"/>
                      <a:graphic xmlns:a="http://schemas.openxmlformats.org/drawingml/2006/main">
                        <a:graphicData uri="http://schemas.microsoft.com/office/word/2010/wordprocessingShape">
                          <wps:wsp>
                            <wps:cNvSpPr txBox="1"/>
                            <wps:spPr>
                              <a:xfrm>
                                <a:off x="0" y="0"/>
                                <a:ext cx="850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65100" cy="175260"/>
                      <wp:effectExtent l="0" t="0" r="0" b="0"/>
                      <wp:wrapNone/>
                      <wp:docPr id="636" name="Frame636"/>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377190" cy="175260"/>
                      <wp:effectExtent l="0" t="0" r="0" b="0"/>
                      <wp:wrapNone/>
                      <wp:docPr id="637" name="Frame637"/>
                      <a:graphic xmlns:a="http://schemas.openxmlformats.org/drawingml/2006/main">
                        <a:graphicData uri="http://schemas.microsoft.com/office/word/2010/wordprocessingShape">
                          <wps:wsp>
                            <wps:cNvSpPr txBox="1"/>
                            <wps:spPr>
                              <a:xfrm>
                                <a:off x="0" y="0"/>
                                <a:ext cx="3771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14300" cy="175260"/>
                      <wp:effectExtent l="0" t="0" r="0" b="0"/>
                      <wp:wrapNone/>
                      <wp:docPr id="638" name="Frame638"/>
                      <a:graphic xmlns:a="http://schemas.openxmlformats.org/drawingml/2006/main">
                        <a:graphicData uri="http://schemas.microsoft.com/office/word/2010/wordprocessingShape">
                          <wps:wsp>
                            <wps:cNvSpPr txBox="1"/>
                            <wps:spPr>
                              <a:xfrm>
                                <a:off x="0" y="0"/>
                                <a:ext cx="1143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506730" cy="175260"/>
                      <wp:effectExtent l="0" t="0" r="0" b="0"/>
                      <wp:wrapNone/>
                      <wp:docPr id="639" name="Frame639"/>
                      <a:graphic xmlns:a="http://schemas.openxmlformats.org/drawingml/2006/main">
                        <a:graphicData uri="http://schemas.microsoft.com/office/word/2010/wordprocessingShape">
                          <wps:wsp>
                            <wps:cNvSpPr txBox="1"/>
                            <wps:spPr>
                              <a:xfrm>
                                <a:off x="0" y="0"/>
                                <a:ext cx="5067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48285" cy="175260"/>
                      <wp:effectExtent l="0" t="0" r="0" b="0"/>
                      <wp:wrapNone/>
                      <wp:docPr id="640" name="Frame640"/>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9215" cy="175260"/>
                      <wp:effectExtent l="0" t="0" r="0" b="0"/>
                      <wp:wrapNone/>
                      <wp:docPr id="641" name="Frame6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65100" cy="175260"/>
                      <wp:effectExtent l="0" t="0" r="0" b="0"/>
                      <wp:wrapNone/>
                      <wp:docPr id="642" name="Frame642"/>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365760" cy="175260"/>
                      <wp:effectExtent l="0" t="0" r="0" b="0"/>
                      <wp:wrapNone/>
                      <wp:docPr id="643" name="Frame643"/>
                      <a:graphic xmlns:a="http://schemas.openxmlformats.org/drawingml/2006/main">
                        <a:graphicData uri="http://schemas.microsoft.com/office/word/2010/wordprocessingShape">
                          <wps:wsp>
                            <wps:cNvSpPr txBox="1"/>
                            <wps:spPr>
                              <a:xfrm>
                                <a:off x="0" y="0"/>
                                <a:ext cx="365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85090" cy="175260"/>
                      <wp:effectExtent l="0" t="0" r="0" b="0"/>
                      <wp:wrapNone/>
                      <wp:docPr id="644" name="Frame644"/>
                      <a:graphic xmlns:a="http://schemas.openxmlformats.org/drawingml/2006/main">
                        <a:graphicData uri="http://schemas.microsoft.com/office/word/2010/wordprocessingShape">
                          <wps:wsp>
                            <wps:cNvSpPr txBox="1"/>
                            <wps:spPr>
                              <a:xfrm>
                                <a:off x="0" y="0"/>
                                <a:ext cx="850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65100" cy="175260"/>
                      <wp:effectExtent l="0" t="0" r="0" b="0"/>
                      <wp:wrapNone/>
                      <wp:docPr id="645" name="Frame645"/>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377190" cy="175260"/>
                      <wp:effectExtent l="0" t="0" r="0" b="0"/>
                      <wp:wrapNone/>
                      <wp:docPr id="646" name="Frame646"/>
                      <a:graphic xmlns:a="http://schemas.openxmlformats.org/drawingml/2006/main">
                        <a:graphicData uri="http://schemas.microsoft.com/office/word/2010/wordprocessingShape">
                          <wps:wsp>
                            <wps:cNvSpPr txBox="1"/>
                            <wps:spPr>
                              <a:xfrm>
                                <a:off x="0" y="0"/>
                                <a:ext cx="3771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14300" cy="175260"/>
                      <wp:effectExtent l="0" t="0" r="0" b="0"/>
                      <wp:wrapNone/>
                      <wp:docPr id="647" name="Frame647"/>
                      <a:graphic xmlns:a="http://schemas.openxmlformats.org/drawingml/2006/main">
                        <a:graphicData uri="http://schemas.microsoft.com/office/word/2010/wordprocessingShape">
                          <wps:wsp>
                            <wps:cNvSpPr txBox="1"/>
                            <wps:spPr>
                              <a:xfrm>
                                <a:off x="0" y="0"/>
                                <a:ext cx="1143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506730" cy="175260"/>
                      <wp:effectExtent l="0" t="0" r="0" b="0"/>
                      <wp:wrapNone/>
                      <wp:docPr id="648" name="Frame648"/>
                      <a:graphic xmlns:a="http://schemas.openxmlformats.org/drawingml/2006/main">
                        <a:graphicData uri="http://schemas.microsoft.com/office/word/2010/wordprocessingShape">
                          <wps:wsp>
                            <wps:cNvSpPr txBox="1"/>
                            <wps:spPr>
                              <a:xfrm>
                                <a:off x="0" y="0"/>
                                <a:ext cx="5067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48285" cy="175260"/>
                      <wp:effectExtent l="0" t="0" r="0" b="0"/>
                      <wp:wrapNone/>
                      <wp:docPr id="649" name="Frame649"/>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802"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c>
          <w:tcPr>
            <w:tcW w:w="39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802"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2022</w:t>
            </w:r>
          </w:p>
        </w:tc>
        <w:tc>
          <w:tcPr>
            <w:tcW w:w="391" w:type="dxa"/>
            <w:tcBorders/>
            <w:shd w:fill="auto" w:val="clear"/>
            <w:vAlign w:val="center"/>
          </w:tcPr>
          <w:p>
            <w:pPr>
              <w:pStyle w:val="TableContents"/>
              <w:spacing w:before="0" w:after="1"/>
              <w:ind w:left="0" w:right="0" w:hanging="0"/>
              <w:jc w:val="center"/>
              <w:rPr/>
            </w:pPr>
            <w:r>
              <w:rPr/>
              <w:t> </w:t>
            </w:r>
          </w:p>
        </w:tc>
      </w:tr>
      <w:tr>
        <w:trPr/>
        <w:tc>
          <w:tcPr>
            <w:tcW w:w="6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60" w:type="dxa"/>
            <w:tcBorders/>
            <w:shd w:fill="auto" w:val="clear"/>
            <w:vAlign w:val="center"/>
          </w:tcPr>
          <w:p>
            <w:pPr>
              <w:pStyle w:val="TableContents"/>
              <w:spacing w:before="0" w:after="1"/>
              <w:ind w:left="0" w:right="0" w:hanging="0"/>
              <w:rPr/>
            </w:pPr>
            <w:r>
              <w:rPr/>
              <w:t>​</w:t>
            </w:r>
          </w:p>
        </w:tc>
        <w:tc>
          <w:tcPr>
            <w:tcW w:w="576" w:type="dxa"/>
            <w:tcBorders/>
            <w:shd w:fill="auto" w:val="clear"/>
            <w:vAlign w:val="center"/>
          </w:tcPr>
          <w:p>
            <w:pPr>
              <w:pStyle w:val="TableContents"/>
              <w:spacing w:before="0" w:after="1"/>
              <w:ind w:left="0" w:right="0" w:hanging="0"/>
              <w:jc w:val="center"/>
              <w:rPr/>
            </w:pPr>
            <w:r>
              <w:rPr/>
              <w:t>​</w:t>
            </w:r>
          </w:p>
        </w:tc>
        <w:tc>
          <w:tcPr>
            <w:tcW w:w="134" w:type="dxa"/>
            <w:tcBorders/>
            <w:shd w:fill="auto" w:val="clear"/>
            <w:vAlign w:val="center"/>
          </w:tcPr>
          <w:p>
            <w:pPr>
              <w:pStyle w:val="TableContents"/>
              <w:spacing w:before="0" w:after="1"/>
              <w:ind w:left="0" w:right="0" w:hanging="0"/>
              <w:jc w:val="center"/>
              <w:rPr/>
            </w:pPr>
            <w:r>
              <w:rPr/>
              <w:t>​</w:t>
            </w:r>
          </w:p>
        </w:tc>
        <w:tc>
          <w:tcPr>
            <w:tcW w:w="85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80" w:type="dxa"/>
            <w:tcBorders/>
            <w:shd w:fill="auto" w:val="clear"/>
            <w:vAlign w:val="center"/>
          </w:tcPr>
          <w:p>
            <w:pPr>
              <w:pStyle w:val="TableContents"/>
              <w:spacing w:before="0" w:after="1"/>
              <w:ind w:left="0" w:right="0" w:hanging="0"/>
              <w:rPr/>
            </w:pPr>
            <w:r>
              <w:rPr/>
              <w:t>​</w:t>
            </w:r>
          </w:p>
        </w:tc>
        <w:tc>
          <w:tcPr>
            <w:tcW w:w="798" w:type="dxa"/>
            <w:tcBorders/>
            <w:shd w:fill="auto" w:val="clear"/>
            <w:vAlign w:val="center"/>
          </w:tcPr>
          <w:p>
            <w:pPr>
              <w:pStyle w:val="TableContents"/>
              <w:spacing w:before="0" w:after="1"/>
              <w:ind w:left="0" w:right="0" w:hanging="0"/>
              <w:jc w:val="center"/>
              <w:rPr/>
            </w:pPr>
            <w:r>
              <w:rPr/>
              <w:t>​</w:t>
            </w:r>
          </w:p>
        </w:tc>
        <w:tc>
          <w:tcPr>
            <w:tcW w:w="39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60" w:type="dxa"/>
            <w:tcBorders/>
            <w:shd w:fill="auto" w:val="clear"/>
            <w:vAlign w:val="center"/>
          </w:tcPr>
          <w:p>
            <w:pPr>
              <w:pStyle w:val="TableContents"/>
              <w:spacing w:before="0" w:after="1"/>
              <w:ind w:left="0" w:right="0" w:hanging="0"/>
              <w:rPr/>
            </w:pPr>
            <w:r>
              <w:rPr/>
              <w:t>​</w:t>
            </w:r>
          </w:p>
        </w:tc>
        <w:tc>
          <w:tcPr>
            <w:tcW w:w="576" w:type="dxa"/>
            <w:tcBorders/>
            <w:shd w:fill="auto" w:val="clear"/>
            <w:vAlign w:val="center"/>
          </w:tcPr>
          <w:p>
            <w:pPr>
              <w:pStyle w:val="TableContents"/>
              <w:spacing w:before="0" w:after="1"/>
              <w:ind w:left="0" w:right="0" w:hanging="0"/>
              <w:jc w:val="center"/>
              <w:rPr/>
            </w:pPr>
            <w:r>
              <w:rPr/>
              <w:t>​</w:t>
            </w:r>
          </w:p>
        </w:tc>
        <w:tc>
          <w:tcPr>
            <w:tcW w:w="134" w:type="dxa"/>
            <w:tcBorders/>
            <w:shd w:fill="auto" w:val="clear"/>
            <w:vAlign w:val="center"/>
          </w:tcPr>
          <w:p>
            <w:pPr>
              <w:pStyle w:val="TableContents"/>
              <w:spacing w:before="0" w:after="1"/>
              <w:ind w:left="0" w:right="0" w:hanging="0"/>
              <w:jc w:val="center"/>
              <w:rPr/>
            </w:pPr>
            <w:r>
              <w:rPr/>
              <w:t>​</w:t>
            </w:r>
          </w:p>
        </w:tc>
        <w:tc>
          <w:tcPr>
            <w:tcW w:w="85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80" w:type="dxa"/>
            <w:tcBorders/>
            <w:shd w:fill="auto" w:val="clear"/>
            <w:vAlign w:val="center"/>
          </w:tcPr>
          <w:p>
            <w:pPr>
              <w:pStyle w:val="TableContents"/>
              <w:spacing w:before="0" w:after="1"/>
              <w:ind w:left="0" w:right="0" w:hanging="0"/>
              <w:jc w:val="center"/>
              <w:rPr/>
            </w:pPr>
            <w:r>
              <w:rPr/>
              <w:t>​</w:t>
            </w:r>
          </w:p>
        </w:tc>
        <w:tc>
          <w:tcPr>
            <w:tcW w:w="798" w:type="dxa"/>
            <w:tcBorders/>
            <w:shd w:fill="auto" w:val="clear"/>
            <w:vAlign w:val="center"/>
          </w:tcPr>
          <w:p>
            <w:pPr>
              <w:pStyle w:val="TableContents"/>
              <w:spacing w:before="0" w:after="1"/>
              <w:ind w:left="0" w:right="0" w:hanging="0"/>
              <w:jc w:val="center"/>
              <w:rPr/>
            </w:pPr>
            <w:r>
              <w:rPr/>
              <w:t>​</w:t>
            </w:r>
          </w:p>
        </w:tc>
        <w:tc>
          <w:tcPr>
            <w:tcW w:w="391" w:type="dxa"/>
            <w:tcBorders/>
            <w:shd w:fill="auto" w:val="clear"/>
            <w:vAlign w:val="center"/>
          </w:tcPr>
          <w:p>
            <w:pPr>
              <w:pStyle w:val="TableContents"/>
              <w:spacing w:before="0" w:after="1"/>
              <w:ind w:left="0" w:right="0" w:hanging="0"/>
              <w:jc w:val="center"/>
              <w:rPr/>
            </w:pPr>
            <w:r>
              <w:rPr/>
              <w:t>​</w:t>
            </w:r>
          </w:p>
        </w:tc>
      </w:tr>
      <w:tr>
        <w:trPr/>
        <w:tc>
          <w:tcPr>
            <w:tcW w:w="6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60" w:type="dxa"/>
            <w:tcBorders/>
            <w:shd w:fill="auto" w:val="clear"/>
            <w:vAlign w:val="center"/>
          </w:tcPr>
          <w:p>
            <w:pPr>
              <w:pStyle w:val="TableContents"/>
              <w:spacing w:before="0" w:after="1"/>
              <w:ind w:left="0" w:right="0" w:hanging="0"/>
              <w:rPr/>
            </w:pPr>
            <w:r>
              <w:rPr/>
              <w:t>​</w:t>
            </w:r>
          </w:p>
        </w:tc>
        <w:tc>
          <w:tcPr>
            <w:tcW w:w="576" w:type="dxa"/>
            <w:tcBorders/>
            <w:shd w:fill="auto" w:val="clear"/>
            <w:vAlign w:val="center"/>
          </w:tcPr>
          <w:p>
            <w:pPr>
              <w:pStyle w:val="TableContents"/>
              <w:spacing w:before="0" w:after="1"/>
              <w:ind w:left="0" w:right="0" w:hanging="0"/>
              <w:jc w:val="center"/>
              <w:rPr/>
            </w:pPr>
            <w:r>
              <w:rPr/>
              <w:t>​</w:t>
            </w:r>
          </w:p>
        </w:tc>
        <w:tc>
          <w:tcPr>
            <w:tcW w:w="134" w:type="dxa"/>
            <w:tcBorders/>
            <w:shd w:fill="auto" w:val="clear"/>
            <w:vAlign w:val="center"/>
          </w:tcPr>
          <w:p>
            <w:pPr>
              <w:pStyle w:val="TableContents"/>
              <w:spacing w:before="0" w:after="1"/>
              <w:ind w:left="0" w:right="0" w:hanging="0"/>
              <w:jc w:val="center"/>
              <w:rPr/>
            </w:pPr>
            <w:r>
              <w:rPr/>
              <w:t>​</w:t>
            </w:r>
          </w:p>
        </w:tc>
        <w:tc>
          <w:tcPr>
            <w:tcW w:w="85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80" w:type="dxa"/>
            <w:tcBorders/>
            <w:shd w:fill="auto" w:val="clear"/>
            <w:vAlign w:val="center"/>
          </w:tcPr>
          <w:p>
            <w:pPr>
              <w:pStyle w:val="TableContents"/>
              <w:spacing w:before="0" w:after="1"/>
              <w:ind w:left="0" w:right="0" w:hanging="0"/>
              <w:rPr/>
            </w:pPr>
            <w:r>
              <w:rPr/>
              <w:t>​</w:t>
            </w:r>
          </w:p>
        </w:tc>
        <w:tc>
          <w:tcPr>
            <w:tcW w:w="79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60" w:type="dxa"/>
            <w:tcBorders/>
            <w:shd w:fill="auto" w:val="clear"/>
            <w:vAlign w:val="center"/>
          </w:tcPr>
          <w:p>
            <w:pPr>
              <w:pStyle w:val="TableContents"/>
              <w:spacing w:before="0" w:after="1"/>
              <w:ind w:left="0" w:right="0" w:hanging="0"/>
              <w:rPr/>
            </w:pPr>
            <w:r>
              <w:rPr/>
              <w:t>​</w:t>
            </w:r>
          </w:p>
        </w:tc>
        <w:tc>
          <w:tcPr>
            <w:tcW w:w="576" w:type="dxa"/>
            <w:tcBorders/>
            <w:shd w:fill="auto" w:val="clear"/>
            <w:vAlign w:val="center"/>
          </w:tcPr>
          <w:p>
            <w:pPr>
              <w:pStyle w:val="TableContents"/>
              <w:spacing w:before="0" w:after="1"/>
              <w:ind w:left="0" w:right="0" w:hanging="0"/>
              <w:jc w:val="center"/>
              <w:rPr/>
            </w:pPr>
            <w:r>
              <w:rPr/>
              <w:t>​</w:t>
            </w:r>
          </w:p>
        </w:tc>
        <w:tc>
          <w:tcPr>
            <w:tcW w:w="134" w:type="dxa"/>
            <w:tcBorders/>
            <w:shd w:fill="auto" w:val="clear"/>
            <w:vAlign w:val="center"/>
          </w:tcPr>
          <w:p>
            <w:pPr>
              <w:pStyle w:val="TableContents"/>
              <w:spacing w:before="0" w:after="1"/>
              <w:ind w:left="0" w:right="0" w:hanging="0"/>
              <w:jc w:val="center"/>
              <w:rPr/>
            </w:pPr>
            <w:r>
              <w:rPr/>
              <w:t>​</w:t>
            </w:r>
          </w:p>
        </w:tc>
        <w:tc>
          <w:tcPr>
            <w:tcW w:w="85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80" w:type="dxa"/>
            <w:tcBorders/>
            <w:shd w:fill="auto" w:val="clear"/>
            <w:vAlign w:val="center"/>
          </w:tcPr>
          <w:p>
            <w:pPr>
              <w:pStyle w:val="TableContents"/>
              <w:spacing w:before="0" w:after="1"/>
              <w:ind w:left="0" w:right="0" w:hanging="0"/>
              <w:rPr/>
            </w:pPr>
            <w:r>
              <w:rPr/>
              <w:t>​</w:t>
            </w:r>
          </w:p>
        </w:tc>
        <w:tc>
          <w:tcPr>
            <w:tcW w:w="79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shd w:fill="auto" w:val="clear"/>
            <w:vAlign w:val="center"/>
          </w:tcPr>
          <w:p>
            <w:pPr>
              <w:pStyle w:val="TableContents"/>
              <w:spacing w:before="0" w:after="1"/>
              <w:ind w:left="0" w:right="0" w:hanging="0"/>
              <w:jc w:val="center"/>
              <w:rPr/>
            </w:pPr>
            <w:r>
              <w:rPr/>
              <w:t>​</w:t>
            </w:r>
          </w:p>
        </w:tc>
      </w:tr>
      <w:tr>
        <w:trPr/>
        <w:tc>
          <w:tcPr>
            <w:tcW w:w="6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3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34" w:type="dxa"/>
            <w:tcBorders/>
            <w:shd w:fill="auto" w:val="clear"/>
            <w:vAlign w:val="center"/>
          </w:tcPr>
          <w:p>
            <w:pPr>
              <w:pStyle w:val="TableContents"/>
              <w:spacing w:before="0" w:after="1"/>
              <w:ind w:left="0" w:right="0" w:hanging="0"/>
              <w:jc w:val="center"/>
              <w:rPr/>
            </w:pPr>
            <w:r>
              <w:rPr/>
              <w:t>​</w:t>
            </w:r>
          </w:p>
        </w:tc>
        <w:tc>
          <w:tcPr>
            <w:tcW w:w="85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80" w:type="dxa"/>
            <w:tcBorders/>
            <w:shd w:fill="auto" w:val="clear"/>
            <w:vAlign w:val="center"/>
          </w:tcPr>
          <w:p>
            <w:pPr>
              <w:pStyle w:val="TableContents"/>
              <w:spacing w:before="0" w:after="1"/>
              <w:ind w:left="0" w:right="0" w:hanging="0"/>
              <w:jc w:val="center"/>
              <w:rPr/>
            </w:pPr>
            <w:r>
              <w:rPr/>
              <w:t>​</w:t>
            </w:r>
          </w:p>
        </w:tc>
        <w:tc>
          <w:tcPr>
            <w:tcW w:w="79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3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34" w:type="dxa"/>
            <w:tcBorders/>
            <w:shd w:fill="auto" w:val="clear"/>
            <w:vAlign w:val="center"/>
          </w:tcPr>
          <w:p>
            <w:pPr>
              <w:pStyle w:val="TableContents"/>
              <w:spacing w:before="0" w:after="1"/>
              <w:ind w:left="0" w:right="0" w:hanging="0"/>
              <w:jc w:val="center"/>
              <w:rPr/>
            </w:pPr>
            <w:r>
              <w:rPr/>
              <w:t>​</w:t>
            </w:r>
          </w:p>
        </w:tc>
        <w:tc>
          <w:tcPr>
            <w:tcW w:w="85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80" w:type="dxa"/>
            <w:tcBorders/>
            <w:shd w:fill="auto" w:val="clear"/>
            <w:vAlign w:val="center"/>
          </w:tcPr>
          <w:p>
            <w:pPr>
              <w:pStyle w:val="TableContents"/>
              <w:spacing w:before="0" w:after="1"/>
              <w:ind w:left="0" w:right="0" w:hanging="0"/>
              <w:jc w:val="center"/>
              <w:rPr/>
            </w:pPr>
            <w:r>
              <w:rPr/>
              <w:t>​</w:t>
            </w:r>
          </w:p>
        </w:tc>
        <w:tc>
          <w:tcPr>
            <w:tcW w:w="79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shd w:fill="auto" w:val="clear"/>
            <w:vAlign w:val="center"/>
          </w:tcPr>
          <w:p>
            <w:pPr>
              <w:pStyle w:val="TableContents"/>
              <w:spacing w:before="0" w:after="1"/>
              <w:ind w:left="0" w:right="0" w:hanging="0"/>
              <w:jc w:val="center"/>
              <w:rPr/>
            </w:pPr>
            <w:r>
              <w:rPr/>
              <w:t xml:space="preserve">  </w:t>
            </w:r>
          </w:p>
        </w:tc>
      </w:tr>
      <w:tr>
        <w:trPr/>
        <w:tc>
          <w:tcPr>
            <w:tcW w:w="7250" w:type="dxa"/>
            <w:gridSpan w:val="19"/>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6104" w:type="dxa"/>
            <w:gridSpan w:val="16"/>
            <w:tcBorders/>
            <w:shd w:fill="auto" w:val="clear"/>
            <w:vAlign w:val="center"/>
          </w:tcPr>
          <w:p>
            <w:pPr>
              <w:pStyle w:val="TableContents"/>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391" w:type="dxa"/>
            <w:tcBorders/>
            <w:shd w:fill="auto" w:val="clear"/>
            <w:vAlign w:val="center"/>
          </w:tcPr>
          <w:p>
            <w:pPr>
              <w:pStyle w:val="TableContents"/>
              <w:spacing w:before="0" w:after="1"/>
              <w:ind w:left="0" w:right="0" w:hanging="0"/>
              <w:rPr/>
            </w:pPr>
            <w:r>
              <w:rPr/>
              <w:t>​</w:t>
            </w:r>
          </w:p>
        </w:tc>
      </w:tr>
      <w:tr>
        <w:trPr/>
        <w:tc>
          <w:tcPr>
            <w:tcW w:w="6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Clubs</w:t>
            </w:r>
          </w:p>
        </w:tc>
        <w:tc>
          <w:tcPr>
            <w:tcW w:w="109"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134"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80" w:type="dxa"/>
            <w:tcBorders/>
            <w:shd w:fill="CCEEFF" w:val="clear"/>
            <w:vAlign w:val="center"/>
          </w:tcPr>
          <w:p>
            <w:pPr>
              <w:pStyle w:val="TableContents"/>
              <w:spacing w:before="0" w:after="1"/>
              <w:ind w:left="0" w:right="0" w:hanging="0"/>
              <w:rPr/>
            </w:pPr>
            <w:r>
              <w:rPr/>
              <w:t> </w:t>
            </w:r>
          </w:p>
        </w:tc>
        <w:tc>
          <w:tcPr>
            <w:tcW w:w="7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134"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180" w:type="dxa"/>
            <w:tcBorders/>
            <w:shd w:fill="CCEEFF" w:val="clear"/>
            <w:vAlign w:val="center"/>
          </w:tcPr>
          <w:p>
            <w:pPr>
              <w:pStyle w:val="TableContents"/>
              <w:spacing w:before="0" w:after="1"/>
              <w:ind w:left="0" w:right="0" w:hanging="0"/>
              <w:rPr/>
            </w:pPr>
            <w:r>
              <w:rPr/>
              <w:t> </w:t>
            </w:r>
          </w:p>
        </w:tc>
        <w:tc>
          <w:tcPr>
            <w:tcW w:w="7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6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Hotels</w:t>
            </w:r>
          </w:p>
        </w:tc>
        <w:tc>
          <w:tcPr>
            <w:tcW w:w="109"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5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34"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59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80" w:type="dxa"/>
            <w:tcBorders/>
            <w:shd w:fill="auto" w:val="clear"/>
            <w:vAlign w:val="center"/>
          </w:tcPr>
          <w:p>
            <w:pPr>
              <w:pStyle w:val="TableContents"/>
              <w:spacing w:before="0" w:after="1"/>
              <w:ind w:left="0" w:right="0" w:hanging="0"/>
              <w:rPr/>
            </w:pPr>
            <w:r>
              <w:rPr/>
              <w:t>​</w:t>
            </w:r>
          </w:p>
        </w:tc>
        <w:tc>
          <w:tcPr>
            <w:tcW w:w="7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5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134"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59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80" w:type="dxa"/>
            <w:tcBorders/>
            <w:shd w:fill="auto" w:val="clear"/>
            <w:vAlign w:val="center"/>
          </w:tcPr>
          <w:p>
            <w:pPr>
              <w:pStyle w:val="TableContents"/>
              <w:spacing w:before="0" w:after="1"/>
              <w:ind w:left="0" w:right="0" w:hanging="0"/>
              <w:rPr/>
            </w:pPr>
            <w:r>
              <w:rPr/>
              <w:t>​</w:t>
            </w:r>
          </w:p>
        </w:tc>
        <w:tc>
          <w:tcPr>
            <w:tcW w:w="7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6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spacing w:before="0" w:after="1"/>
              <w:ind w:left="0" w:right="0" w:hanging="0"/>
              <w:rPr/>
            </w:pPr>
            <w:r>
              <w:rPr/>
              <w:t>​</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34" w:type="dxa"/>
            <w:tcBorders/>
            <w:shd w:fill="CCEEFF" w:val="clear"/>
            <w:vAlign w:val="center"/>
          </w:tcPr>
          <w:p>
            <w:pPr>
              <w:pStyle w:val="TableContents"/>
              <w:spacing w:before="0" w:after="1"/>
              <w:ind w:left="0" w:right="0" w:hanging="0"/>
              <w:rPr/>
            </w:pPr>
            <w:r>
              <w:rPr/>
              <w:t>​</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9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80" w:type="dxa"/>
            <w:tcBorders/>
            <w:shd w:fill="CCEEFF" w:val="clear"/>
            <w:vAlign w:val="center"/>
          </w:tcPr>
          <w:p>
            <w:pPr>
              <w:pStyle w:val="TableContents"/>
              <w:spacing w:before="0" w:after="1"/>
              <w:ind w:left="0" w:right="0" w:hanging="0"/>
              <w:rPr/>
            </w:pPr>
            <w:r>
              <w:rPr/>
              <w:t>​</w:t>
            </w:r>
          </w:p>
        </w:tc>
        <w:tc>
          <w:tcPr>
            <w:tcW w:w="798" w:type="dxa"/>
            <w:tcBorders/>
            <w:shd w:fill="CCEEFF" w:val="clear"/>
            <w:vAlign w:val="center"/>
          </w:tcPr>
          <w:p>
            <w:pPr>
              <w:pStyle w:val="TableContents"/>
              <w:spacing w:before="0" w:after="1"/>
              <w:ind w:left="0" w:right="0" w:hanging="0"/>
              <w:jc w:val="right"/>
              <w:rPr/>
            </w:pPr>
            <w:r>
              <w:rPr/>
              <w:t>—</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34" w:type="dxa"/>
            <w:tcBorders/>
            <w:shd w:fill="CCEEFF" w:val="clear"/>
            <w:vAlign w:val="center"/>
          </w:tcPr>
          <w:p>
            <w:pPr>
              <w:pStyle w:val="TableContents"/>
              <w:spacing w:before="0" w:after="1"/>
              <w:ind w:left="0" w:right="0" w:hanging="0"/>
              <w:rPr/>
            </w:pPr>
            <w:r>
              <w:rPr/>
              <w:t>​</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9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80" w:type="dxa"/>
            <w:tcBorders/>
            <w:shd w:fill="CCEEFF" w:val="clear"/>
            <w:vAlign w:val="center"/>
          </w:tcPr>
          <w:p>
            <w:pPr>
              <w:pStyle w:val="TableContents"/>
              <w:spacing w:before="0" w:after="1"/>
              <w:ind w:left="0" w:right="0" w:hanging="0"/>
              <w:rPr/>
            </w:pPr>
            <w:r>
              <w:rPr/>
              <w:t>​</w:t>
            </w:r>
          </w:p>
        </w:tc>
        <w:tc>
          <w:tcPr>
            <w:tcW w:w="7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64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109" w:type="dxa"/>
            <w:tcBorders/>
            <w:shd w:fill="auto" w:val="clear"/>
            <w:vAlign w:val="center"/>
          </w:tcPr>
          <w:p>
            <w:pPr>
              <w:pStyle w:val="TableContents"/>
              <w:spacing w:before="0" w:after="1"/>
              <w:ind w:left="0" w:right="0" w:hanging="0"/>
              <w:rPr/>
            </w:pPr>
            <w:r>
              <w:rPr/>
              <w:t>​</w:t>
            </w:r>
          </w:p>
        </w:tc>
        <w:tc>
          <w:tcPr>
            <w:tcW w:w="26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24.5</w:t>
            </w:r>
          </w:p>
        </w:tc>
        <w:tc>
          <w:tcPr>
            <w:tcW w:w="134" w:type="dxa"/>
            <w:tcBorders/>
            <w:shd w:fill="auto" w:val="clear"/>
            <w:vAlign w:val="center"/>
          </w:tcPr>
          <w:p>
            <w:pPr>
              <w:pStyle w:val="TableContents"/>
              <w:spacing w:before="0" w:after="1"/>
              <w:ind w:left="0" w:right="0" w:hanging="0"/>
              <w:rPr/>
            </w:pPr>
            <w:r>
              <w:rPr/>
              <w:t>​</w:t>
            </w:r>
          </w:p>
        </w:tc>
        <w:tc>
          <w:tcPr>
            <w:tcW w:w="26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9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c>
          <w:tcPr>
            <w:tcW w:w="180" w:type="dxa"/>
            <w:tcBorders/>
            <w:shd w:fill="auto" w:val="clear"/>
            <w:vAlign w:val="center"/>
          </w:tcPr>
          <w:p>
            <w:pPr>
              <w:pStyle w:val="TableContents"/>
              <w:spacing w:before="0" w:after="1"/>
              <w:ind w:left="0" w:right="0" w:hanging="0"/>
              <w:rPr/>
            </w:pPr>
            <w:r>
              <w:rPr/>
              <w:t> </w:t>
            </w:r>
          </w:p>
        </w:tc>
        <w:tc>
          <w:tcPr>
            <w:tcW w:w="798"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6.5</w:t>
            </w:r>
          </w:p>
        </w:tc>
        <w:tc>
          <w:tcPr>
            <w:tcW w:w="3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w:t>
            </w:r>
          </w:p>
        </w:tc>
        <w:tc>
          <w:tcPr>
            <w:tcW w:w="109" w:type="dxa"/>
            <w:tcBorders/>
            <w:shd w:fill="auto" w:val="clear"/>
            <w:vAlign w:val="center"/>
          </w:tcPr>
          <w:p>
            <w:pPr>
              <w:pStyle w:val="TableContents"/>
              <w:spacing w:before="0" w:after="1"/>
              <w:ind w:left="0" w:right="0" w:hanging="0"/>
              <w:rPr/>
            </w:pPr>
            <w:r>
              <w:rPr/>
              <w:t>​</w:t>
            </w:r>
          </w:p>
        </w:tc>
        <w:tc>
          <w:tcPr>
            <w:tcW w:w="26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16.2</w:t>
            </w:r>
          </w:p>
        </w:tc>
        <w:tc>
          <w:tcPr>
            <w:tcW w:w="134" w:type="dxa"/>
            <w:tcBorders/>
            <w:shd w:fill="auto" w:val="clear"/>
            <w:vAlign w:val="center"/>
          </w:tcPr>
          <w:p>
            <w:pPr>
              <w:pStyle w:val="TableContents"/>
              <w:spacing w:before="0" w:after="1"/>
              <w:ind w:left="0" w:right="0" w:hanging="0"/>
              <w:rPr/>
            </w:pPr>
            <w:r>
              <w:rPr/>
              <w:t>​</w:t>
            </w:r>
          </w:p>
        </w:tc>
        <w:tc>
          <w:tcPr>
            <w:tcW w:w="26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9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w:t>
            </w:r>
          </w:p>
        </w:tc>
        <w:tc>
          <w:tcPr>
            <w:tcW w:w="180" w:type="dxa"/>
            <w:tcBorders/>
            <w:shd w:fill="auto" w:val="clear"/>
            <w:vAlign w:val="center"/>
          </w:tcPr>
          <w:p>
            <w:pPr>
              <w:pStyle w:val="TableContents"/>
              <w:spacing w:before="0" w:after="1"/>
              <w:ind w:left="0" w:right="0" w:hanging="0"/>
              <w:rPr/>
            </w:pPr>
            <w:r>
              <w:rPr/>
              <w:t> </w:t>
            </w:r>
          </w:p>
        </w:tc>
        <w:tc>
          <w:tcPr>
            <w:tcW w:w="798"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9.3</w:t>
            </w:r>
          </w:p>
        </w:tc>
        <w:tc>
          <w:tcPr>
            <w:tcW w:w="3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 </w:t>
            </w:r>
          </w:p>
        </w:tc>
      </w:tr>
    </w:tbl>
    <w:p>
      <w:pPr>
        <w:pStyle w:val="TextBody"/>
        <w:spacing w:before="0" w:after="24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Revenue from our clubs increased $1.3 million, or 14.8%, during the three months ended March 31, 2023, as compared to the same period in 2022. The increase in revenue in the current period was due to increases in the number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of club members and membership revenue. As of March 31, 2023, Watersound Club had 2,653 members, compared with 2,271 members as of March 31, 2022, an increase of 382 members. Our clubs gross margin was 31.7% during the three months ended March 31, 2023, compared to 27.3% during the same period in 2022. The increase in gross margin was due to the increase in the number of members and members’ club usage.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 from our hotel operations increased $6.3 million, or 105.0%, during the three months ended March 31, 2023, as compared to the same period in 2022. The increase was primarily due to an increase in lodging revenue from The Pearl Hotel, which we acquired in December 2022, Homewood Suites by Hilton Panama City Beach, which opened in March 2022, and new WaterColor Inn suites, which opened in June 2022. Hotels had a negative gross margin of 13.0% for the three months ended March 31, 2023, compared to a negative gross margin of 11.7% during the same period in 2022. The decrease in gross margin was primarily due to pre-opening expenses of $2.4 million in the current period associated with new hotels, which impacted hotels gross margin by 19.5%.</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Revenue from other hospitality operations increased $0.7 million, or 50.0%, during the three months ended March 31, 2023, as compared to the same period in 2022. The increase in other hospitality revenue was </w:t>
      </w:r>
      <w:r>
        <w:rPr>
          <w:rFonts w:ascii="TimesNewRomanPSMT" w:hAnsi="TimesNewRomanPSMT"/>
          <w:sz w:val="20"/>
        </w:rPr>
        <w:t xml:space="preserve">primarily related to revenue from </w:t>
      </w:r>
      <w:r>
        <w:rPr>
          <w:rFonts w:ascii="Times New Roman;Times;serif" w:hAnsi="Times New Roman;Times;serif"/>
          <w:sz w:val="20"/>
        </w:rPr>
        <w:t xml:space="preserve">a new standalone restaurant, which opened in August 2022, </w:t>
      </w:r>
      <w:r>
        <w:rPr>
          <w:rFonts w:ascii="TimesNewRomanPSMT" w:hAnsi="TimesNewRomanPSMT"/>
          <w:sz w:val="20"/>
        </w:rPr>
        <w:t>Point South Marina Bay Point, which reopened in the third quarter of 2022 and Point South Marina Port St. Joe, which reopened in the fourth quarter of 2022</w:t>
      </w:r>
      <w:r>
        <w:rPr>
          <w:rFonts w:ascii="Times New Roman;Times;serif" w:hAnsi="Times New Roman;Times;serif"/>
          <w:sz w:val="20"/>
        </w:rPr>
        <w:t>. Our other hospitality operations had a gross margin of 0.0% during the three months ended March 31, 2023, compared to a negative 14.3% during the same period in 2022. The increase in gross margin was due to new assets being operational in the current period, compared to the prior period including opening expenses. We did not have revenue from our marinas during the three months ended March 31, 2022, due to the impact of Hurricane Michael.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Leasing revenue includes marina boat slip and dry storage rentals.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operating expenses include salaries and benefits, professional fees and other administrative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increase of $1.7 million in depreciation, depletion and amortization expense during the three months ended March 31, 2023, as compared to the same period in 2022, was primarily due to new properties placed in service.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Interest expense primarily includes interest incurred from our hospitality project financing. The increase of $1.0 million in interest expense during the three months ended March 31, 2023, as compared to the same period in 2022, was primarily due to an increase in project financing and higher interest rates. See Note 9. </w:t>
      </w:r>
      <w:r>
        <w:rPr>
          <w:rFonts w:ascii="Times New Roman;Times;serif" w:hAnsi="Times New Roman;Times;serif"/>
          <w:i/>
          <w:sz w:val="20"/>
        </w:rPr>
        <w:t>Debt, Net</w:t>
      </w:r>
      <w:r>
        <w:rPr>
          <w:rFonts w:ascii="Times New Roman;Times;serif" w:hAnsi="Times New Roman;Times;serif"/>
          <w:sz w:val="20"/>
        </w:rPr>
        <w:t xml:space="preserve"> for additional information.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Other expense, net for the three months ended March 31, 2022, includes $0.4 million of income received from the Pier Park CDD for repayment of subordinated notes, partially offset by $0.6 million of expense for a homeowner’s association special assessment.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1937" w:name="_Hlk84931807"/>
      <w:bookmarkStart w:id="1938" w:name="_Hlk108606104"/>
      <w:bookmarkEnd w:id="1937"/>
      <w:bookmarkEnd w:id="1938"/>
      <w:r>
        <w:rPr>
          <w:rFonts w:ascii="Times New Roman;Times;serif" w:hAnsi="Times New Roman;Times;serif"/>
          <w:b/>
          <w:i/>
          <w:sz w:val="20"/>
        </w:rPr>
        <w:t>Commercial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table below sets forth the consolidated results of operations of our commercial segment:</w:t>
      </w:r>
    </w:p>
    <w:tbl>
      <w:tblPr>
        <w:tblW w:w="7394" w:type="dxa"/>
        <w:jc w:val="left"/>
        <w:tblInd w:w="0" w:type="dxa"/>
        <w:tblCellMar>
          <w:top w:w="0" w:type="dxa"/>
          <w:left w:w="0" w:type="dxa"/>
          <w:bottom w:w="0" w:type="dxa"/>
          <w:right w:w="0" w:type="dxa"/>
        </w:tblCellMar>
      </w:tblPr>
      <w:tblGrid>
        <w:gridCol w:w="4906"/>
        <w:gridCol w:w="299"/>
        <w:gridCol w:w="682"/>
        <w:gridCol w:w="462"/>
        <w:gridCol w:w="299"/>
        <w:gridCol w:w="746"/>
      </w:tblGrid>
      <w:tr>
        <w:trPr/>
        <w:tc>
          <w:tcPr>
            <w:tcW w:w="4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3115310" cy="175260"/>
                      <wp:effectExtent l="0" t="0" r="0" b="0"/>
                      <wp:wrapNone/>
                      <wp:docPr id="650" name="Frame650"/>
                      <a:graphic xmlns:a="http://schemas.openxmlformats.org/drawingml/2006/main">
                        <a:graphicData uri="http://schemas.microsoft.com/office/word/2010/wordprocessingShape">
                          <wps:wsp>
                            <wps:cNvSpPr txBox="1"/>
                            <wps:spPr>
                              <a:xfrm>
                                <a:off x="0" y="0"/>
                                <a:ext cx="311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89865" cy="175260"/>
                      <wp:effectExtent l="0" t="0" r="0" b="0"/>
                      <wp:wrapNone/>
                      <wp:docPr id="651" name="Frame651"/>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33070" cy="175260"/>
                      <wp:effectExtent l="0" t="0" r="0" b="0"/>
                      <wp:wrapNone/>
                      <wp:docPr id="652" name="Frame652"/>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93370" cy="175260"/>
                      <wp:effectExtent l="0" t="0" r="0" b="0"/>
                      <wp:wrapNone/>
                      <wp:docPr id="653" name="Frame653"/>
                      <a:graphic xmlns:a="http://schemas.openxmlformats.org/drawingml/2006/main">
                        <a:graphicData uri="http://schemas.microsoft.com/office/word/2010/wordprocessingShape">
                          <wps:wsp>
                            <wps:cNvSpPr txBox="1"/>
                            <wps:spPr>
                              <a:xfrm>
                                <a:off x="0" y="0"/>
                                <a:ext cx="293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89865" cy="175260"/>
                      <wp:effectExtent l="0" t="0" r="0" b="0"/>
                      <wp:wrapNone/>
                      <wp:docPr id="654" name="Frame654"/>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473710" cy="175260"/>
                      <wp:effectExtent l="0" t="0" r="0" b="0"/>
                      <wp:wrapNone/>
                      <wp:docPr id="655" name="Frame655"/>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06" w:type="dxa"/>
            <w:tcBorders/>
            <w:shd w:fill="auto" w:val="clear"/>
            <w:vAlign w:val="center"/>
          </w:tcPr>
          <w:p>
            <w:pPr>
              <w:pStyle w:val="TableContents"/>
              <w:spacing w:before="0" w:after="0"/>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906" w:type="dxa"/>
            <w:tcBorders/>
            <w:shd w:fill="auto" w:val="clear"/>
            <w:vAlign w:val="center"/>
          </w:tcPr>
          <w:p>
            <w:pPr>
              <w:pStyle w:val="TableContents"/>
              <w:spacing w:before="0" w:after="0"/>
              <w:ind w:left="0" w:right="0" w:hanging="0"/>
              <w:rPr/>
            </w:pPr>
            <w:r>
              <w:rPr/>
              <w:t>​</w:t>
            </w:r>
          </w:p>
        </w:tc>
        <w:tc>
          <w:tcPr>
            <w:tcW w:w="9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2" w:type="dxa"/>
            <w:tcBorders/>
            <w:shd w:fill="auto" w:val="clear"/>
            <w:vAlign w:val="center"/>
          </w:tcPr>
          <w:p>
            <w:pPr>
              <w:pStyle w:val="TableContents"/>
              <w:spacing w:before="0" w:after="0"/>
              <w:ind w:left="0" w:right="0" w:hanging="0"/>
              <w:jc w:val="center"/>
              <w:rPr/>
            </w:pPr>
            <w:r>
              <w:rPr/>
              <w:t>    </w:t>
            </w:r>
          </w:p>
        </w:tc>
        <w:tc>
          <w:tcPr>
            <w:tcW w:w="10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94"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4906" w:type="dxa"/>
            <w:tcBorders/>
            <w:shd w:fill="auto" w:val="clear"/>
            <w:vAlign w:val="center"/>
          </w:tcPr>
          <w:p>
            <w:pPr>
              <w:pStyle w:val="TableContents"/>
              <w:spacing w:before="0" w:after="0"/>
              <w:ind w:left="0" w:right="0" w:hanging="0"/>
              <w:rPr/>
            </w:pPr>
            <w:r>
              <w:rPr/>
              <w:t>​</w:t>
            </w:r>
          </w:p>
        </w:tc>
        <w:tc>
          <w:tcPr>
            <w:tcW w:w="2488" w:type="dxa"/>
            <w:gridSpan w:val="5"/>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29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pPr>
            <w:r>
              <w:rPr/>
              <w:t>  </w:t>
            </w:r>
          </w:p>
        </w:tc>
        <w:tc>
          <w:tcPr>
            <w:tcW w:w="462"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  </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Leasing revenue</w:t>
            </w:r>
          </w:p>
        </w:tc>
        <w:tc>
          <w:tcPr>
            <w:tcW w:w="29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pPr>
            <w:r>
              <w:rPr/>
              <w:t>​</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leasing revenue</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462"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Multi-family leasing revenue</w:t>
            </w:r>
          </w:p>
        </w:tc>
        <w:tc>
          <w:tcPr>
            <w:tcW w:w="29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Senior living leasing revenue</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62"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leasing revenue</w:t>
            </w:r>
          </w:p>
        </w:tc>
        <w:tc>
          <w:tcPr>
            <w:tcW w:w="29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and rural real estate revenue</w:t>
            </w:r>
          </w:p>
        </w:tc>
        <w:tc>
          <w:tcPr>
            <w:tcW w:w="299" w:type="dxa"/>
            <w:tcBorders/>
            <w:shd w:fill="CCEEFF" w:val="clear"/>
            <w:vAlign w:val="center"/>
          </w:tcPr>
          <w:p>
            <w:pPr>
              <w:pStyle w:val="TableContents"/>
              <w:spacing w:before="0" w:after="0"/>
              <w:ind w:left="0" w:right="0" w:hanging="0"/>
              <w:rPr/>
            </w:pPr>
            <w:r>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62"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Timber revenue</w:t>
            </w:r>
          </w:p>
        </w:tc>
        <w:tc>
          <w:tcPr>
            <w:tcW w:w="29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Hospitality revenue</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62"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299" w:type="dxa"/>
            <w:tcBorders/>
            <w:shd w:fill="auto" w:val="clear"/>
            <w:vAlign w:val="center"/>
          </w:tcPr>
          <w:p>
            <w:pPr>
              <w:pStyle w:val="TableContents"/>
              <w:spacing w:before="0" w:after="0"/>
              <w:ind w:left="0" w:right="0" w:hanging="0"/>
              <w:rPr/>
            </w:pPr>
            <w:r>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Expenses:</w:t>
            </w:r>
          </w:p>
        </w:tc>
        <w:tc>
          <w:tcPr>
            <w:tcW w:w="299" w:type="dxa"/>
            <w:tcBorders/>
            <w:shd w:fill="CCEEFF" w:val="clear"/>
            <w:vAlign w:val="center"/>
          </w:tcPr>
          <w:p>
            <w:pPr>
              <w:pStyle w:val="TableContents"/>
              <w:spacing w:before="0" w:after="0"/>
              <w:ind w:left="0" w:right="0" w:hanging="0"/>
              <w:rPr/>
            </w:pPr>
            <w:r>
              <w:rPr/>
              <w:t> </w:t>
            </w:r>
          </w:p>
        </w:tc>
        <w:tc>
          <w:tcPr>
            <w:tcW w:w="682" w:type="dxa"/>
            <w:tcBorders/>
            <w:shd w:fill="CCEEFF" w:val="clear"/>
            <w:vAlign w:val="center"/>
          </w:tcPr>
          <w:p>
            <w:pPr>
              <w:pStyle w:val="TableContents"/>
              <w:spacing w:before="0" w:after="0"/>
              <w:ind w:left="0" w:right="0" w:hanging="0"/>
              <w:jc w:val="right"/>
              <w:rPr/>
            </w:pPr>
            <w:r>
              <w:rPr/>
              <w:t>  </w:t>
            </w:r>
          </w:p>
        </w:tc>
        <w:tc>
          <w:tcPr>
            <w:tcW w:w="462"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746" w:type="dxa"/>
            <w:tcBorders/>
            <w:shd w:fill="CCEEFF" w:val="clear"/>
            <w:vAlign w:val="center"/>
          </w:tcPr>
          <w:p>
            <w:pPr>
              <w:pStyle w:val="TableContents"/>
              <w:spacing w:before="0" w:after="0"/>
              <w:ind w:left="0" w:right="0" w:hanging="0"/>
              <w:jc w:val="right"/>
              <w:rPr/>
            </w:pPr>
            <w:r>
              <w:rPr/>
              <w:t>  </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leasing revenue</w:t>
            </w:r>
          </w:p>
        </w:tc>
        <w:tc>
          <w:tcPr>
            <w:tcW w:w="299" w:type="dxa"/>
            <w:tcBorders/>
            <w:shd w:fill="auto" w:val="clear"/>
            <w:vAlign w:val="center"/>
          </w:tcPr>
          <w:p>
            <w:pPr>
              <w:pStyle w:val="TableContents"/>
              <w:spacing w:before="0" w:after="0"/>
              <w:ind w:left="0" w:right="0" w:hanging="0"/>
              <w:rPr/>
            </w:pPr>
            <w:r>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commercial and rural real estate revenue</w:t>
            </w:r>
          </w:p>
        </w:tc>
        <w:tc>
          <w:tcPr>
            <w:tcW w:w="299" w:type="dxa"/>
            <w:tcBorders/>
            <w:shd w:fill="CCEEFF" w:val="clear"/>
            <w:vAlign w:val="center"/>
          </w:tcPr>
          <w:p>
            <w:pPr>
              <w:pStyle w:val="TableContents"/>
              <w:spacing w:before="0" w:after="0"/>
              <w:ind w:left="0" w:right="0" w:hanging="0"/>
              <w:rPr/>
            </w:pPr>
            <w:r>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62"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timber revenue</w:t>
            </w:r>
          </w:p>
        </w:tc>
        <w:tc>
          <w:tcPr>
            <w:tcW w:w="29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hospitality revenue</w:t>
            </w:r>
          </w:p>
        </w:tc>
        <w:tc>
          <w:tcPr>
            <w:tcW w:w="29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pPr>
            <w:r>
              <w:rPr/>
              <w:t>—</w:t>
            </w:r>
          </w:p>
        </w:tc>
        <w:tc>
          <w:tcPr>
            <w:tcW w:w="462"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expenses</w:t>
            </w:r>
          </w:p>
        </w:tc>
        <w:tc>
          <w:tcPr>
            <w:tcW w:w="299" w:type="dxa"/>
            <w:tcBorders/>
            <w:shd w:fill="auto" w:val="clear"/>
            <w:vAlign w:val="center"/>
          </w:tcPr>
          <w:p>
            <w:pPr>
              <w:pStyle w:val="TableContents"/>
              <w:spacing w:before="0" w:after="0"/>
              <w:ind w:left="0" w:right="0" w:hanging="0"/>
              <w:rPr/>
            </w:pPr>
            <w:r>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depletion and amortization</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62"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expenses</w:t>
            </w:r>
          </w:p>
        </w:tc>
        <w:tc>
          <w:tcPr>
            <w:tcW w:w="299" w:type="dxa"/>
            <w:tcBorders/>
            <w:shd w:fill="auto" w:val="clear"/>
            <w:vAlign w:val="center"/>
          </w:tcPr>
          <w:p>
            <w:pPr>
              <w:pStyle w:val="TableContents"/>
              <w:spacing w:before="0" w:after="0"/>
              <w:ind w:left="0" w:right="0" w:hanging="0"/>
              <w:rPr/>
            </w:pPr>
            <w:r>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income</w:t>
            </w:r>
          </w:p>
        </w:tc>
        <w:tc>
          <w:tcPr>
            <w:tcW w:w="299" w:type="dxa"/>
            <w:tcBorders/>
            <w:shd w:fill="CCEEFF" w:val="clear"/>
            <w:vAlign w:val="center"/>
          </w:tcPr>
          <w:p>
            <w:pPr>
              <w:pStyle w:val="TableContents"/>
              <w:spacing w:before="0" w:after="0"/>
              <w:ind w:left="0" w:right="0" w:hanging="0"/>
              <w:rPr/>
            </w:pPr>
            <w:r>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62"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 income:</w:t>
            </w:r>
          </w:p>
        </w:tc>
        <w:tc>
          <w:tcPr>
            <w:tcW w:w="29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pPr>
            <w:r>
              <w:rPr/>
              <w:t>​</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299" w:type="dxa"/>
            <w:tcBorders/>
            <w:shd w:fill="CCEEFF" w:val="clear"/>
            <w:vAlign w:val="center"/>
          </w:tcPr>
          <w:p>
            <w:pPr>
              <w:pStyle w:val="TableContents"/>
              <w:spacing w:before="0" w:after="0"/>
              <w:ind w:left="0" w:right="0" w:hanging="0"/>
              <w:rPr/>
            </w:pPr>
            <w:r>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62"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29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pPr>
            <w:r>
              <w:rPr/>
              <w:t>—</w:t>
            </w:r>
          </w:p>
        </w:tc>
        <w:tc>
          <w:tcPr>
            <w:tcW w:w="462"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 (loss) income from unconsolidated joint ventures</w:t>
            </w:r>
          </w:p>
        </w:tc>
        <w:tc>
          <w:tcPr>
            <w:tcW w:w="29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62"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 net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62" w:type="dxa"/>
            <w:tcBorders/>
            <w:shd w:fill="auto" w:val="clear"/>
            <w:vAlign w:val="center"/>
          </w:tcPr>
          <w:p>
            <w:pPr>
              <w:pStyle w:val="TableContents"/>
              <w:spacing w:before="0" w:after="0"/>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62"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before income taxes</w:t>
            </w:r>
          </w:p>
        </w:tc>
        <w:tc>
          <w:tcPr>
            <w:tcW w:w="29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462" w:type="dxa"/>
            <w:tcBorders/>
            <w:shd w:fill="auto" w:val="clear"/>
            <w:vAlign w:val="center"/>
          </w:tcPr>
          <w:p>
            <w:pPr>
              <w:pStyle w:val="TableContents"/>
              <w:spacing w:before="0" w:after="0"/>
              <w:ind w:left="0" w:right="0" w:hanging="0"/>
              <w:rPr/>
            </w:pPr>
            <w:r>
              <w:rPr/>
              <w:t>​</w:t>
            </w:r>
          </w:p>
        </w:tc>
        <w:tc>
          <w:tcPr>
            <w:tcW w:w="29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4.8</w:t>
            </w:r>
          </w:p>
        </w:tc>
      </w:tr>
    </w:tbl>
    <w:p>
      <w:pPr>
        <w:pStyle w:val="TextBody"/>
        <w:spacing w:before="0" w:after="0"/>
        <w:ind w:left="0" w:right="0" w:hanging="0"/>
        <w:rPr/>
      </w:pPr>
      <w:r>
        <w:rPr/>
        <w:t>​</w:t>
      </w:r>
    </w:p>
    <w:p>
      <w:pPr>
        <w:pStyle w:val="TextBody"/>
        <w:spacing w:before="120" w:after="240"/>
        <w:ind w:left="0" w:right="0" w:hanging="0"/>
        <w:rPr>
          <w:rFonts w:ascii="Times New Roman;Times;serif" w:hAnsi="Times New Roman;Times;serif"/>
          <w:i/>
          <w:sz w:val="20"/>
        </w:rPr>
      </w:pPr>
      <w:r>
        <w:rPr>
          <w:rFonts w:ascii="Times New Roman;Times;serif" w:hAnsi="Times New Roman;Times;serif"/>
          <w:i/>
          <w:sz w:val="20"/>
        </w:rPr>
        <w:t>Three months ended March 31, 2023 compared to the three months ended March 31,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sets forth details of our commercial segment consolidated revenue and cost of revenue:</w:t>
      </w:r>
    </w:p>
    <w:tbl>
      <w:tblPr>
        <w:tblW w:w="9334" w:type="dxa"/>
        <w:jc w:val="left"/>
        <w:tblInd w:w="0" w:type="dxa"/>
        <w:tblCellMar>
          <w:top w:w="0" w:type="dxa"/>
          <w:left w:w="0" w:type="dxa"/>
          <w:bottom w:w="0" w:type="dxa"/>
          <w:right w:w="0" w:type="dxa"/>
        </w:tblCellMar>
      </w:tblPr>
      <w:tblGrid>
        <w:gridCol w:w="2731"/>
        <w:gridCol w:w="109"/>
        <w:gridCol w:w="262"/>
        <w:gridCol w:w="579"/>
        <w:gridCol w:w="135"/>
        <w:gridCol w:w="262"/>
        <w:gridCol w:w="579"/>
        <w:gridCol w:w="181"/>
        <w:gridCol w:w="803"/>
        <w:gridCol w:w="391"/>
        <w:gridCol w:w="109"/>
        <w:gridCol w:w="255"/>
        <w:gridCol w:w="564"/>
        <w:gridCol w:w="132"/>
        <w:gridCol w:w="255"/>
        <w:gridCol w:w="583"/>
        <w:gridCol w:w="176"/>
        <w:gridCol w:w="837"/>
        <w:gridCol w:w="391"/>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734185" cy="175260"/>
                      <wp:effectExtent l="0" t="0" r="0" b="0"/>
                      <wp:wrapNone/>
                      <wp:docPr id="656" name="Frame656"/>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9215" cy="175260"/>
                      <wp:effectExtent l="0" t="0" r="0" b="0"/>
                      <wp:wrapNone/>
                      <wp:docPr id="657" name="Frame6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166370" cy="175260"/>
                      <wp:effectExtent l="0" t="0" r="0" b="0"/>
                      <wp:wrapNone/>
                      <wp:docPr id="658" name="Frame658"/>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367665" cy="175260"/>
                      <wp:effectExtent l="0" t="0" r="0" b="0"/>
                      <wp:wrapNone/>
                      <wp:docPr id="659" name="Frame659"/>
                      <a:graphic xmlns:a="http://schemas.openxmlformats.org/drawingml/2006/main">
                        <a:graphicData uri="http://schemas.microsoft.com/office/word/2010/wordprocessingShape">
                          <wps:wsp>
                            <wps:cNvSpPr txBox="1"/>
                            <wps:spPr>
                              <a:xfrm>
                                <a:off x="0" y="0"/>
                                <a:ext cx="367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85725" cy="175260"/>
                      <wp:effectExtent l="0" t="0" r="0" b="0"/>
                      <wp:wrapNone/>
                      <wp:docPr id="660" name="Frame660"/>
                      <a:graphic xmlns:a="http://schemas.openxmlformats.org/drawingml/2006/main">
                        <a:graphicData uri="http://schemas.microsoft.com/office/word/2010/wordprocessingShape">
                          <wps:wsp>
                            <wps:cNvSpPr txBox="1"/>
                            <wps:spPr>
                              <a:xfrm>
                                <a:off x="0" y="0"/>
                                <a:ext cx="85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66370" cy="175260"/>
                      <wp:effectExtent l="0" t="0" r="0" b="0"/>
                      <wp:wrapNone/>
                      <wp:docPr id="661" name="Frame661"/>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367665" cy="175260"/>
                      <wp:effectExtent l="0" t="0" r="0" b="0"/>
                      <wp:wrapNone/>
                      <wp:docPr id="662" name="Frame662"/>
                      <a:graphic xmlns:a="http://schemas.openxmlformats.org/drawingml/2006/main">
                        <a:graphicData uri="http://schemas.microsoft.com/office/word/2010/wordprocessingShape">
                          <wps:wsp>
                            <wps:cNvSpPr txBox="1"/>
                            <wps:spPr>
                              <a:xfrm>
                                <a:off x="0" y="0"/>
                                <a:ext cx="367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14935" cy="175260"/>
                      <wp:effectExtent l="0" t="0" r="0" b="0"/>
                      <wp:wrapNone/>
                      <wp:docPr id="663" name="Frame663"/>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509905" cy="175260"/>
                      <wp:effectExtent l="0" t="0" r="0" b="0"/>
                      <wp:wrapNone/>
                      <wp:docPr id="664" name="Frame664"/>
                      <a:graphic xmlns:a="http://schemas.openxmlformats.org/drawingml/2006/main">
                        <a:graphicData uri="http://schemas.microsoft.com/office/word/2010/wordprocessingShape">
                          <wps:wsp>
                            <wps:cNvSpPr txBox="1"/>
                            <wps:spPr>
                              <a:xfrm>
                                <a:off x="0" y="0"/>
                                <a:ext cx="509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48285" cy="175260"/>
                      <wp:effectExtent l="0" t="0" r="0" b="0"/>
                      <wp:wrapNone/>
                      <wp:docPr id="665" name="Frame665"/>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9215" cy="175260"/>
                      <wp:effectExtent l="0" t="0" r="0" b="0"/>
                      <wp:wrapNone/>
                      <wp:docPr id="666" name="Frame6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61925" cy="175260"/>
                      <wp:effectExtent l="0" t="0" r="0" b="0"/>
                      <wp:wrapNone/>
                      <wp:docPr id="667" name="Frame667"/>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358140" cy="175260"/>
                      <wp:effectExtent l="0" t="0" r="0" b="0"/>
                      <wp:wrapNone/>
                      <wp:docPr id="668" name="Frame668"/>
                      <a:graphic xmlns:a="http://schemas.openxmlformats.org/drawingml/2006/main">
                        <a:graphicData uri="http://schemas.microsoft.com/office/word/2010/wordprocessingShape">
                          <wps:wsp>
                            <wps:cNvSpPr txBox="1"/>
                            <wps:spPr>
                              <a:xfrm>
                                <a:off x="0" y="0"/>
                                <a:ext cx="358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83820" cy="175260"/>
                      <wp:effectExtent l="0" t="0" r="0" b="0"/>
                      <wp:wrapNone/>
                      <wp:docPr id="669" name="Frame669"/>
                      <a:graphic xmlns:a="http://schemas.openxmlformats.org/drawingml/2006/main">
                        <a:graphicData uri="http://schemas.microsoft.com/office/word/2010/wordprocessingShape">
                          <wps:wsp>
                            <wps:cNvSpPr txBox="1"/>
                            <wps:spPr>
                              <a:xfrm>
                                <a:off x="0" y="0"/>
                                <a:ext cx="83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161925" cy="175260"/>
                      <wp:effectExtent l="0" t="0" r="0" b="0"/>
                      <wp:wrapNone/>
                      <wp:docPr id="670" name="Frame670"/>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370205" cy="175260"/>
                      <wp:effectExtent l="0" t="0" r="0" b="0"/>
                      <wp:wrapNone/>
                      <wp:docPr id="671" name="Frame671"/>
                      <a:graphic xmlns:a="http://schemas.openxmlformats.org/drawingml/2006/main">
                        <a:graphicData uri="http://schemas.microsoft.com/office/word/2010/wordprocessingShape">
                          <wps:wsp>
                            <wps:cNvSpPr txBox="1"/>
                            <wps:spPr>
                              <a:xfrm>
                                <a:off x="0" y="0"/>
                                <a:ext cx="3702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11760" cy="175260"/>
                      <wp:effectExtent l="0" t="0" r="0" b="0"/>
                      <wp:wrapNone/>
                      <wp:docPr id="672" name="Frame672"/>
                      <a:graphic xmlns:a="http://schemas.openxmlformats.org/drawingml/2006/main">
                        <a:graphicData uri="http://schemas.microsoft.com/office/word/2010/wordprocessingShape">
                          <wps:wsp>
                            <wps:cNvSpPr txBox="1"/>
                            <wps:spPr>
                              <a:xfrm>
                                <a:off x="0" y="0"/>
                                <a:ext cx="111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531495" cy="175260"/>
                      <wp:effectExtent l="0" t="0" r="0" b="0"/>
                      <wp:wrapNone/>
                      <wp:docPr id="673" name="Frame673"/>
                      <a:graphic xmlns:a="http://schemas.openxmlformats.org/drawingml/2006/main">
                        <a:graphicData uri="http://schemas.microsoft.com/office/word/2010/wordprocessingShape">
                          <wps:wsp>
                            <wps:cNvSpPr txBox="1"/>
                            <wps:spPr>
                              <a:xfrm>
                                <a:off x="0" y="0"/>
                                <a:ext cx="5314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48285" cy="175260"/>
                      <wp:effectExtent l="0" t="0" r="0" b="0"/>
                      <wp:wrapNone/>
                      <wp:docPr id="674" name="Frame674"/>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801"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c>
          <w:tcPr>
            <w:tcW w:w="3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802"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2022</w:t>
            </w:r>
          </w:p>
        </w:tc>
        <w:tc>
          <w:tcPr>
            <w:tcW w:w="391" w:type="dxa"/>
            <w:tcBorders/>
            <w:shd w:fill="auto" w:val="clear"/>
            <w:vAlign w:val="center"/>
          </w:tcPr>
          <w:p>
            <w:pPr>
              <w:pStyle w:val="TableContents"/>
              <w:spacing w:before="0" w:after="1"/>
              <w:ind w:left="0" w:right="0" w:hanging="0"/>
              <w:rPr/>
            </w:pPr>
            <w:r>
              <w:rPr/>
              <w:t> </w:t>
            </w:r>
          </w:p>
        </w:tc>
      </w:tr>
      <w:tr>
        <w:trPr/>
        <w:tc>
          <w:tcPr>
            <w:tcW w:w="27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6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jc w:val="center"/>
              <w:rPr/>
            </w:pPr>
            <w:r>
              <w:rPr/>
              <w:t>​</w:t>
            </w:r>
          </w:p>
        </w:tc>
        <w:tc>
          <w:tcPr>
            <w:tcW w:w="135" w:type="dxa"/>
            <w:tcBorders/>
            <w:shd w:fill="auto" w:val="clear"/>
            <w:vAlign w:val="center"/>
          </w:tcPr>
          <w:p>
            <w:pPr>
              <w:pStyle w:val="TableContents"/>
              <w:spacing w:before="0" w:after="1"/>
              <w:ind w:left="0" w:right="0" w:hanging="0"/>
              <w:jc w:val="center"/>
              <w:rPr/>
            </w:pPr>
            <w:r>
              <w:rPr/>
              <w:t>​</w:t>
            </w:r>
          </w:p>
        </w:tc>
        <w:tc>
          <w:tcPr>
            <w:tcW w:w="26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03"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55" w:type="dxa"/>
            <w:tcBorders/>
            <w:shd w:fill="auto" w:val="clear"/>
            <w:vAlign w:val="center"/>
          </w:tcPr>
          <w:p>
            <w:pPr>
              <w:pStyle w:val="TableContents"/>
              <w:spacing w:before="0" w:after="1"/>
              <w:ind w:left="0" w:right="0" w:hanging="0"/>
              <w:rPr/>
            </w:pPr>
            <w:r>
              <w:rPr/>
              <w:t>​</w:t>
            </w:r>
          </w:p>
        </w:tc>
        <w:tc>
          <w:tcPr>
            <w:tcW w:w="564" w:type="dxa"/>
            <w:tcBorders/>
            <w:shd w:fill="auto" w:val="clear"/>
            <w:vAlign w:val="center"/>
          </w:tcPr>
          <w:p>
            <w:pPr>
              <w:pStyle w:val="TableContents"/>
              <w:spacing w:before="0" w:after="1"/>
              <w:ind w:left="0" w:right="0" w:hanging="0"/>
              <w:jc w:val="center"/>
              <w:rPr/>
            </w:pPr>
            <w:r>
              <w:rPr/>
              <w:t>​</w:t>
            </w:r>
          </w:p>
        </w:tc>
        <w:tc>
          <w:tcPr>
            <w:tcW w:w="132" w:type="dxa"/>
            <w:tcBorders/>
            <w:shd w:fill="auto" w:val="clear"/>
            <w:vAlign w:val="center"/>
          </w:tcPr>
          <w:p>
            <w:pPr>
              <w:pStyle w:val="TableContents"/>
              <w:spacing w:before="0" w:after="1"/>
              <w:ind w:left="0" w:right="0" w:hanging="0"/>
              <w:jc w:val="center"/>
              <w:rPr/>
            </w:pPr>
            <w:r>
              <w:rPr/>
              <w:t>​</w:t>
            </w:r>
          </w:p>
        </w:tc>
        <w:tc>
          <w:tcPr>
            <w:tcW w:w="838"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76" w:type="dxa"/>
            <w:tcBorders/>
            <w:shd w:fill="auto" w:val="clear"/>
            <w:vAlign w:val="center"/>
          </w:tcPr>
          <w:p>
            <w:pPr>
              <w:pStyle w:val="TableContents"/>
              <w:spacing w:before="0" w:after="1"/>
              <w:ind w:left="0" w:right="0" w:hanging="0"/>
              <w:jc w:val="center"/>
              <w:rPr/>
            </w:pPr>
            <w:r>
              <w:rPr/>
              <w:t>​</w:t>
            </w:r>
          </w:p>
        </w:tc>
        <w:tc>
          <w:tcPr>
            <w:tcW w:w="837"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pPr>
            <w:r>
              <w:rPr/>
              <w:t>​</w:t>
            </w:r>
          </w:p>
        </w:tc>
      </w:tr>
      <w:tr>
        <w:trPr/>
        <w:tc>
          <w:tcPr>
            <w:tcW w:w="27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6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jc w:val="center"/>
              <w:rPr/>
            </w:pPr>
            <w:r>
              <w:rPr/>
              <w:t>​</w:t>
            </w:r>
          </w:p>
        </w:tc>
        <w:tc>
          <w:tcPr>
            <w:tcW w:w="135" w:type="dxa"/>
            <w:tcBorders/>
            <w:shd w:fill="auto" w:val="clear"/>
            <w:vAlign w:val="center"/>
          </w:tcPr>
          <w:p>
            <w:pPr>
              <w:pStyle w:val="TableContents"/>
              <w:spacing w:before="0" w:after="1"/>
              <w:ind w:left="0" w:right="0" w:hanging="0"/>
              <w:jc w:val="center"/>
              <w:rPr/>
            </w:pPr>
            <w:r>
              <w:rPr/>
              <w:t>​</w:t>
            </w:r>
          </w:p>
        </w:tc>
        <w:tc>
          <w:tcPr>
            <w:tcW w:w="8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81" w:type="dxa"/>
            <w:tcBorders/>
            <w:shd w:fill="auto" w:val="clear"/>
            <w:vAlign w:val="center"/>
          </w:tcPr>
          <w:p>
            <w:pPr>
              <w:pStyle w:val="TableContents"/>
              <w:spacing w:before="0" w:after="1"/>
              <w:ind w:left="0" w:right="0" w:hanging="0"/>
              <w:rPr/>
            </w:pPr>
            <w:r>
              <w:rPr/>
              <w:t>​</w:t>
            </w:r>
          </w:p>
        </w:tc>
        <w:tc>
          <w:tcPr>
            <w:tcW w:w="80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55" w:type="dxa"/>
            <w:tcBorders/>
            <w:shd w:fill="auto" w:val="clear"/>
            <w:vAlign w:val="center"/>
          </w:tcPr>
          <w:p>
            <w:pPr>
              <w:pStyle w:val="TableContents"/>
              <w:spacing w:before="0" w:after="1"/>
              <w:ind w:left="0" w:right="0" w:hanging="0"/>
              <w:rPr/>
            </w:pPr>
            <w:r>
              <w:rPr/>
              <w:t>​</w:t>
            </w:r>
          </w:p>
        </w:tc>
        <w:tc>
          <w:tcPr>
            <w:tcW w:w="564" w:type="dxa"/>
            <w:tcBorders/>
            <w:shd w:fill="auto" w:val="clear"/>
            <w:vAlign w:val="center"/>
          </w:tcPr>
          <w:p>
            <w:pPr>
              <w:pStyle w:val="TableContents"/>
              <w:spacing w:before="0" w:after="1"/>
              <w:ind w:left="0" w:right="0" w:hanging="0"/>
              <w:jc w:val="center"/>
              <w:rPr/>
            </w:pPr>
            <w:r>
              <w:rPr/>
              <w:t>​</w:t>
            </w:r>
          </w:p>
        </w:tc>
        <w:tc>
          <w:tcPr>
            <w:tcW w:w="132" w:type="dxa"/>
            <w:tcBorders/>
            <w:shd w:fill="auto" w:val="clear"/>
            <w:vAlign w:val="center"/>
          </w:tcPr>
          <w:p>
            <w:pPr>
              <w:pStyle w:val="TableContents"/>
              <w:spacing w:before="0" w:after="1"/>
              <w:ind w:left="0" w:right="0" w:hanging="0"/>
              <w:jc w:val="center"/>
              <w:rPr/>
            </w:pPr>
            <w:r>
              <w:rPr/>
              <w:t>​</w:t>
            </w:r>
          </w:p>
        </w:tc>
        <w:tc>
          <w:tcPr>
            <w:tcW w:w="838"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76" w:type="dxa"/>
            <w:tcBorders/>
            <w:shd w:fill="auto" w:val="clear"/>
            <w:vAlign w:val="center"/>
          </w:tcPr>
          <w:p>
            <w:pPr>
              <w:pStyle w:val="TableContents"/>
              <w:spacing w:before="0" w:after="1"/>
              <w:ind w:left="0" w:right="0" w:hanging="0"/>
              <w:jc w:val="center"/>
              <w:rPr/>
            </w:pPr>
            <w:r>
              <w:rPr/>
              <w:t>​</w:t>
            </w:r>
          </w:p>
        </w:tc>
        <w:tc>
          <w:tcPr>
            <w:tcW w:w="83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shd w:fill="auto" w:val="clear"/>
            <w:vAlign w:val="center"/>
          </w:tcPr>
          <w:p>
            <w:pPr>
              <w:pStyle w:val="TableContents"/>
              <w:spacing w:before="0" w:after="1"/>
              <w:ind w:left="0" w:right="0" w:hanging="0"/>
              <w:rPr/>
            </w:pPr>
            <w:r>
              <w:rPr/>
              <w:t>​</w:t>
            </w:r>
          </w:p>
        </w:tc>
      </w:tr>
      <w:tr>
        <w:trPr/>
        <w:tc>
          <w:tcPr>
            <w:tcW w:w="27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35" w:type="dxa"/>
            <w:tcBorders/>
            <w:shd w:fill="auto" w:val="clear"/>
            <w:vAlign w:val="center"/>
          </w:tcPr>
          <w:p>
            <w:pPr>
              <w:pStyle w:val="TableContents"/>
              <w:spacing w:before="0" w:after="1"/>
              <w:ind w:left="0" w:right="0" w:hanging="0"/>
              <w:jc w:val="center"/>
              <w:rPr/>
            </w:pPr>
            <w:r>
              <w:rPr/>
              <w:t>​</w:t>
            </w:r>
          </w:p>
        </w:tc>
        <w:tc>
          <w:tcPr>
            <w:tcW w:w="8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81" w:type="dxa"/>
            <w:tcBorders/>
            <w:shd w:fill="auto" w:val="clear"/>
            <w:vAlign w:val="center"/>
          </w:tcPr>
          <w:p>
            <w:pPr>
              <w:pStyle w:val="TableContents"/>
              <w:spacing w:before="0" w:after="1"/>
              <w:ind w:left="0" w:right="0" w:hanging="0"/>
              <w:jc w:val="center"/>
              <w:rPr/>
            </w:pPr>
            <w:r>
              <w:rPr/>
              <w:t>​</w:t>
            </w:r>
          </w:p>
        </w:tc>
        <w:tc>
          <w:tcPr>
            <w:tcW w:w="80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1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32" w:type="dxa"/>
            <w:tcBorders/>
            <w:shd w:fill="auto" w:val="clear"/>
            <w:vAlign w:val="center"/>
          </w:tcPr>
          <w:p>
            <w:pPr>
              <w:pStyle w:val="TableContents"/>
              <w:spacing w:before="0" w:after="1"/>
              <w:ind w:left="0" w:right="0" w:hanging="0"/>
              <w:jc w:val="center"/>
              <w:rPr/>
            </w:pPr>
            <w:r>
              <w:rPr/>
              <w:t>​</w:t>
            </w:r>
          </w:p>
        </w:tc>
        <w:tc>
          <w:tcPr>
            <w:tcW w:w="83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76" w:type="dxa"/>
            <w:tcBorders/>
            <w:shd w:fill="auto" w:val="clear"/>
            <w:vAlign w:val="center"/>
          </w:tcPr>
          <w:p>
            <w:pPr>
              <w:pStyle w:val="TableContents"/>
              <w:spacing w:before="0" w:after="1"/>
              <w:ind w:left="0" w:right="0" w:hanging="0"/>
              <w:jc w:val="center"/>
              <w:rPr/>
            </w:pPr>
            <w:r>
              <w:rPr/>
              <w:t>​</w:t>
            </w:r>
          </w:p>
        </w:tc>
        <w:tc>
          <w:tcPr>
            <w:tcW w:w="83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shd w:fill="auto" w:val="clear"/>
            <w:vAlign w:val="center"/>
          </w:tcPr>
          <w:p>
            <w:pPr>
              <w:pStyle w:val="TableContents"/>
              <w:spacing w:before="0" w:after="1"/>
              <w:ind w:left="0" w:right="0" w:hanging="0"/>
              <w:rPr/>
            </w:pPr>
            <w:r>
              <w:rPr/>
              <w:t xml:space="preserve">  </w:t>
            </w:r>
          </w:p>
        </w:tc>
      </w:tr>
      <w:tr>
        <w:trPr/>
        <w:tc>
          <w:tcPr>
            <w:tcW w:w="9334" w:type="dxa"/>
            <w:gridSpan w:val="19"/>
            <w:tcBorders/>
            <w:shd w:fill="auto" w:val="clear"/>
            <w:vAlign w:val="center"/>
          </w:tcPr>
          <w:p>
            <w:pPr>
              <w:pStyle w:val="TableContents"/>
              <w:spacing w:before="0" w:after="283"/>
              <w:ind w:left="0" w:right="0" w:hanging="0"/>
              <w:rPr>
                <w:sz w:val="4"/>
                <w:szCs w:val="4"/>
              </w:rPr>
            </w:pPr>
            <w:r>
              <w:rPr>
                <w:sz w:val="4"/>
                <w:szCs w:val="4"/>
              </w:rPr>
            </w:r>
          </w:p>
        </w:tc>
      </w:tr>
      <w:tr>
        <w:trPr/>
        <w:tc>
          <w:tcPr>
            <w:tcW w:w="27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6103" w:type="dxa"/>
            <w:gridSpan w:val="16"/>
            <w:tcBorders/>
            <w:shd w:fill="auto" w:val="clear"/>
            <w:vAlign w:val="center"/>
          </w:tcPr>
          <w:p>
            <w:pPr>
              <w:pStyle w:val="TableContents"/>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391" w:type="dxa"/>
            <w:tcBorders/>
            <w:shd w:fill="auto" w:val="clear"/>
            <w:vAlign w:val="center"/>
          </w:tcPr>
          <w:p>
            <w:pPr>
              <w:pStyle w:val="TableContents"/>
              <w:spacing w:before="0" w:after="1"/>
              <w:ind w:left="0" w:right="0" w:hanging="0"/>
              <w:rPr/>
            </w:pPr>
            <w:r>
              <w:rPr/>
              <w:t>​</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Leasing</w:t>
            </w:r>
          </w:p>
        </w:tc>
        <w:tc>
          <w:tcPr>
            <w:tcW w:w="109" w:type="dxa"/>
            <w:tcBorders/>
            <w:shd w:fill="CCEEFF" w:val="clear"/>
            <w:vAlign w:val="center"/>
          </w:tcPr>
          <w:p>
            <w:pPr>
              <w:pStyle w:val="TableContents"/>
              <w:spacing w:before="0" w:after="1"/>
              <w:ind w:left="0" w:right="0" w:hanging="0"/>
              <w:jc w:val="center"/>
              <w:rPr/>
            </w:pPr>
            <w:r>
              <w:rPr/>
              <w:t>​</w:t>
            </w:r>
          </w:p>
        </w:tc>
        <w:tc>
          <w:tcPr>
            <w:tcW w:w="262" w:type="dxa"/>
            <w:tcBorders/>
            <w:shd w:fill="CCEEFF" w:val="clear"/>
            <w:vAlign w:val="center"/>
          </w:tcPr>
          <w:p>
            <w:pPr>
              <w:pStyle w:val="TableContents"/>
              <w:spacing w:before="0" w:after="1"/>
              <w:ind w:left="0" w:right="0" w:hanging="0"/>
              <w:jc w:val="center"/>
              <w:rPr/>
            </w:pPr>
            <w:r>
              <w:rPr/>
              <w:t>​</w:t>
            </w:r>
          </w:p>
        </w:tc>
        <w:tc>
          <w:tcPr>
            <w:tcW w:w="579" w:type="dxa"/>
            <w:tcBorders/>
            <w:shd w:fill="CCEEFF" w:val="clear"/>
            <w:vAlign w:val="center"/>
          </w:tcPr>
          <w:p>
            <w:pPr>
              <w:pStyle w:val="TableContents"/>
              <w:spacing w:before="0" w:after="1"/>
              <w:ind w:left="0" w:right="0" w:hanging="0"/>
              <w:jc w:val="center"/>
              <w:rPr/>
            </w:pPr>
            <w:r>
              <w:rPr/>
              <w:t>​</w:t>
            </w:r>
          </w:p>
        </w:tc>
        <w:tc>
          <w:tcPr>
            <w:tcW w:w="135" w:type="dxa"/>
            <w:tcBorders/>
            <w:shd w:fill="CCEEFF" w:val="clear"/>
            <w:vAlign w:val="center"/>
          </w:tcPr>
          <w:p>
            <w:pPr>
              <w:pStyle w:val="TableContents"/>
              <w:spacing w:before="0" w:after="1"/>
              <w:ind w:left="0" w:right="0" w:hanging="0"/>
              <w:jc w:val="center"/>
              <w:rPr/>
            </w:pPr>
            <w:r>
              <w:rPr/>
              <w:t>​</w:t>
            </w:r>
          </w:p>
        </w:tc>
        <w:tc>
          <w:tcPr>
            <w:tcW w:w="262" w:type="dxa"/>
            <w:tcBorders/>
            <w:shd w:fill="CCEEFF" w:val="clear"/>
            <w:vAlign w:val="center"/>
          </w:tcPr>
          <w:p>
            <w:pPr>
              <w:pStyle w:val="TableContents"/>
              <w:spacing w:before="0" w:after="1"/>
              <w:ind w:left="0" w:right="0" w:hanging="0"/>
              <w:jc w:val="center"/>
              <w:rPr/>
            </w:pPr>
            <w:r>
              <w:rPr/>
              <w:t>​</w:t>
            </w:r>
          </w:p>
        </w:tc>
        <w:tc>
          <w:tcPr>
            <w:tcW w:w="579" w:type="dxa"/>
            <w:tcBorders/>
            <w:shd w:fill="CCEEFF" w:val="clear"/>
            <w:vAlign w:val="center"/>
          </w:tcPr>
          <w:p>
            <w:pPr>
              <w:pStyle w:val="TableContents"/>
              <w:spacing w:before="0" w:after="1"/>
              <w:ind w:left="0" w:right="0" w:hanging="0"/>
              <w:jc w:val="center"/>
              <w:rPr/>
            </w:pPr>
            <w:r>
              <w:rPr/>
              <w:t>​</w:t>
            </w:r>
          </w:p>
        </w:tc>
        <w:tc>
          <w:tcPr>
            <w:tcW w:w="181" w:type="dxa"/>
            <w:tcBorders/>
            <w:shd w:fill="CCEEFF" w:val="clear"/>
            <w:vAlign w:val="center"/>
          </w:tcPr>
          <w:p>
            <w:pPr>
              <w:pStyle w:val="TableContents"/>
              <w:spacing w:before="0" w:after="1"/>
              <w:ind w:left="0" w:right="0" w:hanging="0"/>
              <w:jc w:val="center"/>
              <w:rPr/>
            </w:pPr>
            <w:r>
              <w:rPr/>
              <w:t>​</w:t>
            </w:r>
          </w:p>
        </w:tc>
        <w:tc>
          <w:tcPr>
            <w:tcW w:w="803" w:type="dxa"/>
            <w:tcBorders/>
            <w:shd w:fill="CCEEFF" w:val="clear"/>
            <w:vAlign w:val="center"/>
          </w:tcPr>
          <w:p>
            <w:pPr>
              <w:pStyle w:val="TableContents"/>
              <w:spacing w:before="0" w:after="1"/>
              <w:ind w:left="0" w:right="0" w:hanging="0"/>
              <w:jc w:val="center"/>
              <w:rPr/>
            </w:pPr>
            <w:r>
              <w:rPr/>
              <w:t>​</w:t>
            </w:r>
          </w:p>
        </w:tc>
        <w:tc>
          <w:tcPr>
            <w:tcW w:w="39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jc w:val="center"/>
              <w:rPr/>
            </w:pPr>
            <w:r>
              <w:rPr/>
              <w:t>​</w:t>
            </w:r>
          </w:p>
        </w:tc>
        <w:tc>
          <w:tcPr>
            <w:tcW w:w="255" w:type="dxa"/>
            <w:tcBorders/>
            <w:shd w:fill="CCEEFF" w:val="clear"/>
            <w:vAlign w:val="center"/>
          </w:tcPr>
          <w:p>
            <w:pPr>
              <w:pStyle w:val="TableContents"/>
              <w:spacing w:before="0" w:after="1"/>
              <w:ind w:left="0" w:right="0" w:hanging="0"/>
              <w:jc w:val="center"/>
              <w:rPr/>
            </w:pPr>
            <w:r>
              <w:rPr/>
              <w:t>​</w:t>
            </w:r>
          </w:p>
        </w:tc>
        <w:tc>
          <w:tcPr>
            <w:tcW w:w="564" w:type="dxa"/>
            <w:tcBorders/>
            <w:shd w:fill="CCEEFF" w:val="clear"/>
            <w:vAlign w:val="center"/>
          </w:tcPr>
          <w:p>
            <w:pPr>
              <w:pStyle w:val="TableContents"/>
              <w:spacing w:before="0" w:after="1"/>
              <w:ind w:left="0" w:right="0" w:hanging="0"/>
              <w:jc w:val="center"/>
              <w:rPr/>
            </w:pPr>
            <w:r>
              <w:rPr/>
              <w:t>​</w:t>
            </w:r>
          </w:p>
        </w:tc>
        <w:tc>
          <w:tcPr>
            <w:tcW w:w="132" w:type="dxa"/>
            <w:tcBorders/>
            <w:shd w:fill="CCEEFF" w:val="clear"/>
            <w:vAlign w:val="center"/>
          </w:tcPr>
          <w:p>
            <w:pPr>
              <w:pStyle w:val="TableContents"/>
              <w:spacing w:before="0" w:after="1"/>
              <w:ind w:left="0" w:right="0" w:hanging="0"/>
              <w:jc w:val="center"/>
              <w:rPr/>
            </w:pPr>
            <w:r>
              <w:rPr/>
              <w:t>​</w:t>
            </w:r>
          </w:p>
        </w:tc>
        <w:tc>
          <w:tcPr>
            <w:tcW w:w="255" w:type="dxa"/>
            <w:tcBorders/>
            <w:shd w:fill="CCEEFF" w:val="clear"/>
            <w:vAlign w:val="center"/>
          </w:tcPr>
          <w:p>
            <w:pPr>
              <w:pStyle w:val="TableContents"/>
              <w:spacing w:before="0" w:after="1"/>
              <w:ind w:left="0" w:right="0" w:hanging="0"/>
              <w:jc w:val="center"/>
              <w:rPr/>
            </w:pPr>
            <w:r>
              <w:rPr/>
              <w:t>​</w:t>
            </w:r>
          </w:p>
        </w:tc>
        <w:tc>
          <w:tcPr>
            <w:tcW w:w="583" w:type="dxa"/>
            <w:tcBorders/>
            <w:shd w:fill="CCEEFF" w:val="clear"/>
            <w:vAlign w:val="center"/>
          </w:tcPr>
          <w:p>
            <w:pPr>
              <w:pStyle w:val="TableContents"/>
              <w:spacing w:before="0" w:after="1"/>
              <w:ind w:left="0" w:right="0" w:hanging="0"/>
              <w:jc w:val="center"/>
              <w:rPr/>
            </w:pPr>
            <w:r>
              <w:rPr/>
              <w:t>​</w:t>
            </w:r>
          </w:p>
        </w:tc>
        <w:tc>
          <w:tcPr>
            <w:tcW w:w="176" w:type="dxa"/>
            <w:tcBorders/>
            <w:shd w:fill="CCEEFF" w:val="clear"/>
            <w:vAlign w:val="center"/>
          </w:tcPr>
          <w:p>
            <w:pPr>
              <w:pStyle w:val="TableContents"/>
              <w:spacing w:before="0" w:after="1"/>
              <w:ind w:left="0" w:right="0" w:hanging="0"/>
              <w:jc w:val="center"/>
              <w:rPr/>
            </w:pPr>
            <w:r>
              <w:rPr/>
              <w:t>​</w:t>
            </w:r>
          </w:p>
        </w:tc>
        <w:tc>
          <w:tcPr>
            <w:tcW w:w="837" w:type="dxa"/>
            <w:tcBorders/>
            <w:shd w:fill="CCEEFF" w:val="clear"/>
            <w:vAlign w:val="center"/>
          </w:tcPr>
          <w:p>
            <w:pPr>
              <w:pStyle w:val="TableContents"/>
              <w:spacing w:before="0" w:after="1"/>
              <w:ind w:left="0" w:right="0" w:hanging="0"/>
              <w:jc w:val="center"/>
              <w:rPr/>
            </w:pPr>
            <w:r>
              <w:rPr/>
              <w:t>​</w:t>
            </w:r>
          </w:p>
        </w:tc>
        <w:tc>
          <w:tcPr>
            <w:tcW w:w="391" w:type="dxa"/>
            <w:tcBorders/>
            <w:shd w:fill="CCEEFF" w:val="clear"/>
            <w:vAlign w:val="center"/>
          </w:tcPr>
          <w:p>
            <w:pPr>
              <w:pStyle w:val="TableContents"/>
              <w:spacing w:before="0" w:after="1"/>
              <w:ind w:left="0" w:right="0" w:hanging="0"/>
              <w:rPr/>
            </w:pPr>
            <w:r>
              <w:rPr/>
              <w:t>​</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leasing</w:t>
            </w:r>
          </w:p>
        </w:tc>
        <w:tc>
          <w:tcPr>
            <w:tcW w:w="109"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135"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181" w:type="dxa"/>
            <w:tcBorders/>
            <w:shd w:fill="auto" w:val="clear"/>
            <w:vAlign w:val="center"/>
          </w:tcPr>
          <w:p>
            <w:pPr>
              <w:pStyle w:val="TableContents"/>
              <w:spacing w:before="0" w:after="1"/>
              <w:ind w:left="0" w:right="0" w:hanging="0"/>
              <w:rPr/>
            </w:pPr>
            <w:r>
              <w:rPr/>
              <w:t> </w:t>
            </w:r>
          </w:p>
        </w:tc>
        <w:tc>
          <w:tcPr>
            <w:tcW w:w="8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6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32"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76" w:type="dxa"/>
            <w:tcBorders/>
            <w:shd w:fill="auto" w:val="clear"/>
            <w:vAlign w:val="center"/>
          </w:tcPr>
          <w:p>
            <w:pPr>
              <w:pStyle w:val="TableContents"/>
              <w:spacing w:before="0" w:after="1"/>
              <w:ind w:left="0" w:right="0" w:hanging="0"/>
              <w:rPr/>
            </w:pPr>
            <w:r>
              <w:rPr/>
              <w:t> </w:t>
            </w:r>
          </w:p>
        </w:tc>
        <w:tc>
          <w:tcPr>
            <w:tcW w:w="8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Multi-family leasing</w:t>
            </w:r>
          </w:p>
        </w:tc>
        <w:tc>
          <w:tcPr>
            <w:tcW w:w="109"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135"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81" w:type="dxa"/>
            <w:tcBorders/>
            <w:shd w:fill="CCEEFF" w:val="clear"/>
            <w:vAlign w:val="center"/>
          </w:tcPr>
          <w:p>
            <w:pPr>
              <w:pStyle w:val="TableContents"/>
              <w:spacing w:before="0" w:after="1"/>
              <w:ind w:left="0" w:right="0" w:hanging="0"/>
              <w:rPr/>
            </w:pPr>
            <w:r>
              <w:rPr/>
              <w:t> </w:t>
            </w:r>
          </w:p>
        </w:tc>
        <w:tc>
          <w:tcPr>
            <w:tcW w:w="8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5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32"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5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76" w:type="dxa"/>
            <w:tcBorders/>
            <w:shd w:fill="CCEEFF" w:val="clear"/>
            <w:vAlign w:val="center"/>
          </w:tcPr>
          <w:p>
            <w:pPr>
              <w:pStyle w:val="TableContents"/>
              <w:spacing w:before="0" w:after="1"/>
              <w:ind w:left="0" w:right="0" w:hanging="0"/>
              <w:rPr/>
            </w:pPr>
            <w:r>
              <w:rPr/>
              <w:t> </w:t>
            </w:r>
          </w:p>
        </w:tc>
        <w:tc>
          <w:tcPr>
            <w:tcW w:w="8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Senior living leasing</w:t>
            </w:r>
          </w:p>
        </w:tc>
        <w:tc>
          <w:tcPr>
            <w:tcW w:w="109" w:type="dxa"/>
            <w:tcBorders/>
            <w:shd w:fill="auto" w:val="clear"/>
            <w:vAlign w:val="center"/>
          </w:tcPr>
          <w:p>
            <w:pPr>
              <w:pStyle w:val="TableContents"/>
              <w:spacing w:before="0" w:after="1"/>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35" w:type="dxa"/>
            <w:tcBorders/>
            <w:shd w:fill="auto" w:val="clear"/>
            <w:vAlign w:val="center"/>
          </w:tcPr>
          <w:p>
            <w:pPr>
              <w:pStyle w:val="TableContents"/>
              <w:spacing w:before="0" w:after="1"/>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181" w:type="dxa"/>
            <w:tcBorders/>
            <w:shd w:fill="auto" w:val="clear"/>
            <w:vAlign w:val="center"/>
          </w:tcPr>
          <w:p>
            <w:pPr>
              <w:pStyle w:val="TableContents"/>
              <w:spacing w:before="0" w:after="1"/>
              <w:ind w:left="0" w:right="0" w:hanging="0"/>
              <w:rPr/>
            </w:pPr>
            <w:r>
              <w:rPr/>
              <w:t>​</w:t>
            </w:r>
          </w:p>
        </w:tc>
        <w:tc>
          <w:tcPr>
            <w:tcW w:w="8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25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6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32" w:type="dxa"/>
            <w:tcBorders/>
            <w:shd w:fill="auto" w:val="clear"/>
            <w:vAlign w:val="center"/>
          </w:tcPr>
          <w:p>
            <w:pPr>
              <w:pStyle w:val="TableContents"/>
              <w:spacing w:before="0" w:after="1"/>
              <w:ind w:left="0" w:right="0" w:hanging="0"/>
              <w:rPr/>
            </w:pPr>
            <w:r>
              <w:rPr/>
              <w:t>​</w:t>
            </w:r>
          </w:p>
        </w:tc>
        <w:tc>
          <w:tcPr>
            <w:tcW w:w="25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76" w:type="dxa"/>
            <w:tcBorders/>
            <w:shd w:fill="auto" w:val="clear"/>
            <w:vAlign w:val="center"/>
          </w:tcPr>
          <w:p>
            <w:pPr>
              <w:pStyle w:val="TableContents"/>
              <w:spacing w:before="0" w:after="1"/>
              <w:ind w:left="0" w:right="0" w:hanging="0"/>
              <w:rPr/>
            </w:pPr>
            <w:r>
              <w:rPr/>
              <w:t>​</w:t>
            </w:r>
          </w:p>
        </w:tc>
        <w:tc>
          <w:tcPr>
            <w:tcW w:w="837" w:type="dxa"/>
            <w:tcBorders/>
            <w:shd w:fill="auto" w:val="clear"/>
            <w:vAlign w:val="center"/>
          </w:tcPr>
          <w:p>
            <w:pPr>
              <w:pStyle w:val="TableContents"/>
              <w:spacing w:before="0" w:after="1"/>
              <w:ind w:left="0" w:right="0" w:hanging="0"/>
              <w:jc w:val="right"/>
              <w:rPr/>
            </w:pPr>
            <w:r>
              <w:rPr/>
              <w:t>—</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leasing</w:t>
            </w:r>
          </w:p>
        </w:tc>
        <w:tc>
          <w:tcPr>
            <w:tcW w:w="109" w:type="dxa"/>
            <w:tcBorders/>
            <w:shd w:fill="CCEEFF" w:val="clear"/>
            <w:vAlign w:val="center"/>
          </w:tcPr>
          <w:p>
            <w:pPr>
              <w:pStyle w:val="TableContents"/>
              <w:spacing w:before="0" w:after="1"/>
              <w:ind w:left="0" w:right="0" w:hanging="0"/>
              <w:rPr/>
            </w:pPr>
            <w:r>
              <w:rPr/>
              <w:t>​</w:t>
            </w:r>
          </w:p>
        </w:tc>
        <w:tc>
          <w:tcPr>
            <w:tcW w:w="26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7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135" w:type="dxa"/>
            <w:tcBorders/>
            <w:shd w:fill="CCEEFF" w:val="clear"/>
            <w:vAlign w:val="center"/>
          </w:tcPr>
          <w:p>
            <w:pPr>
              <w:pStyle w:val="TableContents"/>
              <w:spacing w:before="0" w:after="1"/>
              <w:ind w:left="0" w:right="0" w:hanging="0"/>
              <w:rPr/>
            </w:pPr>
            <w:r>
              <w:rPr/>
              <w:t>​</w:t>
            </w:r>
          </w:p>
        </w:tc>
        <w:tc>
          <w:tcPr>
            <w:tcW w:w="26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7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81" w:type="dxa"/>
            <w:tcBorders/>
            <w:shd w:fill="CCEEFF" w:val="clear"/>
            <w:vAlign w:val="center"/>
          </w:tcPr>
          <w:p>
            <w:pPr>
              <w:pStyle w:val="TableContents"/>
              <w:spacing w:before="0" w:after="1"/>
              <w:ind w:left="0" w:right="0" w:hanging="0"/>
              <w:rPr/>
            </w:pPr>
            <w:r>
              <w:rPr/>
              <w:t>​</w:t>
            </w:r>
          </w:p>
        </w:tc>
        <w:tc>
          <w:tcPr>
            <w:tcW w:w="8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25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6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132" w:type="dxa"/>
            <w:tcBorders/>
            <w:shd w:fill="CCEEFF" w:val="clear"/>
            <w:vAlign w:val="center"/>
          </w:tcPr>
          <w:p>
            <w:pPr>
              <w:pStyle w:val="TableContents"/>
              <w:spacing w:before="0" w:after="1"/>
              <w:ind w:left="0" w:right="0" w:hanging="0"/>
              <w:rPr/>
            </w:pPr>
            <w:r>
              <w:rPr/>
              <w:t>​</w:t>
            </w:r>
          </w:p>
        </w:tc>
        <w:tc>
          <w:tcPr>
            <w:tcW w:w="25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176" w:type="dxa"/>
            <w:tcBorders/>
            <w:shd w:fill="CCEEFF" w:val="clear"/>
            <w:vAlign w:val="center"/>
          </w:tcPr>
          <w:p>
            <w:pPr>
              <w:pStyle w:val="TableContents"/>
              <w:spacing w:before="0" w:after="1"/>
              <w:ind w:left="0" w:right="0" w:hanging="0"/>
              <w:rPr/>
            </w:pPr>
            <w:r>
              <w:rPr/>
              <w:t>​</w:t>
            </w:r>
          </w:p>
        </w:tc>
        <w:tc>
          <w:tcPr>
            <w:tcW w:w="8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and rural real estate</w:t>
            </w:r>
          </w:p>
        </w:tc>
        <w:tc>
          <w:tcPr>
            <w:tcW w:w="109"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35"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181" w:type="dxa"/>
            <w:tcBorders/>
            <w:shd w:fill="auto" w:val="clear"/>
            <w:vAlign w:val="center"/>
          </w:tcPr>
          <w:p>
            <w:pPr>
              <w:pStyle w:val="TableContents"/>
              <w:spacing w:before="0" w:after="1"/>
              <w:ind w:left="0" w:right="0" w:hanging="0"/>
              <w:rPr/>
            </w:pPr>
            <w:r>
              <w:rPr/>
              <w:t>​</w:t>
            </w:r>
          </w:p>
        </w:tc>
        <w:tc>
          <w:tcPr>
            <w:tcW w:w="8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56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132"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58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76" w:type="dxa"/>
            <w:tcBorders/>
            <w:shd w:fill="auto" w:val="clear"/>
            <w:vAlign w:val="center"/>
          </w:tcPr>
          <w:p>
            <w:pPr>
              <w:pStyle w:val="TableContents"/>
              <w:spacing w:before="0" w:after="1"/>
              <w:ind w:left="0" w:right="0" w:hanging="0"/>
              <w:rPr/>
            </w:pPr>
            <w:r>
              <w:rPr/>
              <w:t>​</w:t>
            </w:r>
          </w:p>
        </w:tc>
        <w:tc>
          <w:tcPr>
            <w:tcW w:w="8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Timber</w:t>
            </w:r>
          </w:p>
        </w:tc>
        <w:tc>
          <w:tcPr>
            <w:tcW w:w="109"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35"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81" w:type="dxa"/>
            <w:tcBorders/>
            <w:shd w:fill="CCEEFF" w:val="clear"/>
            <w:vAlign w:val="center"/>
          </w:tcPr>
          <w:p>
            <w:pPr>
              <w:pStyle w:val="TableContents"/>
              <w:spacing w:before="0" w:after="1"/>
              <w:ind w:left="0" w:right="0" w:hanging="0"/>
              <w:rPr/>
            </w:pPr>
            <w:r>
              <w:rPr/>
              <w:t>​</w:t>
            </w:r>
          </w:p>
        </w:tc>
        <w:tc>
          <w:tcPr>
            <w:tcW w:w="8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5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32"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5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76" w:type="dxa"/>
            <w:tcBorders/>
            <w:shd w:fill="CCEEFF" w:val="clear"/>
            <w:vAlign w:val="center"/>
          </w:tcPr>
          <w:p>
            <w:pPr>
              <w:pStyle w:val="TableContents"/>
              <w:spacing w:before="0" w:after="1"/>
              <w:ind w:left="0" w:right="0" w:hanging="0"/>
              <w:rPr/>
            </w:pPr>
            <w:r>
              <w:rPr/>
              <w:t>​</w:t>
            </w:r>
          </w:p>
        </w:tc>
        <w:tc>
          <w:tcPr>
            <w:tcW w:w="8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Hospitality</w:t>
            </w:r>
          </w:p>
        </w:tc>
        <w:tc>
          <w:tcPr>
            <w:tcW w:w="109" w:type="dxa"/>
            <w:tcBorders/>
            <w:shd w:fill="auto" w:val="clear"/>
            <w:vAlign w:val="center"/>
          </w:tcPr>
          <w:p>
            <w:pPr>
              <w:pStyle w:val="TableContents"/>
              <w:spacing w:before="0" w:after="1"/>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35" w:type="dxa"/>
            <w:tcBorders/>
            <w:shd w:fill="auto" w:val="clear"/>
            <w:vAlign w:val="center"/>
          </w:tcPr>
          <w:p>
            <w:pPr>
              <w:pStyle w:val="TableContents"/>
              <w:spacing w:before="0" w:after="1"/>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81" w:type="dxa"/>
            <w:tcBorders/>
            <w:shd w:fill="auto" w:val="clear"/>
            <w:vAlign w:val="center"/>
          </w:tcPr>
          <w:p>
            <w:pPr>
              <w:pStyle w:val="TableContents"/>
              <w:spacing w:before="0" w:after="1"/>
              <w:ind w:left="0" w:right="0" w:hanging="0"/>
              <w:rPr/>
            </w:pPr>
            <w:r>
              <w:rPr/>
              <w:t>​</w:t>
            </w:r>
          </w:p>
        </w:tc>
        <w:tc>
          <w:tcPr>
            <w:tcW w:w="803" w:type="dxa"/>
            <w:tcBorders/>
            <w:shd w:fill="auto" w:val="clear"/>
            <w:vAlign w:val="center"/>
          </w:tcPr>
          <w:p>
            <w:pPr>
              <w:pStyle w:val="TableContents"/>
              <w:spacing w:before="0" w:after="1"/>
              <w:ind w:left="0" w:right="0" w:hanging="0"/>
              <w:jc w:val="right"/>
              <w:rPr/>
            </w:pPr>
            <w:r>
              <w:rPr/>
              <w:t>—</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25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6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32" w:type="dxa"/>
            <w:tcBorders/>
            <w:shd w:fill="auto" w:val="clear"/>
            <w:vAlign w:val="center"/>
          </w:tcPr>
          <w:p>
            <w:pPr>
              <w:pStyle w:val="TableContents"/>
              <w:spacing w:before="0" w:after="1"/>
              <w:ind w:left="0" w:right="0" w:hanging="0"/>
              <w:rPr/>
            </w:pPr>
            <w:r>
              <w:rPr/>
              <w:t>​</w:t>
            </w:r>
          </w:p>
        </w:tc>
        <w:tc>
          <w:tcPr>
            <w:tcW w:w="25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76" w:type="dxa"/>
            <w:tcBorders/>
            <w:shd w:fill="auto" w:val="clear"/>
            <w:vAlign w:val="center"/>
          </w:tcPr>
          <w:p>
            <w:pPr>
              <w:pStyle w:val="TableContents"/>
              <w:spacing w:before="0" w:after="1"/>
              <w:ind w:left="0" w:right="0" w:hanging="0"/>
              <w:rPr/>
            </w:pPr>
            <w:r>
              <w:rPr/>
              <w:t>​</w:t>
            </w:r>
          </w:p>
        </w:tc>
        <w:tc>
          <w:tcPr>
            <w:tcW w:w="8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spacing w:before="0" w:after="1"/>
              <w:ind w:left="0" w:right="0" w:hanging="0"/>
              <w:rPr/>
            </w:pPr>
            <w:r>
              <w:rPr/>
              <w:t>​</w:t>
            </w:r>
          </w:p>
        </w:tc>
        <w:tc>
          <w:tcPr>
            <w:tcW w:w="26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7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19.0</w:t>
            </w:r>
          </w:p>
        </w:tc>
        <w:tc>
          <w:tcPr>
            <w:tcW w:w="135" w:type="dxa"/>
            <w:tcBorders/>
            <w:shd w:fill="CCEEFF" w:val="clear"/>
            <w:vAlign w:val="center"/>
          </w:tcPr>
          <w:p>
            <w:pPr>
              <w:pStyle w:val="TableContents"/>
              <w:spacing w:before="0" w:after="1"/>
              <w:ind w:left="0" w:right="0" w:hanging="0"/>
              <w:rPr/>
            </w:pPr>
            <w:r>
              <w:rPr/>
              <w:t>​</w:t>
            </w:r>
          </w:p>
        </w:tc>
        <w:tc>
          <w:tcPr>
            <w:tcW w:w="26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7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181" w:type="dxa"/>
            <w:tcBorders/>
            <w:shd w:fill="CCEEFF" w:val="clear"/>
            <w:vAlign w:val="center"/>
          </w:tcPr>
          <w:p>
            <w:pPr>
              <w:pStyle w:val="TableContents"/>
              <w:spacing w:before="0" w:after="1"/>
              <w:ind w:left="0" w:right="0" w:hanging="0"/>
              <w:rPr/>
            </w:pPr>
            <w:r>
              <w:rPr/>
              <w:t> </w:t>
            </w:r>
          </w:p>
        </w:tc>
        <w:tc>
          <w:tcPr>
            <w:tcW w:w="803"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55.8</w:t>
            </w:r>
          </w:p>
        </w:tc>
        <w:tc>
          <w:tcPr>
            <w:tcW w:w="3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w:t>
            </w:r>
          </w:p>
        </w:tc>
        <w:tc>
          <w:tcPr>
            <w:tcW w:w="109" w:type="dxa"/>
            <w:tcBorders/>
            <w:shd w:fill="CCEEFF" w:val="clear"/>
            <w:vAlign w:val="center"/>
          </w:tcPr>
          <w:p>
            <w:pPr>
              <w:pStyle w:val="TableContents"/>
              <w:spacing w:before="0" w:after="1"/>
              <w:ind w:left="0" w:right="0" w:hanging="0"/>
              <w:rPr/>
            </w:pPr>
            <w:r>
              <w:rPr/>
              <w:t>​</w:t>
            </w:r>
          </w:p>
        </w:tc>
        <w:tc>
          <w:tcPr>
            <w:tcW w:w="25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6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15.4</w:t>
            </w:r>
          </w:p>
        </w:tc>
        <w:tc>
          <w:tcPr>
            <w:tcW w:w="132" w:type="dxa"/>
            <w:tcBorders/>
            <w:shd w:fill="CCEEFF" w:val="clear"/>
            <w:vAlign w:val="center"/>
          </w:tcPr>
          <w:p>
            <w:pPr>
              <w:pStyle w:val="TableContents"/>
              <w:spacing w:before="0" w:after="1"/>
              <w:ind w:left="0" w:right="0" w:hanging="0"/>
              <w:rPr/>
            </w:pPr>
            <w:r>
              <w:rPr/>
              <w:t>​</w:t>
            </w:r>
          </w:p>
        </w:tc>
        <w:tc>
          <w:tcPr>
            <w:tcW w:w="25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8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10.3</w:t>
            </w:r>
          </w:p>
        </w:tc>
        <w:tc>
          <w:tcPr>
            <w:tcW w:w="176" w:type="dxa"/>
            <w:tcBorders/>
            <w:shd w:fill="CCEEFF" w:val="clear"/>
            <w:vAlign w:val="center"/>
          </w:tcPr>
          <w:p>
            <w:pPr>
              <w:pStyle w:val="TableContents"/>
              <w:spacing w:before="0" w:after="1"/>
              <w:ind w:left="0" w:right="0" w:hanging="0"/>
              <w:rPr/>
            </w:pPr>
            <w:r>
              <w:rPr/>
              <w:t> </w:t>
            </w:r>
          </w:p>
        </w:tc>
        <w:tc>
          <w:tcPr>
            <w:tcW w:w="837"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66.9</w:t>
            </w:r>
          </w:p>
        </w:tc>
        <w:tc>
          <w:tcPr>
            <w:tcW w:w="3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 </w:t>
            </w:r>
          </w:p>
        </w:tc>
      </w:tr>
    </w:tbl>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commercial segment.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Total leasing revenue increased $2.7 million, or 31.0%, during the three months ended March 31, 2023, as compared to the same period in 2022. The increase was primarily due to new multi-family and senior living leases, as well as other new leases. Total leasing gross margin was 57.0% during the three months ended March 31, 2023, as compared to 58.6% during the same period in 2022. As of March 31, 2023, we had net rentable square feet of approximately 1,034,000, of which approximately 1,005,000 square feet were under lease. As of March 31, 2022, we had net rentable square feet of approximately 981,000, of which approximately 883,000 square feet were under lease. As of March 31, 2023, our consolidated entities had 952 multi-family and senior living units completed, of which 869 were leased, compared to 684 multi-family and senior living units completed, of which 629 were leased as of March 31,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the diversity of our commercial segment complements the growth of our residential and hospitality segments. Commercial and rural real estate revenue can vary depending on the proximity to developed areas and the mix and characteristics of commercial and rural real estate sold in each period, with varying compositions of retail, office, industrial, rural and other commercial uses. During the three months ended March 31, 2023, we had nine commercial and rural real estate sales of approximately 54 acres for $5.7 million and land improvement services of $0.2 million, together resulting in a gross margin of approximately 44.1%. During the three months ended March 31, 2022, we had six commercial and rural real estate sales totaling approximately 13 acres for $3.3 million and land improvement services of $0.3 million, together resulting in a gross margin of approximately 69.4%. As our focus continues to evolve more towards recurring revenue from leasing operations, we expect to have limited commercial and rural real estate sales. Further, we may continue to transform and operate commercial properties for higher and better use. This may result in certain assets moving from the commercial segment to the hospitality segment.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Timber revenue decreased $1.3 million, or 43.3%, to $1.7 million during the three months ended March 31, 2023, as compared to $3.0 million during the same period in 2022. The decrease was primarily due to a decrease in prices and tons of wood products sold in the current period. There were 95,000 tons of wood products sold during the three months ended March 31, 2023, as compared to 107,000 tons of wood products sold during the same period in 2022. The average price of wood product sold decreased to $16.44 per ton during the three months ended March 31, 2023, as compared to $26.63 per ton during the same period in 2022. Timber gross margin was 88.2% during the three months ended March 31, 2023, as compared to 93.3% during the same period in 2022. The decrease was primarily due to the decreased volume and prices in the current period.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total tons sold and relative percentage of total tons sold by major type of wood product are as follows:</w:t>
      </w:r>
    </w:p>
    <w:tbl>
      <w:tblPr>
        <w:tblW w:w="5410" w:type="dxa"/>
        <w:jc w:val="left"/>
        <w:tblInd w:w="0" w:type="dxa"/>
        <w:tblCellMar>
          <w:top w:w="0" w:type="dxa"/>
          <w:left w:w="0" w:type="dxa"/>
          <w:bottom w:w="0" w:type="dxa"/>
          <w:right w:w="0" w:type="dxa"/>
        </w:tblCellMar>
      </w:tblPr>
      <w:tblGrid>
        <w:gridCol w:w="1366"/>
        <w:gridCol w:w="326"/>
        <w:gridCol w:w="676"/>
        <w:gridCol w:w="146"/>
        <w:gridCol w:w="571"/>
        <w:gridCol w:w="391"/>
        <w:gridCol w:w="781"/>
        <w:gridCol w:w="146"/>
        <w:gridCol w:w="571"/>
        <w:gridCol w:w="436"/>
      </w:tblGrid>
      <w:tr>
        <w:trPr/>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867410" cy="175260"/>
                      <wp:effectExtent l="0" t="0" r="0" b="0"/>
                      <wp:wrapNone/>
                      <wp:docPr id="675" name="Frame675"/>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7010" cy="175260"/>
                      <wp:effectExtent l="0" t="0" r="0" b="0"/>
                      <wp:wrapNone/>
                      <wp:docPr id="676" name="Frame6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429260" cy="175260"/>
                      <wp:effectExtent l="0" t="0" r="0" b="0"/>
                      <wp:wrapNone/>
                      <wp:docPr id="677" name="Frame67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92710" cy="175260"/>
                      <wp:effectExtent l="0" t="0" r="0" b="0"/>
                      <wp:wrapNone/>
                      <wp:docPr id="678" name="Frame67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362585" cy="175260"/>
                      <wp:effectExtent l="0" t="0" r="0" b="0"/>
                      <wp:wrapNone/>
                      <wp:docPr id="679" name="Frame67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48285" cy="175260"/>
                      <wp:effectExtent l="0" t="0" r="0" b="0"/>
                      <wp:wrapNone/>
                      <wp:docPr id="680" name="Frame680"/>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495935" cy="175260"/>
                      <wp:effectExtent l="0" t="0" r="0" b="0"/>
                      <wp:wrapNone/>
                      <wp:docPr id="681" name="Frame68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92710" cy="175260"/>
                      <wp:effectExtent l="0" t="0" r="0" b="0"/>
                      <wp:wrapNone/>
                      <wp:docPr id="682" name="Frame68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362585" cy="175260"/>
                      <wp:effectExtent l="0" t="0" r="0" b="0"/>
                      <wp:wrapNone/>
                      <wp:docPr id="683" name="Frame68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276860" cy="175260"/>
                      <wp:effectExtent l="0" t="0" r="0" b="0"/>
                      <wp:wrapNone/>
                      <wp:docPr id="684" name="Frame684"/>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282"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436" w:type="dxa"/>
            <w:tcBorders/>
            <w:shd w:fill="auto" w:val="clear"/>
            <w:vAlign w:val="center"/>
          </w:tcPr>
          <w:p>
            <w:pPr>
              <w:pStyle w:val="TableContents"/>
              <w:spacing w:before="0" w:after="1"/>
              <w:ind w:left="0" w:right="0" w:hanging="0"/>
              <w:jc w:val="center"/>
              <w:rPr/>
            </w:pPr>
            <w:r>
              <w:rPr/>
              <w:t>​</w:t>
            </w:r>
          </w:p>
        </w:tc>
      </w:tr>
      <w:tr>
        <w:trPr/>
        <w:tc>
          <w:tcPr>
            <w:tcW w:w="13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shd w:fill="auto" w:val="clear"/>
            <w:vAlign w:val="center"/>
          </w:tcPr>
          <w:p>
            <w:pPr>
              <w:pStyle w:val="TableContents"/>
              <w:spacing w:before="0" w:after="1"/>
              <w:ind w:left="0" w:right="0" w:hanging="0"/>
              <w:jc w:val="center"/>
              <w:rPr/>
            </w:pPr>
            <w:r>
              <w:rPr/>
              <w:t>    </w:t>
            </w:r>
          </w:p>
        </w:tc>
        <w:tc>
          <w:tcPr>
            <w:tcW w:w="149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36" w:type="dxa"/>
            <w:tcBorders/>
            <w:shd w:fill="auto" w:val="clear"/>
            <w:vAlign w:val="center"/>
          </w:tcPr>
          <w:p>
            <w:pPr>
              <w:pStyle w:val="TableContents"/>
              <w:spacing w:before="0" w:after="1"/>
              <w:ind w:left="0" w:right="0" w:hanging="0"/>
              <w:jc w:val="center"/>
              <w:rPr/>
            </w:pPr>
            <w:r>
              <w:rPr/>
              <w:t> </w:t>
            </w:r>
          </w:p>
        </w:tc>
      </w:tr>
      <w:tr>
        <w:trPr/>
        <w:tc>
          <w:tcPr>
            <w:tcW w:w="13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Pine pulpwood</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48,000</w:t>
            </w:r>
          </w:p>
        </w:tc>
        <w:tc>
          <w:tcPr>
            <w:tcW w:w="14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56,000</w:t>
            </w:r>
          </w:p>
        </w:tc>
        <w:tc>
          <w:tcPr>
            <w:tcW w:w="14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4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13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Pine sawtimber</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45,000</w:t>
            </w:r>
          </w:p>
        </w:tc>
        <w:tc>
          <w:tcPr>
            <w:tcW w:w="14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48,000</w:t>
            </w:r>
          </w:p>
        </w:tc>
        <w:tc>
          <w:tcPr>
            <w:tcW w:w="14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4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13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Pine grade logs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14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13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4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136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95,000</w:t>
            </w:r>
          </w:p>
        </w:tc>
        <w:tc>
          <w:tcPr>
            <w:tcW w:w="14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107,000</w:t>
            </w:r>
          </w:p>
        </w:tc>
        <w:tc>
          <w:tcPr>
            <w:tcW w:w="14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3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w:t>
            </w:r>
          </w:p>
        </w:tc>
      </w:tr>
    </w:tbl>
    <w:p>
      <w:pPr>
        <w:pStyle w:val="TextBody"/>
        <w:spacing w:before="240" w:after="240"/>
        <w:ind w:left="0" w:right="0" w:firstLine="360"/>
        <w:rPr>
          <w:rFonts w:ascii="Times New Roman;Times;serif" w:hAnsi="Times New Roman;Times;serif"/>
          <w:sz w:val="20"/>
        </w:rPr>
      </w:pPr>
      <w:r>
        <w:rPr>
          <w:rFonts w:ascii="Times New Roman;Times;serif" w:hAnsi="Times New Roman;Times;serif"/>
          <w:sz w:val="20"/>
        </w:rPr>
        <w:t>Hospitality revenue includes some of our short-term vacation rentals.</w:t>
      </w:r>
    </w:p>
    <w:p>
      <w:pPr>
        <w:pStyle w:val="TextBody"/>
        <w:spacing w:before="120" w:after="240"/>
        <w:ind w:left="0" w:right="0" w:firstLine="360"/>
        <w:rPr>
          <w:rFonts w:ascii="Times New Roman;Times;serif" w:hAnsi="Times New Roman;Times;serif"/>
          <w:sz w:val="20"/>
        </w:rPr>
      </w:pPr>
      <w:r>
        <w:rPr>
          <w:rFonts w:ascii="Times New Roman;Times;serif" w:hAnsi="Times New Roman;Times;serif"/>
          <w:sz w:val="20"/>
        </w:rPr>
        <w:t>Other operating expenses include salaries and benefits, property taxes, CDD assessments, professional fees, marketing, project administration and other administrative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increase of $0.7 million in depreciation, depletion and amortization expense during the three months ended March 31, 2023, as compared to the same period in 2022, was primarily due to new properties placed in service.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Interest expense primarily includes interest incurred from our commercial project financing and CDD debt. The increase of $1.0 million in interest expense during the three months ended March 31, 2023, as compared to the same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period in 2022, was primarily due to an increase in project financing and higher interest rates. See Note 9. </w:t>
      </w:r>
      <w:r>
        <w:rPr>
          <w:rFonts w:ascii="Times New Roman;Times;serif" w:hAnsi="Times New Roman;Times;serif"/>
          <w:i/>
          <w:sz w:val="20"/>
        </w:rPr>
        <w:t>Debt, Net</w:t>
      </w:r>
      <w:r>
        <w:rPr>
          <w:rFonts w:ascii="Times New Roman;Times;serif" w:hAnsi="Times New Roman;Times;serif"/>
          <w:sz w:val="20"/>
        </w:rPr>
        <w:t xml:space="preserve"> for additional information.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Gain on contributions to unconsolidated joint ventures for the three months ended March 31, 2022, includes a gain of $0.4 million on land contributed to our unconsolidated Electric Cart Watersound JV.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Equity in (loss) income from unconsolidated joint ventures includes our proportionate share of earnings or losses of unconsolidated JVs accounted for by the equity method.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spacing w:before="0" w:after="240"/>
        <w:ind w:left="0" w:right="0" w:hanging="0"/>
        <w:rPr>
          <w:rFonts w:ascii="Times New Roman;Times;serif" w:hAnsi="Times New Roman;Times;serif"/>
          <w:b/>
          <w:sz w:val="20"/>
        </w:rPr>
      </w:pPr>
      <w:bookmarkStart w:id="1939" w:name="_Hlk85095075"/>
      <w:bookmarkEnd w:id="1939"/>
      <w:r>
        <w:rPr>
          <w:rFonts w:ascii="Times New Roman;Times;serif" w:hAnsi="Times New Roman;Times;serif"/>
          <w:b/>
          <w:sz w:val="20"/>
        </w:rPr>
        <w:t>Liquidity and Capital Resources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of March 31, 2023, we had cash and cash equivalents and U.S. Treasury Bills classified as investments – debt securities of $80.0 million, compared to $78.3 million as of December 31, 2022. In addition to cash and cash equivalents, we consider our investments classified as available-for-sale securities (“Securities”), as being generally available to meet our liquidity needs. Securities are not as liquid as cash and cash equivalents, but they are generally convertible into cash within a relatively short period of time. See Note 5. </w:t>
      </w:r>
      <w:r>
        <w:rPr>
          <w:rFonts w:ascii="Times New Roman;Times;serif" w:hAnsi="Times New Roman;Times;serif"/>
          <w:i/>
          <w:sz w:val="20"/>
        </w:rPr>
        <w:t xml:space="preserve">Investments </w:t>
      </w:r>
      <w:r>
        <w:rPr>
          <w:rFonts w:ascii="Times New Roman;Times;serif" w:hAnsi="Times New Roman;Times;serif"/>
          <w:sz w:val="20"/>
        </w:rPr>
        <w:t>for additional information regarding our investments.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that our current cash position, financing arrangements and cash generated from operations will provide us with sufficient liquidity to satisfy our anticipated working capital needs, expected capital expenditures, principal and interest payments on our long-term debt, capital contributions to JVs, Latitude JV Note commitment, authorized stock repurchases and authorized dividends for the next twelve months.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During the three months ended March 31, 2023, we invested a total of $69.6 million for capital expenditures, which includes $24.5 million for our residential segment, $21.8 million for our commercial segment, $23.1 million for our hospitality segment and $0.2 million for corporate expenditures. We anticipate that future capital commitments will be funded through cash generated from operations, new and existing financing arrangements, cash on hand and cash equivalents. As of March 31, 2023, we had a total of $76.9 million primarily in construction and development related contractual obligations, of which a portion will be funded through committed or new financing arrangements. Capital expenditures and contractual obligations exclude amounts related to unconsolidated joint ventures.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of March 31, 2023 and December 31, 2022, we had various loans outstanding totaling $426.8 million and $391.4 million, respectively, with maturities from May 2023 through March 2064. As of March 31, 2023, the weighted average effective interest rate of total outstanding debt was 5.0%, of which 69.9% of the debt outstanding includes fixed or swapped interest rates, and the average remaining life of debt outstanding was 17.8 years. As of March 31, 2023, the weighted average rate on our variable rate loans was 7.1%. See Item 3. </w:t>
      </w:r>
      <w:r>
        <w:rPr>
          <w:rFonts w:ascii="Times New Roman;Times;serif" w:hAnsi="Times New Roman;Times;serif"/>
          <w:i/>
          <w:sz w:val="20"/>
        </w:rPr>
        <w:t xml:space="preserve">Quantitative and Qualitative Disclosures about Market Risk </w:t>
      </w:r>
      <w:r>
        <w:rPr>
          <w:rFonts w:ascii="Times New Roman;Times;serif" w:hAnsi="Times New Roman;Times;serif"/>
          <w:sz w:val="20"/>
        </w:rPr>
        <w:t xml:space="preserve">for additional information regarding LIBOR related risks. Also, see Note 9. </w:t>
      </w:r>
      <w:r>
        <w:rPr>
          <w:rFonts w:ascii="Times New Roman;Times;serif" w:hAnsi="Times New Roman;Times;serif"/>
          <w:i/>
          <w:sz w:val="20"/>
        </w:rPr>
        <w:t xml:space="preserve">Debt, Net </w:t>
      </w:r>
      <w:r>
        <w:rPr>
          <w:rFonts w:ascii="Times New Roman;Times;serif" w:hAnsi="Times New Roman;Times;serif"/>
          <w:sz w:val="20"/>
        </w:rPr>
        <w:t>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2015, the Pier Park North JV entered into a $48.2 million loan. As of March 31, 2023 and December 31, 2022, $42.3 million and $42.6 million, respectively, was outstanding on the PPN JV Loan. The loan accrues interest at a rate of 4.1% per annum and matures in November 2025. In connection with the loan, we entered into a limited guarantee in favor of the lender, based on our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and upon breach of covenants in the security instrument.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0"/>
        <w:ind w:left="0" w:right="0" w:firstLine="360"/>
        <w:rPr>
          <w:rFonts w:ascii="Times New Roman;Times;serif" w:hAnsi="Times New Roman;Times;serif"/>
          <w:sz w:val="20"/>
        </w:rPr>
      </w:pPr>
      <w:bookmarkStart w:id="1940" w:name="_Hlk85095090"/>
      <w:bookmarkEnd w:id="1940"/>
      <w:r>
        <w:rPr>
          <w:rFonts w:ascii="Times New Roman;Times;serif" w:hAnsi="Times New Roman;Times;serif"/>
          <w:sz w:val="20"/>
        </w:rPr>
        <w:t xml:space="preserve">In 2018, the Pier Park Crossings JV entered into a $36.6 million loan, insured by HUD. As of March 31, 2023 and December 31, 2022, $35.1 million and $35.2 million, respectively, was outstanding on the PPC JV Loan. The loan bears interest at a rate of 3.1% and matures in June 2060. The loan includes a prepayment premium due to the lender of 2% -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10% for any additional principal that is prepaid through August 2031.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2019, the Watersound Origins Crossings JV entered into a $44.0 million loan, as amended. In March 2023, the Watersound Origins Crossings JV refinanced the Watersound Origins Crossings JV Loan that increased the principal amount of the loan, which had a balance of $44.0 million at the time of the refinance, to $52.9 million, fixed the interest rate to 5.0% and provides for monthly payments of principal and interest from May 2023 through maturity in April 2058. The refinanced loan terms include a prepayment premium due to the lender of 1% - 10% for any principal that is prepaid from May 2023 through April 2033. As of March 31, 2023 and December 31, 2022, $52.9 million and $44.0 million, respectively, was outstanding on the Watersound Origins Crossings JV Loan. The refinanced loan is insured by HUD and is secured by the real property and certain other Security Interests. As of March 31, 2023, we incurred $0.9 million of additional loan cost due to the refinance. As a result of the refinance, the three months ended March 31, 2023, include a $0.1 million loss on early extinguishment of debt related to unamortized debt issuance costs, included within other income (expense), net on the condensed consolidated statements of income.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bookmarkStart w:id="1941" w:name="_Hlk116503886"/>
      <w:bookmarkEnd w:id="1941"/>
      <w:r>
        <w:rPr>
          <w:rFonts w:ascii="Times New Roman;Times;serif" w:hAnsi="Times New Roman;Times;serif"/>
          <w:sz w:val="20"/>
        </w:rPr>
        <w:t xml:space="preserve">In 2019, the Watercrest JV entered into a $22.5 million loan. As of March 31, 2023 and December 31, 2022, $20.9 million and $21.0 million, respectively, was outstanding on the Watercrest JV Loan. The loan bears interest at a rate of LIBOR plus 2.2% and matures in June 2047. The loan is secured by the real property and certain other Security Interests. In connection with the loan, we executed a guarantee in favor of the lender to guarantee the payment and performance of the borrower under the Watercrest JV Loan. We are the sole guarantor and receive a quarterly fee related to the guarantee from our JV partner based on the JV partner’s ownership percentage.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2019, a wholly-owned subsidiary of ours entered into a $5.5 million loan, which is guaranteed by us. As of both March 31, 2023 and December 31, 2022, $5.0 million was outstanding on the Beckrich Building III Loan. The loan bears interest at a rate of LIBOR plus 1.7% and matures in August 2029.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2019, the Pier Park Crossings Phase II JV entered into a $22.9 million loan, insured by HUD, as amended. As of March 31, 2023 and December 31, 2022, $22.5 million and $22.6 million, respectively, was outstanding on the PPC II JV Loan. The PPC II JV Loan bears interest at a rate of 2.7% and matures in May 2057. The loan includes a prepayment premium due to the lender of 1% - 10% for any principal that is prepaid through May 2032.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2020, a wholly-owned subsidiary of ours entered into a $15.3 million loan, which is guaranteed by us. As of both March 31, 2023 and December 31, 2022, $14.6 million was outstanding on the Airport Hotel Loan. The loan bears interest at LIBOR plus 2.0%, with a floor of 3.0%, and matures in March 2025.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2020, the Pier Park Resort Hotel JV entered into a loan with an initial amount of $52.5 million and up to a maximum of $60.0 million through additional earn-out requests. As of March 31, 2023 and December 31, 2022, $52.5 million and $45.2 million, respectively, was outstanding on the Pier Park Resort Hotel JV Loan. The loan matures in April 2027 and bears interest at a rate of SOFR plus 2.1%. The loan is secured by the real property and certain other Security Interests. In connection with the loan, as guarantors, we and our JV partner entered into a guarantee based on each partner’s ownership interest in favor of the lender, to guarantee the payment and performance of the borrower. As guarantor, our liability under the loan will be released upon reaching and maintaining certain debt service coverage for twelve months.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of $42.0 million, </w:t>
      </w:r>
      <w:r>
        <w:rPr>
          <w:rFonts w:ascii="TimesNewRomanPSMT" w:hAnsi="TimesNewRomanPSMT"/>
          <w:sz w:val="20"/>
        </w:rPr>
        <w:t>amortizing to $38.7 million at swap maturity,</w:t>
      </w:r>
      <w:r>
        <w:rPr>
          <w:rFonts w:ascii="Times New Roman;Times;serif" w:hAnsi="Times New Roman;Times;serif"/>
          <w:sz w:val="20"/>
        </w:rPr>
        <w:t xml:space="preserve"> to a rate of 3.3%. See Note 6. </w:t>
      </w:r>
      <w:r>
        <w:rPr>
          <w:rFonts w:ascii="Times New Roman;Times;serif" w:hAnsi="Times New Roman;Times;serif"/>
          <w:i/>
          <w:sz w:val="20"/>
        </w:rPr>
        <w:t>Financial Instruments and Fair Value Measurements</w:t>
      </w:r>
      <w:r>
        <w:rPr>
          <w:rFonts w:ascii="Times New Roman;Times;serif" w:hAnsi="Times New Roman;Times;serif"/>
          <w:sz w:val="20"/>
        </w:rPr>
        <w:t xml:space="preserve"> and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2020, a wholly-owned subsidiary of ours entered into a $16.8 million loan, which is guaranteed by us. As of March 31, 2023 and December 31, 2022, $16.3 million and $16.4 million, respectively, was outstanding on the Breakfast Point Hotel Loan. The loan matures in November 2042 and bears interest at a rate of 6.0% through November 2027 and the 1-year constant maturity Treasury rate plus 3.3% from December 2027 through November 2042, with a minimum rate of 6.0% throughout the term of the loan. The loan includes a prepayment premium due to the lender of 1% - 3% of the outstanding principal balance for any additional principal that is prepaid through November 2027.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2020, a wholly-owned subsidiary of ours entered into a $5.8 million loan, which is guaranteed by us. As of both March 31, 2023 and December 31, 2022, $4.7 million was outstanding on the Self-Storage Facility Loan. The loan matures in November 2025 and bears interest at a rate of LIBOR plus 2.4%, with a floor of 2.9%. The loan is secured by the real property and certain other Security Interests. Our liability as guarantor under the loan shall not exceed $2.9 million, plus any additional fees, upon reaching and maintaining certain debt service coverage.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2021, The Lodge 30A JV entered into a $15.0 million loan. As of March 31, 2023 and December 31, 2022, $13.7 million and $13.3 million, respectively, was outstanding on the Lodge 30A JV Loan. The loan bears interest at a rate of 3.8% and matures in January 2028. The loan is secured by the real property and certain other Security Interests. In connection with the loan, we, wholly-owned subsidiaries of ours and our JV partner entered into a joint and several payment and performance guarantee in favor of the lender. Upon reaching a certain debt service coverage ratio for a minimum of twenty-four months, our liability as guarantor will be reduced to 75% of the outstanding principal amount for a twelve-month period. The debt service coverage ratio will be tested annually thereafter and will be reduced to 50% in year four and 25% in year five. We receive a monthly fee related to the guarantee from our JV partner based on the JV partner’s ownership percentage.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2021, a wholly-owned subsidiary of ours entered into a $26.8 million loan, which is guaranteed by us. As of March 31, 2023 and December 31, 2022, $19.6 million and $18.2 million, respectively, was outstanding on the North Bay Landing Loan. The loan bears interest at a rate of LIBOR plus 2.5%, with a floor of 3.2%. Upon reaching a certain debt service coverage ratio, the loan will bear interest at a rate of LIBOR plus 2.3%, with a floor of 3.0%. The loan matures in September 2024 and includes an option for an extension of the maturity date by eighteen months, subject to certain conditions. The loan is secured by the real property and certain other Security Interests. As guarantor, our liability under the loan will be reduced to 50% of the outstanding principal amount upon satisfaction of final advance conditions and reduced to 25% of the outstanding principal amount upon reaching and maintaining a certain debt service coverage ratio. In addition, the guarantee can become full recourse in the case of any fraud or intentional misrepresentation or failure to abide by other certain obligations on the part of such guarantor.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2021, a wholly-owned subsidiary of ours entered into a $28.0 million loan, which is guaranteed by us. As of March 31, 2023 and December 31, 2022, $16.8 million and $13.1 million, respectively, was outstanding on the Watersound Camp Creek Loan. The loan matures in December 2047. In February 2023, the loan was amended, which modified the interest rate from LIBOR plus 2.1%, with a floor of 2.6%, to SOFR plus 2.1%, with a floor of 2.6%. The loan is secured by the real property and certain other Security Interests. As guarantor, our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guarantor to abide by or perform any of the covenants, warranties or other certain obligations to be performed on the part of such guarantor.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2021, a wholly-owned subsidiary of ours entered into a $12.0 million loan, which is guaranteed by us. As of March 31, 2023 and December 31, 2022, $10.6 million and $11.4 million, respectively, was outstanding on the Watersound Town Center Grocery Loan. The loan bears interest at LIBOR plus 2.0%, with a floor of 2.2%, and matures in August 2031. The loan is secured by the real property and certain other Security Interests. As guarantor, our liability under the loan has been reduced to 50% of the outstanding principal amount and will be further reduced to 25% of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outstanding principal amount upon reaching a certain debt service coverage ratio and the project maintaining 93% occupancy for ninety consecutive days.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bookmarkStart w:id="1942" w:name="_Hlk116503989"/>
      <w:bookmarkEnd w:id="1942"/>
      <w:r>
        <w:rPr>
          <w:rFonts w:ascii="Times New Roman;Times;serif" w:hAnsi="Times New Roman;Times;serif"/>
          <w:sz w:val="20"/>
        </w:rPr>
        <w:t xml:space="preserve">In 2021, a wholly-owned subsidiary of ours entered into a $21.2 million loan, which is guaranteed by us. As of March 31, 2023 and December 31, 2022, $14.2 million and $10.4 million, respectively, was outstanding on the Hotel Indigo Loan. The loan bears interest at a rate of SOFR plus 2.7%, with a floor of 2.7%, through October 2023 and SOFR plus 2.5%, with a floor of 2.5%, from November 2023 through maturity. The loan matures in October 2028 and includes an option for an extension of the maturity date by sixty months, subject to certain conditions. The loan is secured by the leasehold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January 2022, the Mexico Beach Crossings JV entered into a $43.5 million loan, insured by HUD. As of March 31, 2023 and December 31, 2022, $32.8 million and $23.4 million, respectively, was outstanding on the Mexico Beach Crossings JV Loan. The loan bears interest at a rate of 3.0% and matures in March 2064. The loan may not be prepaid prior to April 2024 and if any additional principal is prepaid from April 2024 through March 2034 a premium is due to the lender of 1% - 10%.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bookmarkStart w:id="1943" w:name="_Hlk116504016"/>
      <w:bookmarkEnd w:id="1943"/>
      <w:r>
        <w:rPr>
          <w:rFonts w:ascii="Times New Roman;Times;serif" w:hAnsi="Times New Roman;Times;serif"/>
          <w:sz w:val="20"/>
        </w:rPr>
        <w:t xml:space="preserve">In July 2022, a wholly-owned subsidiary of ours entered into a $13.7 million loan, which is guaranteed by us. As of March 31, 2023 and December 31, 2022, $7.9 million and $5.2 million, respectively, was outstanding on the Topsail Hotel Loan. The loan bears interest at a rate of SOFR plus 2.1%, with a floor of 3.0% and matures in July 2027.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December 2022, a wholly-owned subsidiary of ours entered into a $37.0 million loan, which is guaranteed by us. As of March 31, 2023 and December 31, 2022, $36.6 million and $37.0 million, respectively, was outstanding on The Pearl Hotel Loan. The loan bears interest at a rate of 6.3% and matures in December 2032. The loan includes a prepayment fee due to the lender of 1% - 5% of the outstanding principal balance if the loan is refinanced with another financial institution through December 2027. The loan is secured by the real property and certain other Security Interests. See Note 9. </w:t>
      </w:r>
      <w:r>
        <w:rPr>
          <w:rFonts w:ascii="Times New Roman;Times;serif" w:hAnsi="Times New Roman;Times;serif"/>
          <w:i/>
          <w:sz w:val="20"/>
        </w:rPr>
        <w:t xml:space="preserve">Debt, Net </w:t>
      </w:r>
      <w:r>
        <w:rPr>
          <w:rFonts w:ascii="Times New Roman;Times;serif" w:hAnsi="Times New Roman;Times;serif"/>
          <w:sz w:val="20"/>
        </w:rPr>
        <w:t>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CDD bonds financed the construction of infrastructure improvements in some of our communities. The principal and interest payments on the bonds are paid by assessments on the properties benefited by the improvements financed by the bonds. We have recorded a liability for CDD debt that is associated with platted property, which is the point at which it becomes fixed and determinable. Additionally, we have recorded a liability for the balance of the CDD debt that is associated with unplatted property if it is probable and reasonably estimable that we will ultimately be responsible for repayment. We have recorded CDD related debt of $4.0 million as of March 31, 2023. Total outstanding CDD debt related to our land holdings was $11.7 million as of March 31, 2023, which was comprised of $9.6 million at the SouthWood community, $2.0 million at the existing Pier Park retail center and less than $0.1 million at the Wild Heron community. We pay interest on this total outstanding CDD debt.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of March 31, 2023, our unconsolidated Watersound Fountains Independent Living JV, Latitude Margaritaville Watersound JV, Pier Park TPS JV, Pier Park RI JV, Busy Bee JV and Electric Cart Watersound JV had various loans outstanding, some of which we have entered into guarantees. See Note 4. </w:t>
      </w:r>
      <w:r>
        <w:rPr>
          <w:rFonts w:ascii="TimesNewRomanPS-ItalicMT" w:hAnsi="TimesNewRomanPS-ItalicMT"/>
          <w:i/>
          <w:sz w:val="20"/>
        </w:rPr>
        <w:t xml:space="preserve">Joint Ventures </w:t>
      </w:r>
      <w:r>
        <w:rPr>
          <w:rFonts w:ascii="Times New Roman;Times;serif" w:hAnsi="Times New Roman;Times;serif"/>
          <w:sz w:val="20"/>
        </w:rPr>
        <w:t xml:space="preserve">and Note 18. </w:t>
      </w:r>
      <w:r>
        <w:rPr>
          <w:rFonts w:ascii="TimesNewRomanPS-ItalicMT" w:hAnsi="TimesNewRomanPS-ItalicMT"/>
          <w:i/>
          <w:sz w:val="20"/>
        </w:rPr>
        <w:t xml:space="preserve">Commitments and Contingencies </w:t>
      </w:r>
      <w:r>
        <w:rPr>
          <w:rFonts w:ascii="Times New Roman;Times;serif" w:hAnsi="Times New Roman;Times;serif"/>
          <w:sz w:val="20"/>
        </w:rPr>
        <w:t>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2020, we, as lender, entered into a $10.0 million secured revolving promissory note with the unconsolidated Latitude Margaritaville Watersound JV, as borrower. As of both March 31, 2023 and December 31, 2022, there was no principal balance outstanding on the Latitude JV Note. The note was provided by us to finance the development of the pod-level, non-spine infrastructure. Future advances, if any, will be repaid by the JV as each home is sold by the JV, with the aggregate unpaid principal and all accrued and unpaid interest due at maturity in June 2025. The note is secured by a mortgage and security interest in and on the real property and improvements located on the real property of the JV.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During the three months ended March 31, 2023 and 2022, we did not repurchase shares of our common stock outstanding. See Note 14. </w:t>
      </w:r>
      <w:r>
        <w:rPr>
          <w:rFonts w:ascii="Times New Roman;Times;serif" w:hAnsi="Times New Roman;Times;serif"/>
          <w:i/>
          <w:sz w:val="20"/>
        </w:rPr>
        <w:t>Stockholders’ Equity</w:t>
      </w:r>
      <w:r>
        <w:rPr>
          <w:rFonts w:ascii="Times New Roman;Times;serif" w:hAnsi="Times New Roman;Times;serif"/>
          <w:sz w:val="20"/>
        </w:rPr>
        <w:t xml:space="preserve"> for additional information regarding the Stock Repurchase Program.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part of a timberland sale in 2008, we have recorded a retained interest with respect to notes contributed to bankruptcy-remote qualified SPEs of $5.8 million for the installment notes monetized through March 31, 2023. This balance represents the present value of future cash flows to be received over the life of the installment notes, using management’s best estimates of underlying assumptions, including credit risk and interest rates as of the date of the monetization, plus the accretion of investment income based on an effective yield, which is recognized over the term of the notes, less actual cash receipts. See Note 8. </w:t>
      </w:r>
      <w:r>
        <w:rPr>
          <w:rFonts w:ascii="Times New Roman;Times;serif" w:hAnsi="Times New Roman;Times;serif"/>
          <w:i/>
          <w:sz w:val="20"/>
        </w:rPr>
        <w:t>Other Assets</w:t>
      </w:r>
      <w:r>
        <w:rPr>
          <w:rFonts w:ascii="Times New Roman;Times;serif" w:hAnsi="Times New Roman;Times;serif"/>
          <w:sz w:val="20"/>
        </w:rPr>
        <w:t xml:space="preserve"> for additional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March 31, 2023 and December 31, 2022, we were required to provide surety bonds that guarantee completion and maintenance of certain infrastructure in certain development projects and mitigation banks, as well as other financial guarantees of $22.0 million and $38.1 million, respectively, as well as standby letters of credit in the amount of $9.1 million and $17.3 million, respectively, which may potentially result in a liability to us if certain obligations are not met.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conducting our operations, we routinely hold customers’ assets in escrow pending completion of real estate transactions, and are responsible for the proper disposition of these balances for our customers. These amounts are maintained in segregated bank accounts and have not been included in the accompanying condensed consolidated balance sheets, consistent with GAAP and industry practice. The cash deposit accounts and offsetting liability balances for escrow deposits in connection with our title insurance agencies for real estate transactions were $9.6 million and $8.0 million as of March 31, 2023 and December 31, 2022, respectively, these escrow funds are not available for regular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Summary of Cash Flows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summary of our cash flows from operating, investing and financing activities are as follows:</w:t>
      </w:r>
    </w:p>
    <w:tbl>
      <w:tblPr>
        <w:tblW w:w="8631" w:type="dxa"/>
        <w:jc w:val="left"/>
        <w:tblInd w:w="0" w:type="dxa"/>
        <w:tblCellMar>
          <w:top w:w="0" w:type="dxa"/>
          <w:left w:w="0" w:type="dxa"/>
          <w:bottom w:w="0" w:type="dxa"/>
          <w:right w:w="0" w:type="dxa"/>
        </w:tblCellMar>
      </w:tblPr>
      <w:tblGrid>
        <w:gridCol w:w="5671"/>
        <w:gridCol w:w="326"/>
        <w:gridCol w:w="268"/>
        <w:gridCol w:w="746"/>
        <w:gridCol w:w="415"/>
        <w:gridCol w:w="268"/>
        <w:gridCol w:w="746"/>
        <w:gridCol w:w="191"/>
      </w:tblGrid>
      <w:tr>
        <w:trPr/>
        <w:tc>
          <w:tcPr>
            <w:tcW w:w="5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3601085" cy="175260"/>
                      <wp:effectExtent l="0" t="0" r="0" b="0"/>
                      <wp:wrapNone/>
                      <wp:docPr id="685" name="Frame685"/>
                      <a:graphic xmlns:a="http://schemas.openxmlformats.org/drawingml/2006/main">
                        <a:graphicData uri="http://schemas.microsoft.com/office/word/2010/wordprocessingShape">
                          <wps:wsp>
                            <wps:cNvSpPr txBox="1"/>
                            <wps:spPr>
                              <a:xfrm>
                                <a:off x="0" y="0"/>
                                <a:ext cx="3601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07010" cy="175260"/>
                      <wp:effectExtent l="0" t="0" r="0" b="0"/>
                      <wp:wrapNone/>
                      <wp:docPr id="686" name="Frame6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70180" cy="175260"/>
                      <wp:effectExtent l="0" t="0" r="0" b="0"/>
                      <wp:wrapNone/>
                      <wp:docPr id="687" name="Frame687"/>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473710" cy="175260"/>
                      <wp:effectExtent l="0" t="0" r="0" b="0"/>
                      <wp:wrapNone/>
                      <wp:docPr id="688" name="Frame688"/>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63525" cy="175260"/>
                      <wp:effectExtent l="0" t="0" r="0" b="0"/>
                      <wp:wrapNone/>
                      <wp:docPr id="689" name="Frame689"/>
                      <a:graphic xmlns:a="http://schemas.openxmlformats.org/drawingml/2006/main">
                        <a:graphicData uri="http://schemas.microsoft.com/office/word/2010/wordprocessingShape">
                          <wps:wsp>
                            <wps:cNvSpPr txBox="1"/>
                            <wps:spPr>
                              <a:xfrm>
                                <a:off x="0" y="0"/>
                                <a:ext cx="263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170180" cy="175260"/>
                      <wp:effectExtent l="0" t="0" r="0" b="0"/>
                      <wp:wrapNone/>
                      <wp:docPr id="690" name="Frame690"/>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473710" cy="175260"/>
                      <wp:effectExtent l="0" t="0" r="0" b="0"/>
                      <wp:wrapNone/>
                      <wp:docPr id="691" name="Frame691"/>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21285" cy="175260"/>
                      <wp:effectExtent l="0" t="0" r="0" b="0"/>
                      <wp:wrapNone/>
                      <wp:docPr id="692" name="Frame692"/>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6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44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91" w:type="dxa"/>
            <w:tcBorders/>
            <w:shd w:fill="auto" w:val="clear"/>
            <w:vAlign w:val="center"/>
          </w:tcPr>
          <w:p>
            <w:pPr>
              <w:pStyle w:val="TableContents"/>
              <w:spacing w:before="0" w:after="0"/>
              <w:ind w:left="0" w:right="0" w:hanging="0"/>
              <w:jc w:val="center"/>
              <w:rPr/>
            </w:pPr>
            <w:r>
              <w:rPr/>
              <w:t>​</w:t>
            </w:r>
          </w:p>
        </w:tc>
      </w:tr>
      <w:tr>
        <w:trPr/>
        <w:tc>
          <w:tcPr>
            <w:tcW w:w="56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5" w:type="dxa"/>
            <w:tcBorders/>
            <w:shd w:fill="auto" w:val="clear"/>
            <w:vAlign w:val="center"/>
          </w:tcPr>
          <w:p>
            <w:pPr>
              <w:pStyle w:val="TableContents"/>
              <w:spacing w:before="0" w:after="0"/>
              <w:ind w:left="0" w:right="0" w:hanging="0"/>
              <w:jc w:val="center"/>
              <w:rPr/>
            </w:pPr>
            <w:r>
              <w:rPr/>
              <w:t>    </w:t>
            </w:r>
          </w:p>
        </w:tc>
        <w:tc>
          <w:tcPr>
            <w:tcW w:w="10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shd w:fill="auto" w:val="clear"/>
            <w:vAlign w:val="center"/>
          </w:tcPr>
          <w:p>
            <w:pPr>
              <w:pStyle w:val="TableContents"/>
              <w:spacing w:before="0" w:after="0"/>
              <w:ind w:left="0" w:right="0" w:hanging="0"/>
              <w:jc w:val="center"/>
              <w:rPr/>
            </w:pPr>
            <w:r>
              <w:rPr/>
              <w:t> </w:t>
            </w:r>
          </w:p>
        </w:tc>
      </w:tr>
      <w:tr>
        <w:trPr/>
        <w:tc>
          <w:tcPr>
            <w:tcW w:w="8631"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56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43" w:type="dxa"/>
            <w:gridSpan w:val="5"/>
            <w:tcBorders/>
            <w:shd w:fill="auto" w:val="clear"/>
            <w:vAlign w:val="center"/>
          </w:tcPr>
          <w:p>
            <w:pPr>
              <w:pStyle w:val="TableContents"/>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191" w:type="dxa"/>
            <w:tcBorders/>
            <w:shd w:fill="auto" w:val="clear"/>
            <w:vAlign w:val="center"/>
          </w:tcPr>
          <w:p>
            <w:pPr>
              <w:pStyle w:val="TableContents"/>
              <w:spacing w:before="0" w:after="0"/>
              <w:ind w:left="0" w:right="0" w:hanging="0"/>
              <w:jc w:val="center"/>
              <w:rPr/>
            </w:pPr>
            <w:r>
              <w:rPr/>
              <w:t>​</w:t>
            </w:r>
          </w:p>
        </w:tc>
      </w:tr>
      <w:tr>
        <w:trPr/>
        <w:tc>
          <w:tcPr>
            <w:tcW w:w="56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415"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191" w:type="dxa"/>
            <w:tcBorders/>
            <w:shd w:fill="CCEEFF" w:val="clear"/>
            <w:vAlign w:val="center"/>
          </w:tcPr>
          <w:p>
            <w:pPr>
              <w:pStyle w:val="TableContents"/>
              <w:spacing w:before="0" w:after="0"/>
              <w:ind w:left="0" w:right="0" w:hanging="0"/>
              <w:rPr/>
            </w:pPr>
            <w:r>
              <w:rPr/>
              <w:t>​</w:t>
            </w:r>
          </w:p>
        </w:tc>
      </w:tr>
      <w:tr>
        <w:trPr/>
        <w:tc>
          <w:tcPr>
            <w:tcW w:w="56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415"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191" w:type="dxa"/>
            <w:tcBorders/>
            <w:shd w:fill="auto" w:val="clear"/>
            <w:vAlign w:val="center"/>
          </w:tcPr>
          <w:p>
            <w:pPr>
              <w:pStyle w:val="TableContents"/>
              <w:spacing w:before="0" w:after="0"/>
              <w:ind w:left="0" w:right="0" w:hanging="0"/>
              <w:rPr/>
            </w:pPr>
            <w:r>
              <w:rPr/>
              <w:t>​</w:t>
            </w:r>
          </w:p>
        </w:tc>
      </w:tr>
      <w:tr>
        <w:trPr/>
        <w:tc>
          <w:tcPr>
            <w:tcW w:w="56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415"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91" w:type="dxa"/>
            <w:tcBorders/>
            <w:shd w:fill="CCEEFF" w:val="clear"/>
            <w:vAlign w:val="center"/>
          </w:tcPr>
          <w:p>
            <w:pPr>
              <w:pStyle w:val="TableContents"/>
              <w:spacing w:before="0" w:after="0"/>
              <w:ind w:left="0" w:right="0" w:hanging="0"/>
              <w:rPr/>
            </w:pPr>
            <w:r>
              <w:rPr/>
              <w:t>​</w:t>
            </w:r>
          </w:p>
        </w:tc>
      </w:tr>
      <w:tr>
        <w:trPr/>
        <w:tc>
          <w:tcPr>
            <w:tcW w:w="56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415"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191" w:type="dxa"/>
            <w:tcBorders/>
            <w:shd w:fill="auto" w:val="clear"/>
            <w:vAlign w:val="center"/>
          </w:tcPr>
          <w:p>
            <w:pPr>
              <w:pStyle w:val="TableContents"/>
              <w:spacing w:before="0" w:after="0"/>
              <w:ind w:left="0" w:right="0" w:hanging="0"/>
              <w:rPr/>
            </w:pPr>
            <w:r>
              <w:rPr/>
              <w:t>​</w:t>
            </w:r>
          </w:p>
        </w:tc>
      </w:tr>
      <w:tr>
        <w:trPr/>
        <w:tc>
          <w:tcPr>
            <w:tcW w:w="56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 at beginning of the period</w:t>
            </w:r>
          </w:p>
        </w:tc>
        <w:tc>
          <w:tcPr>
            <w:tcW w:w="326"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415"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191" w:type="dxa"/>
            <w:tcBorders/>
            <w:shd w:fill="CCEEFF" w:val="clear"/>
            <w:vAlign w:val="center"/>
          </w:tcPr>
          <w:p>
            <w:pPr>
              <w:pStyle w:val="TableContents"/>
              <w:spacing w:before="0" w:after="0"/>
              <w:ind w:left="0" w:right="0" w:hanging="0"/>
              <w:rPr/>
            </w:pPr>
            <w:r>
              <w:rPr/>
              <w:t>​</w:t>
            </w:r>
          </w:p>
        </w:tc>
      </w:tr>
      <w:tr>
        <w:trPr/>
        <w:tc>
          <w:tcPr>
            <w:tcW w:w="56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cash equivalents and restricted cash at end of the period</w:t>
            </w:r>
          </w:p>
        </w:tc>
        <w:tc>
          <w:tcPr>
            <w:tcW w:w="326" w:type="dxa"/>
            <w:tcBorders/>
            <w:shd w:fill="auto" w:val="clear"/>
            <w:vAlign w:val="center"/>
          </w:tcPr>
          <w:p>
            <w:pPr>
              <w:pStyle w:val="TableContents"/>
              <w:spacing w:before="0" w:after="0"/>
              <w:ind w:left="0" w:right="0" w:hanging="0"/>
              <w:rPr/>
            </w:pPr>
            <w:r>
              <w:rPr/>
              <w:t>​</w:t>
            </w:r>
          </w:p>
        </w:tc>
        <w:tc>
          <w:tcPr>
            <w:tcW w:w="26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64.2</w:t>
            </w:r>
          </w:p>
        </w:tc>
        <w:tc>
          <w:tcPr>
            <w:tcW w:w="415" w:type="dxa"/>
            <w:tcBorders/>
            <w:shd w:fill="auto" w:val="clear"/>
            <w:vAlign w:val="center"/>
          </w:tcPr>
          <w:p>
            <w:pPr>
              <w:pStyle w:val="TableContents"/>
              <w:spacing w:before="0" w:after="0"/>
              <w:ind w:left="0" w:right="0" w:hanging="0"/>
              <w:rPr/>
            </w:pPr>
            <w:r>
              <w:rPr/>
              <w:t>​</w:t>
            </w:r>
          </w:p>
        </w:tc>
        <w:tc>
          <w:tcPr>
            <w:tcW w:w="26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41.8</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Cash flows provided by operating activities includes net income, adjustments for non-cash items, changes in operating assets and liabilities and expenditures related to assets ultimately planned to be sold, including residential real estate development and related amenities, sales of timberlands or undeveloped and developed land and land developed by the commercial segment. Adjustments for non-cash items primarily include depreciation, depletion and amortization, equity in (income) loss from unconsolidated joint ventures, net of distributions, deferred income tax (benefit) expense, cost of real estate sold and gain on contributions to unconsolidated joint ventures. Net cash provided by operations was $19.2 million during the three months ended March 31, 2023, as compared to $19.8 million during the same period in 2022. The decrease in net cash provided by operating activities was primarily due to the changes in net income, equity in (income) loss from unconsolidated joint ventures, net of distributions, deferred income tax (benefit) expense and other assets, partially offset by the changes in cost of real estate sold and other liabilities during the period.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Cash flows used in investing activities primarily includes capital expenditures for operating property and property and equipment used in our operations, purchases of investments and capital contributions to unconsolidated joint ventures, partially offset by proceeds from insurance claims, maturities of investments, capital distributions from unconsolidated joint ventures and maturities of assets held by SPEs. During the three months ended March 31, 2023, net cash used in investing activities was $27.2 million, which included capital expenditures for operating property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equipment, purchases of investments of U.S. Treasury Bills of $9.8 million and capital contributions to unconsolidated joint ventures of $1.9 million, partially offset by maturities of investments of $28.0 million, capital distributions from unconsolidated joint ventures of $0.1 million and maturities of assets held by SPEs of $0.4 million. During the three months ended March 31, 2022, net cash used in investing activities was $81.3 million, which included capital expenditures for operating property and equipment, purchases of investments of U.S. Treasury Bills of $74.4 million and capital contributions to unconsolidated joint ventures of $0.1 million, partially offset by proceeds from insurance claims of $0.7 million, maturities of investments of $45.0 million, capital distributions from unconsolidated joint venture of $0.2 million and maturities of assets held by SPEs of $0.4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Capital expenditures for operating property and property and equipment were $44.0 million and $53.1 million, during the three months ended March 31, 2023 and 2022, respectively, which were primarily for our commercial and hospitality segments.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cash provided by financing activities during the three months ended March 31, 2023 was $26.9 million, compared to $28.9 million during the same period in 2022. Net cash provided by financing activities during the three months ended March 31, 2023 included capital contribution from non-controlling interest of $0.2 million and borrowings on debt of $81.5 million, partially offset by capital distributions to non-controlling interest of $2.1 million, dividends paid of $5.8 million, principal payments for debt of $45.9 million, principal payments for finance leases of less than $0.1 million and debt issuance costs of $0.9 million. Net cash provided by financing activities during the three months ended March 31, 2022 included capital contribution from non-controlling interest of $2.0 million and borrowings on debt of $35.1 million, partially offset by capital distributions to non-controlling interest of $0.7 million, dividends paid of $5.9 million, principal payments for debt of $0.5 million and debt issuance costs of $1.1 million.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Contractual Obligations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were no material changes outside the ordinary course of our business in our contractual obligations during the first quarter of 2023.</w:t>
      </w:r>
    </w:p>
    <w:p>
      <w:pPr>
        <w:pStyle w:val="TextBody"/>
        <w:spacing w:before="0" w:after="240"/>
        <w:ind w:left="0" w:right="0" w:hanging="0"/>
        <w:rPr>
          <w:rFonts w:ascii="Times New Roman;Times;serif" w:hAnsi="Times New Roman;Times;serif"/>
          <w:b/>
          <w:sz w:val="20"/>
        </w:rPr>
      </w:pPr>
      <w:bookmarkStart w:id="1944" w:name="_Hlk100813028"/>
      <w:bookmarkEnd w:id="1944"/>
      <w:r>
        <w:rPr>
          <w:rFonts w:ascii="Times New Roman;Times;serif" w:hAnsi="Times New Roman;Times;serif"/>
          <w:b/>
          <w:sz w:val="20"/>
        </w:rPr>
        <w:t>Forward-Looking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This quarterly report contains “forward-looking statements” within the meaning of Section 27A of the Securities Act and Section 21E of the Exchange Act. These statements include, among other things, information about possible or assumed future results of the business and our financial condition, liquidity, results of operations, plans, strategies, prospects and objectives. Such forward-looking statements can generally be identified by our use of forward-looking terminology such as “may,” “will,” “expect,” “intend,” “anticipate,” “estimate,” “believe,” “continue” or other similar expressions concerning matters that are not historical facts.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caution you that all forward-looking statements involve risks and uncertainties, and while we believe that our expectations for the future are reasonable in view of currently available information, you are cautioned not to place undue reliance on our forward-looking statements. Actual results or events may differ materially from those indicated as a result of various important factors, including: our ability to successfully implement our strategic objectives; new or increased competition across our business units; any decline in general economic conditions, particularly in our primary markets; interest rate fluctuations; supply chain disruptions; inflation; financial institution disruptions; geopolitical conflicts and political uncertainty and the corresponding impact on the global economy; our ability to successfully execute or integrate new business endeavors and acquisitions; our ability to yield anticipated returns from our developments and projects; our ability to effectively manage our real estate assets, as well as the ability for us or our joint venture partners to effectively manage the day-to-day activities of our joint venture projects; our ability to complete construction and development projects within expected timeframes; the illiquidity of all real estate assets; financial risks, including risks relating to currency fluctuations, credit risks, and fluctuations in the market value of our investment portfolio; any potential negative impact of our longer-term property development strategy, including losses and negative cash flows for an extended period of time if we continue with the self-development of granted entitlements; our dependence on homebuilders; reductions in travel and other risks inherent to the hospitality industry; the financial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condition of our commercial tenants; regulatory and insurance risks associated with our senior living facilities; public health emergencies; any reduction in the supply of mortgage loans or tightening of credit markets; our dependence on strong migration and population expansion in our regions of development, particularly Northwest Florida; our ability to fully recover from natural disasters and severe weather conditions; the actual or perceived threat of climate change; the seasonality of our business; our ability to obtain adequate insurance for our properties or rising insurance costs; our dependence on certain third party providers; the inability of minority shareholders to influence corporate matters, due to concentrated ownership of largest shareholder; the impact of unfavorable legal proceedings or government investigations; the impact of complex and changing laws and regulations in the areas we operate; changes in tax rates, the adoption of new U.S. tax legislation, and exposure to additional tax liabilities, including with respect to Qualified Opportunity Zone program; new litigation; our ability to attract and retain qualified employees, particularly in our hospitality business; our ability to protect our information technology infrastructure and defend against cyber-attacks; increased media, political, and regulatory scrutiny could negatively impact our reputation; our ability to maintain adequate internal controls; risks associated with our financing arrangements, including our compliance with certain restrictions and limitations; our ability to pay our quarterly dividend; the potential volatility of our common stock; and the other risks and uncertainties discussed in “Risk Factors” beginning on page 6 of our most recent annual report on Form 10-K and from time to time in our subsequent filings with the SEC. We assume no obligation to revise or publicly released any revision to any forward-looking statements contained in this quarterly report on Form 10-Q unless required by law.</w:t>
      </w:r>
    </w:p>
    <w:p>
      <w:pPr>
        <w:pStyle w:val="TextBody"/>
        <w:spacing w:before="240" w:after="240"/>
        <w:ind w:left="0" w:right="0" w:hanging="0"/>
        <w:rPr>
          <w:rFonts w:ascii="Times New Roman;Times;serif" w:hAnsi="Times New Roman;Times;serif"/>
          <w:b/>
          <w:sz w:val="20"/>
        </w:rPr>
      </w:pPr>
      <w:bookmarkStart w:id="1945" w:name="Item3QuantitativeandQualitativeDisclosur"/>
      <w:bookmarkStart w:id="1946" w:name="_8c26d92a_4d1a_4317_915a_9634a95c7a07"/>
      <w:bookmarkEnd w:id="1945"/>
      <w:bookmarkEnd w:id="1946"/>
      <w:r>
        <w:rPr>
          <w:rFonts w:ascii="Times New Roman;Times;serif" w:hAnsi="Times New Roman;Times;serif"/>
          <w:b/>
          <w:sz w:val="20"/>
        </w:rPr>
        <w:t>Item 3.         </w:t>
      </w:r>
      <w:r>
        <w:rPr>
          <w:rFonts w:ascii="Times New Roman;Times;serif" w:hAnsi="Times New Roman;Times;serif"/>
          <w:b/>
          <w:i/>
          <w:sz w:val="20"/>
        </w:rPr>
        <w:t>Quantitative and Qualitative Disclosures about Market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are exposed to market risks primarily from interest rate risk fluctuations. We have investments in U.S. Treasury Bills that have fixed interest rates for which changes in interest rates generally affect the fair value of the investment, but not the earnings or cash flows. A hypothetical 100 basis point increase in interest rates would result in a decrease of $0.1 million in the market value of these investments as of March 31, 2023. Any realized gain or loss resulting from such interest rate changes would only occur if we sold the investments prior to maturity or if a decline in their value is determined to be related to credit loss.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exposure to credit risk associated with our Securities and these instruments are subject to price fluctuations as a result of changes in the financial market’s assessment of issuer credit quality, increases in delinquency and default rates, changes in prevailing interest rates and other economic factors. A downgrade of the U.S. government’s credit rating may also decrease the value of our Securities. As of March 31, 2023, all of our total Securities were rated AA or better.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cash and cash equivalents are invested in money market instruments. Changes in interest rates related to these investments would not significantly impact our results of operations. The amount of interest earned on our retained interest investments is based on LIBOR. A 100-basis point change in the interest rate may result in an insignificant change in interest earned on the investment.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amount of interest expense on some of our project financing is based on LIBOR and SOFR. Based on the outstanding balance of these loans as of March 31, 2023, a hypothetical 100 basis point increase in the applicable rate would result in an increase to our annual interest expense of $1.3 million.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United Kingdom's Financial Conduct Authority, which regulates LIBOR, has publicly announced that it intends to stop persuading or compelling banks to submit LIBOR rates and will cease publication of U.S. dollar LIBOR as of June 30, 2023, and U.S. regulators have issued supervisory guidance encouraging banks to cease entering into new contracts that use U.S. dollar LIBOR as a reference rate. Accordingly, LIBOR is expected to be discontinued in the near future. Many of our current debt agreements have an interest rate tied to LIBOR, but these agreements provide for an alternative base rate in the event that LIBOR is discontinued. There can be no assurances as to what alternative base rates may be and whether such base rate will be more or less favorable than LIBOR and any other unforeseen impacts of the potential discontinuation of LIBOR. We intend to continue monitoring the developments with respect to the potential phasing out of LIBOR and work with our lenders to ensure any transition away from LIBOR will have minimal impact on our financial condition.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947" w:name="Item4ControlsandProcedures_887098"/>
      <w:bookmarkStart w:id="1948" w:name="_6c159153_34e2_4668_a6b8_16b9bd77388a"/>
      <w:bookmarkEnd w:id="1947"/>
      <w:bookmarkEnd w:id="1948"/>
      <w:r>
        <w:rPr>
          <w:rFonts w:ascii="Times New Roman;Times;serif" w:hAnsi="Times New Roman;Times;serif"/>
          <w:b/>
          <w:sz w:val="20"/>
        </w:rPr>
        <w:t>Item 4.         </w:t>
      </w:r>
      <w:r>
        <w:rPr>
          <w:rFonts w:ascii="Times New Roman;Times;serif" w:hAnsi="Times New Roman;Times;serif"/>
          <w:b/>
          <w:i/>
          <w:sz w:val="20"/>
        </w:rPr>
        <w:t>Controls and Procedures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Our Chief Executive Officer and Chief Financial Officer have evaluated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as of the end of the period covered by this report, our disclosure controls and procedures were effective.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During the quarter ended March 31, 2023, there were no changes in our internal controls over financial reporting that have materially affected, or are reasonably likely to materially affect, our internal controls over financial reporting.</w:t>
      </w:r>
    </w:p>
    <w:p>
      <w:pPr>
        <w:pStyle w:val="TextBody"/>
        <w:spacing w:before="0" w:after="240"/>
        <w:ind w:left="0" w:right="0" w:hanging="0"/>
        <w:jc w:val="center"/>
        <w:rPr>
          <w:rFonts w:ascii="Times New Roman;Times;serif" w:hAnsi="Times New Roman;Times;serif"/>
          <w:b/>
          <w:sz w:val="20"/>
        </w:rPr>
      </w:pPr>
      <w:bookmarkStart w:id="1949" w:name="PARTIIOTHERINFORMATION_895295"/>
      <w:bookmarkStart w:id="1950" w:name="_bdddc307_6b9d_4fb3_8e6b_9dd704528329"/>
      <w:bookmarkEnd w:id="1949"/>
      <w:bookmarkEnd w:id="1950"/>
      <w:r>
        <w:rPr>
          <w:rFonts w:ascii="Times New Roman;Times;serif" w:hAnsi="Times New Roman;Times;serif"/>
          <w:b/>
          <w:sz w:val="20"/>
        </w:rPr>
        <w:t>PART II - OTHER INFORMATION</w:t>
      </w:r>
    </w:p>
    <w:p>
      <w:pPr>
        <w:pStyle w:val="TextBody"/>
        <w:spacing w:before="0" w:after="240"/>
        <w:ind w:left="0" w:right="0" w:hanging="0"/>
        <w:rPr>
          <w:rFonts w:ascii="Times New Roman;Times;serif" w:hAnsi="Times New Roman;Times;serif"/>
          <w:b/>
          <w:sz w:val="20"/>
        </w:rPr>
      </w:pPr>
      <w:bookmarkStart w:id="1951" w:name="Item1LegalProceedings_52834"/>
      <w:bookmarkEnd w:id="1951"/>
      <w:r>
        <w:rPr>
          <w:rFonts w:ascii="Times New Roman;Times;serif" w:hAnsi="Times New Roman;Times;serif"/>
          <w:b/>
          <w:sz w:val="20"/>
        </w:rPr>
        <w:t>Item 1.         </w:t>
      </w:r>
      <w:r>
        <w:rPr>
          <w:rFonts w:ascii="Times New Roman;Times;serif" w:hAnsi="Times New Roman;Times;serif"/>
          <w:b/>
          <w:i/>
          <w:sz w:val="20"/>
        </w:rPr>
        <w:t>Legal Proceedings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We are subject to a variety of litigation, claims, other disputes and governmental proceedings that arise from time to time in the ordinary course of our business, none of which we believe will have a material adverse effect on our consolidated financial position, results of operations or liquidity. In addition, we are subject to environmental laws and regulations, which include obligations to remove or limit the effects on the environment of the disposal or release of certain wastes or substances at various sites, including sites which have been previously sold. Refer to Note 18. </w:t>
      </w:r>
      <w:r>
        <w:rPr>
          <w:rFonts w:ascii="Times New Roman;Times;serif" w:hAnsi="Times New Roman;Times;serif"/>
          <w:i/>
          <w:sz w:val="20"/>
        </w:rPr>
        <w:t>Commitments and Contingencies</w:t>
      </w:r>
      <w:r>
        <w:rPr>
          <w:rFonts w:ascii="Times New Roman;Times;serif" w:hAnsi="Times New Roman;Times;serif"/>
          <w:sz w:val="20"/>
        </w:rPr>
        <w:t>, for further discussion.</w:t>
      </w:r>
    </w:p>
    <w:p>
      <w:pPr>
        <w:pStyle w:val="TextBody"/>
        <w:spacing w:before="0" w:after="240"/>
        <w:ind w:left="0" w:right="0" w:hanging="0"/>
        <w:rPr>
          <w:rFonts w:ascii="Times New Roman;Times;serif" w:hAnsi="Times New Roman;Times;serif"/>
          <w:b/>
          <w:sz w:val="20"/>
        </w:rPr>
      </w:pPr>
      <w:bookmarkStart w:id="1952" w:name="Item1ARiskFactors_980256"/>
      <w:bookmarkStart w:id="1953" w:name="_Hlk100813013"/>
      <w:bookmarkStart w:id="1954" w:name="_b9c488d3_18a3_4eb4_971b_a2c6c4b634c6"/>
      <w:bookmarkEnd w:id="1952"/>
      <w:bookmarkEnd w:id="1953"/>
      <w:bookmarkEnd w:id="1954"/>
      <w:r>
        <w:rPr>
          <w:rFonts w:ascii="Times New Roman;Times;serif" w:hAnsi="Times New Roman;Times;serif"/>
          <w:b/>
          <w:sz w:val="20"/>
        </w:rPr>
        <w:t>Item 1A.         </w:t>
      </w:r>
      <w:r>
        <w:rPr>
          <w:rFonts w:ascii="Times New Roman;Times;serif" w:hAnsi="Times New Roman;Times;serif"/>
          <w:b/>
          <w:i/>
          <w:sz w:val="20"/>
        </w:rPr>
        <w:t>Risk Factors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description of the risk factors associated with our business is contained in the “Risk Factors” section of our annual report on Form 10-K for the fiscal year ended December 31, 2022. There have been no material changes to our Risk Factors as previously reported.</w:t>
      </w:r>
    </w:p>
    <w:p>
      <w:pPr>
        <w:pStyle w:val="TextBody"/>
        <w:spacing w:before="0" w:after="240"/>
        <w:ind w:left="0" w:right="0" w:hanging="0"/>
        <w:rPr>
          <w:rFonts w:ascii="Times New Roman;Times;serif" w:hAnsi="Times New Roman;Times;serif"/>
          <w:b/>
          <w:sz w:val="20"/>
        </w:rPr>
      </w:pPr>
      <w:bookmarkStart w:id="1955" w:name="Item2UnregisteredSalesofEquitySecurities"/>
      <w:bookmarkStart w:id="1956" w:name="_83b522e6_71f0_4d58_836b_1bc8600d5e89"/>
      <w:bookmarkEnd w:id="1955"/>
      <w:bookmarkEnd w:id="1956"/>
      <w:r>
        <w:rPr>
          <w:rFonts w:ascii="Times New Roman;Times;serif" w:hAnsi="Times New Roman;Times;serif"/>
          <w:b/>
          <w:sz w:val="20"/>
        </w:rPr>
        <w:t>Item 2.         </w:t>
      </w:r>
      <w:r>
        <w:rPr>
          <w:rFonts w:ascii="Times New Roman;Times;serif" w:hAnsi="Times New Roman;Times;serif"/>
          <w:b/>
          <w:i/>
          <w:sz w:val="20"/>
        </w:rPr>
        <w:t>Unregistered Sales of Equity Securities and Use of Proceeds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1957" w:name="Item3DefaultsuponSeniorSecurities_741045"/>
      <w:bookmarkStart w:id="1958" w:name="_aba82b11_8d6f_4b0d_ae5c_6c99dcf13f03"/>
      <w:bookmarkEnd w:id="1957"/>
      <w:bookmarkEnd w:id="1958"/>
      <w:r>
        <w:rPr>
          <w:rFonts w:ascii="Times New Roman;Times;serif" w:hAnsi="Times New Roman;Times;serif"/>
          <w:b/>
          <w:sz w:val="20"/>
        </w:rPr>
        <w:t>Item 3.         </w:t>
      </w:r>
      <w:r>
        <w:rPr>
          <w:rFonts w:ascii="Times New Roman;Times;serif" w:hAnsi="Times New Roman;Times;serif"/>
          <w:b/>
          <w:i/>
          <w:sz w:val="20"/>
        </w:rPr>
        <w:t>Defaults upon Senior Securities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1959" w:name="Item4MineSafetyDisclosures_49809"/>
      <w:bookmarkStart w:id="1960" w:name="_14910721_4b2c_4618_bee7_d867e98d914d"/>
      <w:bookmarkEnd w:id="1959"/>
      <w:bookmarkEnd w:id="1960"/>
      <w:r>
        <w:rPr>
          <w:rFonts w:ascii="Times New Roman;Times;serif" w:hAnsi="Times New Roman;Times;serif"/>
          <w:b/>
          <w:sz w:val="20"/>
        </w:rPr>
        <w:t>Item 4.         </w:t>
      </w:r>
      <w:r>
        <w:rPr>
          <w:rFonts w:ascii="Times New Roman;Times;serif" w:hAnsi="Times New Roman;Times;serif"/>
          <w:b/>
          <w:i/>
          <w:sz w:val="20"/>
        </w:rPr>
        <w:t>Mine Safety Disclosures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1961" w:name="Item5OtherInformation_321484"/>
      <w:bookmarkStart w:id="1962" w:name="_ed60f5e2_5426_45bb_9224_e5e0a227adca"/>
      <w:bookmarkEnd w:id="1961"/>
      <w:bookmarkEnd w:id="1962"/>
      <w:r>
        <w:rPr>
          <w:rFonts w:ascii="Times New Roman;Times;serif" w:hAnsi="Times New Roman;Times;serif"/>
          <w:b/>
          <w:sz w:val="20"/>
        </w:rPr>
        <w:t>Item 5.         </w:t>
      </w:r>
      <w:r>
        <w:rPr>
          <w:rFonts w:ascii="Times New Roman;Times;serif" w:hAnsi="Times New Roman;Times;serif"/>
          <w:b/>
          <w:i/>
          <w:sz w:val="20"/>
        </w:rPr>
        <w:t>Other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963" w:name="Item6Exhibits_42059"/>
      <w:bookmarkStart w:id="1964" w:name="_adde0812_60a0_42c3_adc1_7dd3e0bef968"/>
      <w:bookmarkEnd w:id="1963"/>
      <w:bookmarkEnd w:id="1964"/>
      <w:r>
        <w:rPr>
          <w:rFonts w:ascii="Times New Roman;Times;serif" w:hAnsi="Times New Roman;Times;serif"/>
          <w:b/>
          <w:sz w:val="20"/>
        </w:rPr>
        <w:t>Item 6.         </w:t>
      </w:r>
      <w:r>
        <w:rPr>
          <w:rFonts w:ascii="Times New Roman;Times;serif" w:hAnsi="Times New Roman;Times;serif"/>
          <w:b/>
          <w:i/>
          <w:sz w:val="20"/>
        </w:rPr>
        <w:t>Exhibits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CellMar>
          <w:top w:w="0" w:type="dxa"/>
          <w:left w:w="0" w:type="dxa"/>
          <w:bottom w:w="0" w:type="dxa"/>
          <w:right w:w="0" w:type="dxa"/>
        </w:tblCellMar>
      </w:tblPr>
      <w:tblGrid>
        <w:gridCol w:w="849"/>
        <w:gridCol w:w="326"/>
        <w:gridCol w:w="9030"/>
      </w:tblGrid>
      <w:tr>
        <w:trPr/>
        <w:tc>
          <w:tcPr>
            <w:tcW w:w="8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pPr>
            <w:r>
              <w:rPr/>
              <w:t>​</w:t>
            </w:r>
          </w:p>
        </w:tc>
      </w:tr>
      <w:tr>
        <w:trPr/>
        <w:tc>
          <w:tcPr>
            <w:tcW w:w="84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shd w:fill="auto" w:val="clear"/>
            <w:vAlign w:val="center"/>
          </w:tcPr>
          <w:p>
            <w:pPr>
              <w:pStyle w:val="TableContents"/>
              <w:spacing w:before="0" w:after="0"/>
              <w:ind w:left="0" w:right="0" w:hanging="0"/>
              <w:jc w:val="center"/>
              <w:rPr/>
            </w:pPr>
            <w:r>
              <w:rPr/>
              <w:t>​</w:t>
            </w:r>
          </w:p>
        </w:tc>
        <w:tc>
          <w:tcPr>
            <w:tcW w:w="9030" w:type="dxa"/>
            <w:tcBorders/>
            <w:shd w:fill="auto" w:val="clear"/>
            <w:vAlign w:val="center"/>
          </w:tcPr>
          <w:p>
            <w:pPr>
              <w:pStyle w:val="TableContents"/>
              <w:spacing w:before="0" w:after="0"/>
              <w:ind w:left="0" w:right="0" w:hanging="0"/>
              <w:jc w:val="center"/>
              <w:rPr/>
            </w:pPr>
            <w:r>
              <w:rPr/>
              <w:t>​</w:t>
            </w:r>
          </w:p>
        </w:tc>
      </w:tr>
      <w:tr>
        <w:trPr/>
        <w:tc>
          <w:tcPr>
            <w:tcW w:w="84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0"/>
              <w:ind w:left="0" w:right="0" w:hanging="0"/>
              <w:rPr/>
            </w:pPr>
            <w:r>
              <w:rPr/>
              <w:t>    </w:t>
            </w:r>
          </w:p>
        </w:tc>
        <w:tc>
          <w:tcPr>
            <w:tcW w:w="903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Description</w:t>
            </w:r>
          </w:p>
        </w:tc>
      </w:tr>
      <w:tr>
        <w:trPr/>
        <w:tc>
          <w:tcPr>
            <w:tcW w:w="849"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w:t>
            </w:r>
          </w:p>
        </w:tc>
        <w:tc>
          <w:tcPr>
            <w:tcW w:w="9030" w:type="dxa"/>
            <w:tcBorders>
              <w:top w:val="single" w:sz="2" w:space="0" w:color="000000"/>
            </w:tcBorders>
            <w:shd w:fill="auto" w:val="clear"/>
            <w:tcMar>
              <w:top w:w="28" w:type="dxa"/>
            </w:tcMar>
            <w:vAlign w:val="center"/>
          </w:tcPr>
          <w:p>
            <w:pPr>
              <w:pStyle w:val="TableContents"/>
              <w:spacing w:before="0" w:after="0"/>
              <w:ind w:left="0" w:right="0" w:hanging="0"/>
              <w:rPr/>
            </w:pPr>
            <w:hyperlink r:id="rId2">
              <w:r>
                <w:rPr>
                  <w:rStyle w:val="InternetLink"/>
                  <w:rFonts w:ascii="Times New Roman;Times;serif" w:hAnsi="Times New Roman;Times;serif"/>
                  <w:b w:val="false"/>
                  <w:i w:val="false"/>
                  <w:caps w:val="false"/>
                  <w:smallCaps w:val="false"/>
                  <w:sz w:val="20"/>
                </w:rPr>
                <w:t>Restated and Amended Articles of Incorporation of the registrant (incorporated by reference to Exhibit 3.1 to the registrant’s Quarterly Report on Form 10-Q for the quarter ended June 30, 2010).</w:t>
              </w:r>
            </w:hyperlink>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Amended and Restated Bylaws of the registrant (incorporated by reference to Exhibit 3.1 to the registrant’s Current Report on Form 8-K filed on November 15, 2022).</w:t>
              </w:r>
            </w:hyperlink>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pPr>
            <w:hyperlink w:anchor="joe-20230331xex31d1.htm">
              <w:r>
                <w:rPr>
                  <w:rStyle w:val="InternetLink"/>
                  <w:rFonts w:ascii="Times New Roman;Times;serif" w:hAnsi="Times New Roman;Times;serif"/>
                  <w:b w:val="false"/>
                  <w:i w:val="false"/>
                  <w:caps w:val="false"/>
                  <w:smallCaps w:val="false"/>
                  <w:sz w:val="20"/>
                </w:rPr>
                <w:t>Certification of Principal Executive Officer under Section 302 of the Sarbanes-Oxley Act of 2002.</w:t>
              </w:r>
            </w:hyperlink>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pPr>
            <w:hyperlink w:anchor="joe-20230331xex31d2.htm">
              <w:r>
                <w:rPr>
                  <w:rStyle w:val="InternetLink"/>
                  <w:rFonts w:ascii="Times New Roman;Times;serif" w:hAnsi="Times New Roman;Times;serif"/>
                  <w:b w:val="false"/>
                  <w:i w:val="false"/>
                  <w:caps w:val="false"/>
                  <w:smallCaps w:val="false"/>
                  <w:sz w:val="20"/>
                </w:rPr>
                <w:t>Certification of Principal Financial Officer under Section 302 of the Sarbanes-Oxley Act of 2002.</w:t>
              </w:r>
            </w:hyperlink>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pPr>
            <w:hyperlink w:anchor="joe-2023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pPr>
            <w:hyperlink w:anchor="joe-2023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90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Filed herewith.</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Furnished herewith.</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965" w:name="SIGNATURES_149802"/>
      <w:bookmarkStart w:id="1966" w:name="_2dded811_4129_4db8_bf88_a7f3bf647ba5"/>
      <w:bookmarkEnd w:id="1965"/>
      <w:bookmarkEnd w:id="1966"/>
      <w:r>
        <w:rPr>
          <w:rFonts w:ascii="Times New Roman;Times;serif" w:hAnsi="Times New Roman;Times;serif"/>
          <w:b/>
          <w:sz w:val="20"/>
        </w:rPr>
        <w:t>SIGNATURES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993" w:type="dxa"/>
        <w:jc w:val="left"/>
        <w:tblInd w:w="0" w:type="dxa"/>
        <w:tblCellMar>
          <w:top w:w="0" w:type="dxa"/>
          <w:left w:w="0" w:type="dxa"/>
          <w:bottom w:w="0" w:type="dxa"/>
          <w:right w:w="0" w:type="dxa"/>
        </w:tblCellMar>
      </w:tblPr>
      <w:tblGrid>
        <w:gridCol w:w="556"/>
        <w:gridCol w:w="1291"/>
        <w:gridCol w:w="5146"/>
      </w:tblGrid>
      <w:tr>
        <w:trPr/>
        <w:tc>
          <w:tcPr>
            <w:tcW w:w="556" w:type="dxa"/>
            <w:tcBorders/>
            <w:shd w:fill="auto" w:val="clear"/>
            <w:vAlign w:val="center"/>
          </w:tcPr>
          <w:p>
            <w:pPr>
              <w:pStyle w:val="TableContents"/>
              <w:spacing w:lineRule="atLeast" w:line="141" w:before="0" w:after="0"/>
              <w:ind w:left="0" w:right="0" w:hanging="0"/>
              <w:rPr/>
            </w:pPr>
            <w:r>
              <w:rPr/>
              <w:t>​</w:t>
            </w:r>
          </w:p>
        </w:tc>
        <w:tc>
          <w:tcPr>
            <w:tcW w:w="1291" w:type="dxa"/>
            <w:tcBorders/>
            <w:shd w:fill="auto" w:val="clear"/>
            <w:vAlign w:val="center"/>
          </w:tcPr>
          <w:p>
            <w:pPr>
              <w:pStyle w:val="TableContents"/>
              <w:spacing w:lineRule="atLeast" w:line="141" w:before="0" w:after="0"/>
              <w:ind w:left="0" w:right="0" w:hanging="0"/>
              <w:rPr/>
            </w:pPr>
            <w:r>
              <w:rPr/>
              <w:t>​</w:t>
            </w:r>
          </w:p>
        </w:tc>
        <w:tc>
          <w:tcPr>
            <w:tcW w:w="5146" w:type="dxa"/>
            <w:tcBorders/>
            <w:shd w:fill="auto" w:val="clear"/>
            <w:vAlign w:val="center"/>
          </w:tcPr>
          <w:p>
            <w:pPr>
              <w:pStyle w:val="TableContents"/>
              <w:spacing w:lineRule="atLeast" w:line="141"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ST. JOE COMPANY</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(Registrant)</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26, 2023</w:t>
            </w:r>
          </w:p>
        </w:tc>
        <w:tc>
          <w:tcPr>
            <w:tcW w:w="51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Jorge Gonzalez</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Jorge Gonzalez</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President, Chief Executive Officer and Director</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1291"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26, 2023</w:t>
            </w:r>
          </w:p>
        </w:tc>
        <w:tc>
          <w:tcPr>
            <w:tcW w:w="51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Marek Bakun</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Marek Bakun</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Executive Vice President and Chief Financial Officer</w:t>
            </w:r>
          </w:p>
        </w:tc>
      </w:tr>
      <w:tr>
        <w:trPr/>
        <w:tc>
          <w:tcPr>
            <w:tcW w:w="55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5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r>
        <w:br w:type="page"/>
      </w:r>
    </w:p>
    <w:p>
      <w:pPr>
        <w:pStyle w:val="TextBody"/>
        <w:spacing w:before="0" w:after="200"/>
        <w:ind w:left="0" w:right="0" w:hanging="0"/>
        <w:jc w:val="right"/>
        <w:rPr>
          <w:rFonts w:ascii="Times New Roman;Times;serif" w:hAnsi="Times New Roman;Times;serif"/>
          <w:b/>
          <w:sz w:val="20"/>
        </w:rPr>
      </w:pPr>
      <w:bookmarkStart w:id="1967" w:name="joe-20230331xex31d1.htm"/>
      <w:bookmarkStart w:id="1968" w:name="ksjoe20230331xex31d1"/>
      <w:bookmarkEnd w:id="1967"/>
      <w:bookmarkEnd w:id="1968"/>
      <w:r>
        <w:rPr>
          <w:rFonts w:ascii="Times New Roman;Times;serif" w:hAnsi="Times New Roman;Times;serif"/>
          <w:b/>
          <w:sz w:val="20"/>
        </w:rPr>
        <w:t>Exhibit 31.1</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I, Jorge Gonzalez, certify that:</w:t>
      </w:r>
    </w:p>
    <w:tbl>
      <w:tblPr>
        <w:tblW w:w="9340" w:type="dxa"/>
        <w:jc w:val="left"/>
        <w:tblInd w:w="0" w:type="dxa"/>
        <w:tblCellMar>
          <w:top w:w="0" w:type="dxa"/>
          <w:left w:w="0" w:type="dxa"/>
          <w:bottom w:w="0" w:type="dxa"/>
          <w:right w:w="0" w:type="dxa"/>
        </w:tblCellMar>
      </w:tblPr>
      <w:tblGrid>
        <w:gridCol w:w="170"/>
        <w:gridCol w:w="9170"/>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March 31, 2023 of The St. Joe Company;</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Date: April 26, 2023</w:t>
      </w:r>
    </w:p>
    <w:tbl>
      <w:tblPr>
        <w:tblW w:w="4145" w:type="dxa"/>
        <w:jc w:val="center"/>
        <w:tblInd w:w="0" w:type="dxa"/>
        <w:tblCellMar>
          <w:top w:w="0" w:type="dxa"/>
          <w:left w:w="0" w:type="dxa"/>
          <w:bottom w:w="0" w:type="dxa"/>
          <w:right w:w="0" w:type="dxa"/>
        </w:tblCellMar>
      </w:tblPr>
      <w:tblGrid>
        <w:gridCol w:w="124"/>
        <w:gridCol w:w="4021"/>
      </w:tblGrid>
      <w:tr>
        <w:trPr/>
        <w:tc>
          <w:tcPr>
            <w:tcW w:w="124" w:type="dxa"/>
            <w:tcBorders/>
            <w:shd w:fill="auto" w:val="clear"/>
            <w:vAlign w:val="center"/>
          </w:tcPr>
          <w:p>
            <w:pPr>
              <w:pStyle w:val="TableContents"/>
              <w:spacing w:before="0" w:after="0"/>
              <w:ind w:left="0" w:right="0" w:hanging="0"/>
              <w:rPr/>
            </w:pPr>
            <w:r>
              <w:rPr/>
              <w:t>​</w:t>
            </w:r>
          </w:p>
        </w:tc>
        <w:tc>
          <w:tcPr>
            <w:tcW w:w="402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02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Jorge Gonzalez</w:t>
            </w:r>
          </w:p>
        </w:tc>
      </w:tr>
      <w:tr>
        <w:trPr/>
        <w:tc>
          <w:tcPr>
            <w:tcW w:w="124" w:type="dxa"/>
            <w:tcBorders/>
            <w:shd w:fill="auto" w:val="clear"/>
            <w:vAlign w:val="center"/>
          </w:tcPr>
          <w:p>
            <w:pPr>
              <w:pStyle w:val="TableContents"/>
              <w:spacing w:before="0" w:after="0"/>
              <w:ind w:left="0" w:right="0" w:hanging="0"/>
              <w:rPr/>
            </w:pPr>
            <w:r>
              <w:rPr/>
              <w:t>​</w:t>
            </w:r>
          </w:p>
        </w:tc>
        <w:tc>
          <w:tcPr>
            <w:tcW w:w="402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Jorge Gonzalez</w:t>
            </w:r>
          </w:p>
        </w:tc>
      </w:tr>
      <w:tr>
        <w:trPr/>
        <w:tc>
          <w:tcPr>
            <w:tcW w:w="124" w:type="dxa"/>
            <w:tcBorders/>
            <w:shd w:fill="auto" w:val="clear"/>
            <w:vAlign w:val="center"/>
          </w:tcPr>
          <w:p>
            <w:pPr>
              <w:pStyle w:val="TableContents"/>
              <w:spacing w:before="0" w:after="0"/>
              <w:ind w:left="0" w:right="0" w:hanging="0"/>
              <w:rPr/>
            </w:pPr>
            <w:r>
              <w:rPr/>
              <w:t>​</w:t>
            </w:r>
          </w:p>
        </w:tc>
        <w:tc>
          <w:tcPr>
            <w:tcW w:w="402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President, Chief Executive Officer and Director</w:t>
            </w:r>
          </w:p>
        </w:tc>
      </w:tr>
    </w:tbl>
    <w:p>
      <w:pPr>
        <w:pStyle w:val="TextBody"/>
        <w:spacing w:before="0" w:after="0"/>
        <w:ind w:left="0" w:right="0" w:hanging="0"/>
        <w:rPr/>
      </w:pPr>
      <w:r>
        <w:rPr/>
        <w:t>​</w:t>
      </w:r>
    </w:p>
    <w:p>
      <w:pPr>
        <w:pStyle w:val="HorizontalLine"/>
        <w:rPr/>
      </w:pPr>
      <w:r>
        <w:rPr/>
      </w:r>
      <w:r>
        <w:br w:type="page"/>
      </w:r>
    </w:p>
    <w:p>
      <w:pPr>
        <w:pStyle w:val="TextBody"/>
        <w:spacing w:before="0" w:after="200"/>
        <w:ind w:left="0" w:right="0" w:hanging="0"/>
        <w:jc w:val="right"/>
        <w:rPr>
          <w:rFonts w:ascii="Times New Roman;Times;serif" w:hAnsi="Times New Roman;Times;serif"/>
          <w:b/>
          <w:sz w:val="20"/>
        </w:rPr>
      </w:pPr>
      <w:bookmarkStart w:id="1969" w:name="joe-20230331xex31d2.htm"/>
      <w:bookmarkStart w:id="1970" w:name="ksjoe20230331xex31d2"/>
      <w:bookmarkEnd w:id="1969"/>
      <w:bookmarkEnd w:id="1970"/>
      <w:r>
        <w:rPr>
          <w:rFonts w:ascii="Times New Roman;Times;serif" w:hAnsi="Times New Roman;Times;serif"/>
          <w:b/>
          <w:sz w:val="20"/>
        </w:rPr>
        <w:t>Exhibit 31.2</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I, Marek Bakun, certify that:</w:t>
      </w:r>
    </w:p>
    <w:tbl>
      <w:tblPr>
        <w:tblW w:w="9340" w:type="dxa"/>
        <w:jc w:val="left"/>
        <w:tblInd w:w="0" w:type="dxa"/>
        <w:tblCellMar>
          <w:top w:w="0" w:type="dxa"/>
          <w:left w:w="0" w:type="dxa"/>
          <w:bottom w:w="0" w:type="dxa"/>
          <w:right w:w="0" w:type="dxa"/>
        </w:tblCellMar>
      </w:tblPr>
      <w:tblGrid>
        <w:gridCol w:w="170"/>
        <w:gridCol w:w="9170"/>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March 31, 2023 of The St. Joe Company;</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Date: April 26, 2023</w:t>
      </w:r>
    </w:p>
    <w:tbl>
      <w:tblPr>
        <w:tblW w:w="4625" w:type="dxa"/>
        <w:jc w:val="center"/>
        <w:tblInd w:w="0" w:type="dxa"/>
        <w:tblCellMar>
          <w:top w:w="0" w:type="dxa"/>
          <w:left w:w="0" w:type="dxa"/>
          <w:bottom w:w="0" w:type="dxa"/>
          <w:right w:w="0" w:type="dxa"/>
        </w:tblCellMar>
      </w:tblPr>
      <w:tblGrid>
        <w:gridCol w:w="124"/>
        <w:gridCol w:w="4501"/>
      </w:tblGrid>
      <w:tr>
        <w:trPr/>
        <w:tc>
          <w:tcPr>
            <w:tcW w:w="124" w:type="dxa"/>
            <w:tcBorders/>
            <w:shd w:fill="auto" w:val="clear"/>
            <w:vAlign w:val="center"/>
          </w:tcPr>
          <w:p>
            <w:pPr>
              <w:pStyle w:val="TableContents"/>
              <w:spacing w:before="0" w:after="0"/>
              <w:ind w:left="0" w:right="0" w:hanging="0"/>
              <w:rPr/>
            </w:pPr>
            <w:r>
              <w:rPr/>
              <w:t>​</w:t>
            </w:r>
          </w:p>
        </w:tc>
        <w:tc>
          <w:tcPr>
            <w:tcW w:w="45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Marek Bakun</w:t>
            </w:r>
          </w:p>
        </w:tc>
      </w:tr>
      <w:tr>
        <w:trPr/>
        <w:tc>
          <w:tcPr>
            <w:tcW w:w="124" w:type="dxa"/>
            <w:tcBorders/>
            <w:shd w:fill="auto" w:val="clear"/>
            <w:vAlign w:val="center"/>
          </w:tcPr>
          <w:p>
            <w:pPr>
              <w:pStyle w:val="TableContents"/>
              <w:spacing w:before="0" w:after="0"/>
              <w:ind w:left="0" w:right="0" w:hanging="0"/>
              <w:rPr/>
            </w:pPr>
            <w:r>
              <w:rPr/>
              <w:t>​</w:t>
            </w:r>
          </w:p>
        </w:tc>
        <w:tc>
          <w:tcPr>
            <w:tcW w:w="450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Marek Bakun</w:t>
            </w:r>
          </w:p>
        </w:tc>
      </w:tr>
      <w:tr>
        <w:trPr/>
        <w:tc>
          <w:tcPr>
            <w:tcW w:w="124" w:type="dxa"/>
            <w:tcBorders/>
            <w:shd w:fill="auto" w:val="clear"/>
            <w:vAlign w:val="center"/>
          </w:tcPr>
          <w:p>
            <w:pPr>
              <w:pStyle w:val="TableContents"/>
              <w:spacing w:before="0" w:after="0"/>
              <w:ind w:left="0" w:right="0" w:hanging="0"/>
              <w:rPr/>
            </w:pPr>
            <w:r>
              <w:rPr/>
              <w:t>​</w:t>
            </w:r>
          </w:p>
        </w:tc>
        <w:tc>
          <w:tcPr>
            <w:tcW w:w="450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971" w:name="joe-20230331xex32d1.htm"/>
      <w:bookmarkStart w:id="1972" w:name="ksjoe20230331xex32d1"/>
      <w:bookmarkEnd w:id="1971"/>
      <w:bookmarkEnd w:id="1972"/>
      <w:r>
        <w:rPr>
          <w:rFonts w:ascii="Times New Roman;Times;serif" w:hAnsi="Times New Roman;Times;serif"/>
          <w:b/>
          <w:sz w:val="20"/>
        </w:rPr>
        <w:t>Exhibit 32.1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CERTIFICATION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18 USC §1350, the undersigned officer of The St. Joe Company (the “Company”) hereby certifies that the Company’s Quarterly Report on Form 10-Q for the period ended March 31, 2023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tbl>
      <w:tblPr>
        <w:tblW w:w="4145" w:type="dxa"/>
        <w:jc w:val="center"/>
        <w:tblInd w:w="0" w:type="dxa"/>
        <w:tblCellMar>
          <w:top w:w="0" w:type="dxa"/>
          <w:left w:w="0" w:type="dxa"/>
          <w:bottom w:w="0" w:type="dxa"/>
          <w:right w:w="0" w:type="dxa"/>
        </w:tblCellMar>
      </w:tblPr>
      <w:tblGrid>
        <w:gridCol w:w="124"/>
        <w:gridCol w:w="4021"/>
      </w:tblGrid>
      <w:tr>
        <w:trPr/>
        <w:tc>
          <w:tcPr>
            <w:tcW w:w="124" w:type="dxa"/>
            <w:tcBorders/>
            <w:shd w:fill="auto" w:val="clear"/>
            <w:vAlign w:val="center"/>
          </w:tcPr>
          <w:p>
            <w:pPr>
              <w:pStyle w:val="TableContents"/>
              <w:spacing w:before="0" w:after="0"/>
              <w:ind w:left="0" w:right="0" w:hanging="0"/>
              <w:rPr/>
            </w:pPr>
            <w:r>
              <w:rPr/>
              <w:t>​</w:t>
            </w:r>
          </w:p>
        </w:tc>
        <w:tc>
          <w:tcPr>
            <w:tcW w:w="402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Jorge Gonzalez</w:t>
            </w:r>
          </w:p>
        </w:tc>
      </w:tr>
      <w:tr>
        <w:trPr/>
        <w:tc>
          <w:tcPr>
            <w:tcW w:w="124" w:type="dxa"/>
            <w:tcBorders/>
            <w:shd w:fill="auto" w:val="clear"/>
            <w:vAlign w:val="center"/>
          </w:tcPr>
          <w:p>
            <w:pPr>
              <w:pStyle w:val="TableContents"/>
              <w:spacing w:before="0" w:after="0"/>
              <w:ind w:left="0" w:right="0" w:hanging="0"/>
              <w:rPr/>
            </w:pPr>
            <w:r>
              <w:rPr/>
              <w:t>​</w:t>
            </w:r>
          </w:p>
        </w:tc>
        <w:tc>
          <w:tcPr>
            <w:tcW w:w="402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Jorge Gonzalez </w:t>
            </w:r>
          </w:p>
        </w:tc>
      </w:tr>
      <w:tr>
        <w:trPr/>
        <w:tc>
          <w:tcPr>
            <w:tcW w:w="124" w:type="dxa"/>
            <w:tcBorders/>
            <w:shd w:fill="auto" w:val="clear"/>
            <w:vAlign w:val="center"/>
          </w:tcPr>
          <w:p>
            <w:pPr>
              <w:pStyle w:val="TableContents"/>
              <w:spacing w:before="0" w:after="0"/>
              <w:ind w:left="0" w:right="0" w:hanging="0"/>
              <w:rPr/>
            </w:pPr>
            <w:r>
              <w:rPr/>
              <w:t>​</w:t>
            </w:r>
          </w:p>
        </w:tc>
        <w:tc>
          <w:tcPr>
            <w:tcW w:w="402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President, Chief Executive Officer and Director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20"/>
        <w:ind w:left="0" w:right="0" w:hanging="0"/>
        <w:rPr>
          <w:rFonts w:ascii="Times New Roman;Times;serif" w:hAnsi="Times New Roman;Times;serif"/>
          <w:sz w:val="20"/>
        </w:rPr>
      </w:pPr>
      <w:r>
        <w:rPr>
          <w:rFonts w:ascii="Times New Roman;Times;serif" w:hAnsi="Times New Roman;Times;serif"/>
          <w:sz w:val="20"/>
        </w:rPr>
        <w:t>Dated: April 26, 2023</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973" w:name="joe-20230331xex32d2.htm"/>
      <w:bookmarkStart w:id="1974" w:name="ksjoe20230331xex32d2"/>
      <w:bookmarkEnd w:id="1973"/>
      <w:bookmarkEnd w:id="1974"/>
      <w:r>
        <w:rPr>
          <w:rFonts w:ascii="Times New Roman;Times;serif" w:hAnsi="Times New Roman;Times;serif"/>
          <w:b/>
          <w:sz w:val="20"/>
        </w:rPr>
        <w:t>Exhibit 32.2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CERTIFICATION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18 USC §1350, the undersigned officer of The St. Joe Company (the “Company”) hereby certifies that the Company’s Quarterly Report on Form 10-Q for the period ended March 31, 2023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tbl>
      <w:tblPr>
        <w:tblW w:w="4625" w:type="dxa"/>
        <w:jc w:val="center"/>
        <w:tblInd w:w="0" w:type="dxa"/>
        <w:tblCellMar>
          <w:top w:w="0" w:type="dxa"/>
          <w:left w:w="0" w:type="dxa"/>
          <w:bottom w:w="0" w:type="dxa"/>
          <w:right w:w="0" w:type="dxa"/>
        </w:tblCellMar>
      </w:tblPr>
      <w:tblGrid>
        <w:gridCol w:w="124"/>
        <w:gridCol w:w="4501"/>
      </w:tblGrid>
      <w:tr>
        <w:trPr/>
        <w:tc>
          <w:tcPr>
            <w:tcW w:w="124" w:type="dxa"/>
            <w:tcBorders/>
            <w:shd w:fill="auto" w:val="clear"/>
            <w:vAlign w:val="center"/>
          </w:tcPr>
          <w:p>
            <w:pPr>
              <w:pStyle w:val="TableContents"/>
              <w:spacing w:before="0" w:after="0"/>
              <w:ind w:left="0" w:right="0" w:hanging="0"/>
              <w:rPr/>
            </w:pPr>
            <w:r>
              <w:rPr/>
              <w:t>​</w:t>
            </w:r>
          </w:p>
        </w:tc>
        <w:tc>
          <w:tcPr>
            <w:tcW w:w="45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Marek Bakun</w:t>
            </w:r>
          </w:p>
        </w:tc>
      </w:tr>
      <w:tr>
        <w:trPr/>
        <w:tc>
          <w:tcPr>
            <w:tcW w:w="124" w:type="dxa"/>
            <w:tcBorders/>
            <w:shd w:fill="auto" w:val="clear"/>
            <w:vAlign w:val="center"/>
          </w:tcPr>
          <w:p>
            <w:pPr>
              <w:pStyle w:val="TableContents"/>
              <w:spacing w:before="0" w:after="0"/>
              <w:ind w:left="0" w:right="0" w:hanging="0"/>
              <w:rPr/>
            </w:pPr>
            <w:r>
              <w:rPr/>
              <w:t>​</w:t>
            </w:r>
          </w:p>
        </w:tc>
        <w:tc>
          <w:tcPr>
            <w:tcW w:w="450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Marek Bakun</w:t>
            </w:r>
          </w:p>
        </w:tc>
      </w:tr>
      <w:tr>
        <w:trPr/>
        <w:tc>
          <w:tcPr>
            <w:tcW w:w="124" w:type="dxa"/>
            <w:tcBorders/>
            <w:shd w:fill="auto" w:val="clear"/>
            <w:vAlign w:val="center"/>
          </w:tcPr>
          <w:p>
            <w:pPr>
              <w:pStyle w:val="TableContents"/>
              <w:spacing w:before="0" w:after="0"/>
              <w:ind w:left="0" w:right="0" w:hanging="0"/>
              <w:rPr/>
            </w:pPr>
            <w:r>
              <w:rPr/>
              <w:t>​</w:t>
            </w:r>
          </w:p>
        </w:tc>
        <w:tc>
          <w:tcPr>
            <w:tcW w:w="450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20"/>
        <w:ind w:left="0" w:right="0" w:hanging="0"/>
        <w:rPr>
          <w:rFonts w:ascii="Times New Roman;Times;serif" w:hAnsi="Times New Roman;Times;serif"/>
          <w:sz w:val="20"/>
        </w:rPr>
      </w:pPr>
      <w:r>
        <w:rPr>
          <w:rFonts w:ascii="Times New Roman;Times;serif" w:hAnsi="Times New Roman;Times;serif"/>
          <w:sz w:val="20"/>
        </w:rPr>
        <w:t>Dated: April 26, 2023</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NewRomanPSMT">
    <w:charset w:val="00"/>
    <w:family w:val="auto"/>
    <w:pitch w:val="default"/>
  </w:font>
  <w:font w:name="TimesNewRomanPS-ItalicMT">
    <w:charset w:val="00"/>
    <w:family w:val="auto"/>
    <w:pitch w:val="default"/>
  </w:font>
  <w:font w:name="inherit">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45308/000095012310072999/b81443exv3w1.htm" TargetMode="External"/><Relationship Id="rId3" Type="http://schemas.openxmlformats.org/officeDocument/2006/relationships/hyperlink" Target="https://www.sec.gov/Archives/edgar/data/745308/000115752322001657/a52973098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38123</Words>
  <CharactersWithSpaces>244508</CharactersWithSpaces>
  <Paragraphs>11256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