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128905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197485</wp:posOffset>
            </wp:positionV>
            <wp:extent cx="64979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36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118110</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135890</wp:posOffset>
            </wp:positionV>
            <wp:extent cx="16287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76"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(Mark One)</w:t>
      </w:r>
    </w:p>
    <w:p>
      <w:pPr>
        <w:spacing w:after="0" w:line="119" w:lineRule="exact"/>
        <w:rPr>
          <w:sz w:val="24"/>
          <w:szCs w:val="24"/>
          <w:color w:val="auto"/>
        </w:rPr>
      </w:pPr>
    </w:p>
    <w:p>
      <w:pPr>
        <w:ind w:left="720" w:right="280" w:hanging="576"/>
        <w:spacing w:after="0" w:line="272" w:lineRule="auto"/>
        <w:tabs>
          <w:tab w:leader="none" w:pos="72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QUARTERLY REPORT PURSUANT TO SECTION 13 OR 15(d) OF THE SECURITIES EXCHANGE ACT OF 1934</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 the quarterly period ended September 30, 2026</w:t>
      </w:r>
    </w:p>
    <w:p>
      <w:pPr>
        <w:spacing w:after="0" w:line="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8" w:lineRule="exact"/>
        <w:rPr>
          <w:sz w:val="24"/>
          <w:szCs w:val="24"/>
          <w:color w:val="auto"/>
        </w:rPr>
      </w:pPr>
    </w:p>
    <w:p>
      <w:pPr>
        <w:ind w:left="720" w:right="260" w:hanging="576"/>
        <w:spacing w:after="0" w:line="272" w:lineRule="auto"/>
        <w:tabs>
          <w:tab w:leader="none" w:pos="72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13 OR 15(d) OF THE SECURITIES EXCHANGE ACT OF 1934</w:t>
      </w:r>
    </w:p>
    <w:p>
      <w:pPr>
        <w:spacing w:after="0" w:line="29" w:lineRule="exact"/>
        <w:rPr>
          <w:sz w:val="24"/>
          <w:szCs w:val="24"/>
          <w:color w:val="auto"/>
        </w:rPr>
      </w:pPr>
    </w:p>
    <w:p>
      <w:pPr>
        <w:ind w:left="3000"/>
        <w:spacing w:after="0"/>
        <w:tabs>
          <w:tab w:leader="none" w:pos="6140" w:val="left"/>
          <w:tab w:leader="none" w:pos="7180" w:val="left"/>
        </w:tabs>
        <w:rPr>
          <w:sz w:val="20"/>
          <w:szCs w:val="20"/>
          <w:color w:val="auto"/>
        </w:rPr>
      </w:pPr>
      <w:r>
        <w:rPr>
          <w:rFonts w:ascii="Times New Roman" w:cs="Times New Roman" w:eastAsia="Times New Roman" w:hAnsi="Times New Roman"/>
          <w:sz w:val="17"/>
          <w:szCs w:val="17"/>
          <w:b w:val="1"/>
          <w:bCs w:val="1"/>
          <w:color w:val="auto"/>
        </w:rPr>
        <w:t>For the transition period from</w:t>
      </w:r>
      <w:r>
        <w:rPr>
          <w:sz w:val="20"/>
          <w:szCs w:val="20"/>
          <w:color w:val="auto"/>
        </w:rPr>
        <w:tab/>
      </w:r>
      <w:r>
        <w:rPr>
          <w:rFonts w:ascii="Times New Roman" w:cs="Times New Roman" w:eastAsia="Times New Roman" w:hAnsi="Times New Roman"/>
          <w:sz w:val="17"/>
          <w:szCs w:val="17"/>
          <w:b w:val="1"/>
          <w:bCs w:val="1"/>
          <w:color w:val="auto"/>
        </w:rPr>
        <w:t>to</w:t>
      </w:r>
      <w:r>
        <w:rPr>
          <w:sz w:val="20"/>
          <w:szCs w:val="20"/>
          <w:color w:val="auto"/>
        </w:rPr>
        <w:tab/>
      </w:r>
      <w:r>
        <w:rPr>
          <w:rFonts w:ascii="Times New Roman" w:cs="Times New Roman" w:eastAsia="Times New Roman" w:hAnsi="Times New Roman"/>
          <w:sz w:val="16"/>
          <w:szCs w:val="16"/>
          <w:b w:val="1"/>
          <w:bCs w:val="1"/>
          <w:color w:val="auto"/>
        </w:rPr>
        <w:t>.</w:t>
      </w:r>
    </w:p>
    <w:p>
      <w:pPr>
        <w:spacing w:after="0" w:line="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Commission file number: 1-10466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149225</wp:posOffset>
            </wp:positionV>
            <wp:extent cx="1628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The St. Joe Company</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135255</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84"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4320" w:type="dxa"/>
            <w:vAlign w:val="bottom"/>
            <w:gridSpan w:val="3"/>
          </w:tcPr>
          <w:p>
            <w:pPr>
              <w:jc w:val="center"/>
              <w:ind w:left="738"/>
              <w:spacing w:after="0"/>
              <w:rPr>
                <w:sz w:val="20"/>
                <w:szCs w:val="20"/>
                <w:color w:val="auto"/>
              </w:rPr>
            </w:pPr>
            <w:r>
              <w:rPr>
                <w:rFonts w:ascii="Times New Roman" w:cs="Times New Roman" w:eastAsia="Times New Roman" w:hAnsi="Times New Roman"/>
                <w:sz w:val="17"/>
                <w:szCs w:val="17"/>
                <w:b w:val="1"/>
                <w:bCs w:val="1"/>
                <w:color w:val="auto"/>
              </w:rPr>
              <w:t>Florida</w:t>
            </w: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40" w:type="dxa"/>
            <w:vAlign w:val="bottom"/>
          </w:tcPr>
          <w:p>
            <w:pPr>
              <w:jc w:val="right"/>
              <w:ind w:right="2037"/>
              <w:spacing w:after="0"/>
              <w:rPr>
                <w:sz w:val="20"/>
                <w:szCs w:val="20"/>
                <w:color w:val="auto"/>
              </w:rPr>
            </w:pPr>
            <w:r>
              <w:rPr>
                <w:rFonts w:ascii="Times New Roman" w:cs="Times New Roman" w:eastAsia="Times New Roman" w:hAnsi="Times New Roman"/>
                <w:sz w:val="17"/>
                <w:szCs w:val="17"/>
                <w:b w:val="1"/>
                <w:bCs w:val="1"/>
                <w:color w:val="auto"/>
              </w:rPr>
              <w:t>59-0432511</w:t>
            </w:r>
          </w:p>
        </w:tc>
      </w:tr>
      <w:tr>
        <w:trPr>
          <w:trHeight w:val="203"/>
        </w:trPr>
        <w:tc>
          <w:tcPr>
            <w:tcW w:w="4320" w:type="dxa"/>
            <w:vAlign w:val="bottom"/>
            <w:gridSpan w:val="3"/>
          </w:tcPr>
          <w:p>
            <w:pPr>
              <w:jc w:val="center"/>
              <w:ind w:left="738"/>
              <w:spacing w:after="0"/>
              <w:rPr>
                <w:sz w:val="20"/>
                <w:szCs w:val="20"/>
                <w:color w:val="auto"/>
              </w:rPr>
            </w:pPr>
            <w:r>
              <w:rPr>
                <w:rFonts w:ascii="Times New Roman" w:cs="Times New Roman" w:eastAsia="Times New Roman" w:hAnsi="Times New Roman"/>
                <w:sz w:val="17"/>
                <w:szCs w:val="17"/>
                <w:b w:val="1"/>
                <w:bCs w:val="1"/>
                <w:color w:val="auto"/>
              </w:rPr>
              <w:t>(State or other jurisdiction of</w:t>
            </w: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40" w:type="dxa"/>
            <w:vAlign w:val="bottom"/>
          </w:tcPr>
          <w:p>
            <w:pPr>
              <w:jc w:val="center"/>
              <w:ind w:right="1757"/>
              <w:spacing w:after="0"/>
              <w:rPr>
                <w:sz w:val="20"/>
                <w:szCs w:val="20"/>
                <w:color w:val="auto"/>
              </w:rPr>
            </w:pPr>
            <w:r>
              <w:rPr>
                <w:rFonts w:ascii="Times New Roman" w:cs="Times New Roman" w:eastAsia="Times New Roman" w:hAnsi="Times New Roman"/>
                <w:sz w:val="17"/>
                <w:szCs w:val="17"/>
                <w:b w:val="1"/>
                <w:bCs w:val="1"/>
                <w:color w:val="auto"/>
              </w:rPr>
              <w:t>(I.R.S. Employer</w:t>
            </w:r>
          </w:p>
        </w:tc>
      </w:tr>
      <w:tr>
        <w:trPr>
          <w:trHeight w:val="226"/>
        </w:trPr>
        <w:tc>
          <w:tcPr>
            <w:tcW w:w="4320" w:type="dxa"/>
            <w:vAlign w:val="bottom"/>
            <w:gridSpan w:val="3"/>
          </w:tcPr>
          <w:p>
            <w:pPr>
              <w:jc w:val="center"/>
              <w:ind w:left="738"/>
              <w:spacing w:after="0"/>
              <w:rPr>
                <w:sz w:val="20"/>
                <w:szCs w:val="20"/>
                <w:color w:val="auto"/>
              </w:rPr>
            </w:pPr>
            <w:r>
              <w:rPr>
                <w:rFonts w:ascii="Times New Roman" w:cs="Times New Roman" w:eastAsia="Times New Roman" w:hAnsi="Times New Roman"/>
                <w:sz w:val="17"/>
                <w:szCs w:val="17"/>
                <w:b w:val="1"/>
                <w:bCs w:val="1"/>
                <w:color w:val="auto"/>
              </w:rPr>
              <w:t>incorporation or organization)</w:t>
            </w: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40" w:type="dxa"/>
            <w:vAlign w:val="bottom"/>
          </w:tcPr>
          <w:p>
            <w:pPr>
              <w:jc w:val="center"/>
              <w:ind w:right="1737"/>
              <w:spacing w:after="0"/>
              <w:rPr>
                <w:sz w:val="20"/>
                <w:szCs w:val="20"/>
                <w:color w:val="auto"/>
              </w:rPr>
            </w:pPr>
            <w:r>
              <w:rPr>
                <w:rFonts w:ascii="Times New Roman" w:cs="Times New Roman" w:eastAsia="Times New Roman" w:hAnsi="Times New Roman"/>
                <w:sz w:val="17"/>
                <w:szCs w:val="17"/>
                <w:b w:val="1"/>
                <w:bCs w:val="1"/>
                <w:color w:val="auto"/>
              </w:rPr>
              <w:t>Identification No.)</w:t>
            </w:r>
          </w:p>
        </w:tc>
      </w:tr>
      <w:tr>
        <w:trPr>
          <w:trHeight w:val="273"/>
        </w:trPr>
        <w:tc>
          <w:tcPr>
            <w:tcW w:w="4320" w:type="dxa"/>
            <w:vAlign w:val="bottom"/>
            <w:gridSpan w:val="3"/>
          </w:tcPr>
          <w:p>
            <w:pPr>
              <w:jc w:val="center"/>
              <w:ind w:left="758"/>
              <w:spacing w:after="0"/>
              <w:rPr>
                <w:sz w:val="20"/>
                <w:szCs w:val="20"/>
                <w:color w:val="auto"/>
              </w:rPr>
            </w:pPr>
            <w:r>
              <w:rPr>
                <w:rFonts w:ascii="Times New Roman" w:cs="Times New Roman" w:eastAsia="Times New Roman" w:hAnsi="Times New Roman"/>
                <w:sz w:val="17"/>
                <w:szCs w:val="17"/>
                <w:b w:val="1"/>
                <w:bCs w:val="1"/>
                <w:color w:val="auto"/>
              </w:rPr>
              <w:t>130 Richard Jackson Boulevard, Suite 200</w:t>
            </w:r>
          </w:p>
        </w:tc>
        <w:tc>
          <w:tcPr>
            <w:tcW w:w="1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240" w:type="dxa"/>
            <w:vAlign w:val="bottom"/>
          </w:tcPr>
          <w:p>
            <w:pPr>
              <w:spacing w:after="0"/>
              <w:rPr>
                <w:sz w:val="23"/>
                <w:szCs w:val="23"/>
                <w:color w:val="auto"/>
              </w:rPr>
            </w:pPr>
          </w:p>
        </w:tc>
      </w:tr>
      <w:tr>
        <w:trPr>
          <w:trHeight w:val="203"/>
        </w:trPr>
        <w:tc>
          <w:tcPr>
            <w:tcW w:w="4320" w:type="dxa"/>
            <w:vAlign w:val="bottom"/>
            <w:gridSpan w:val="3"/>
          </w:tcPr>
          <w:p>
            <w:pPr>
              <w:jc w:val="center"/>
              <w:ind w:left="738"/>
              <w:spacing w:after="0"/>
              <w:rPr>
                <w:sz w:val="20"/>
                <w:szCs w:val="20"/>
                <w:color w:val="auto"/>
              </w:rPr>
            </w:pPr>
            <w:r>
              <w:rPr>
                <w:rFonts w:ascii="Times New Roman" w:cs="Times New Roman" w:eastAsia="Times New Roman" w:hAnsi="Times New Roman"/>
                <w:sz w:val="17"/>
                <w:szCs w:val="17"/>
                <w:b w:val="1"/>
                <w:bCs w:val="1"/>
                <w:color w:val="auto"/>
              </w:rPr>
              <w:t>Panama City Beach, Florida</w:t>
            </w: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40" w:type="dxa"/>
            <w:vAlign w:val="bottom"/>
          </w:tcPr>
          <w:p>
            <w:pPr>
              <w:jc w:val="right"/>
              <w:ind w:right="2237"/>
              <w:spacing w:after="0"/>
              <w:rPr>
                <w:sz w:val="20"/>
                <w:szCs w:val="20"/>
                <w:color w:val="auto"/>
              </w:rPr>
            </w:pPr>
            <w:r>
              <w:rPr>
                <w:rFonts w:ascii="Times New Roman" w:cs="Times New Roman" w:eastAsia="Times New Roman" w:hAnsi="Times New Roman"/>
                <w:sz w:val="17"/>
                <w:szCs w:val="17"/>
                <w:b w:val="1"/>
                <w:bCs w:val="1"/>
                <w:color w:val="auto"/>
              </w:rPr>
              <w:t>32407</w:t>
            </w:r>
          </w:p>
        </w:tc>
      </w:tr>
      <w:tr>
        <w:trPr>
          <w:trHeight w:val="226"/>
        </w:trPr>
        <w:tc>
          <w:tcPr>
            <w:tcW w:w="4320" w:type="dxa"/>
            <w:vAlign w:val="bottom"/>
            <w:gridSpan w:val="3"/>
          </w:tcPr>
          <w:p>
            <w:pPr>
              <w:jc w:val="center"/>
              <w:ind w:left="738"/>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40" w:type="dxa"/>
            <w:vAlign w:val="bottom"/>
          </w:tcPr>
          <w:p>
            <w:pPr>
              <w:jc w:val="center"/>
              <w:ind w:right="1757"/>
              <w:spacing w:after="0"/>
              <w:rPr>
                <w:sz w:val="20"/>
                <w:szCs w:val="20"/>
                <w:color w:val="auto"/>
              </w:rPr>
            </w:pPr>
            <w:r>
              <w:rPr>
                <w:rFonts w:ascii="Times New Roman" w:cs="Times New Roman" w:eastAsia="Times New Roman" w:hAnsi="Times New Roman"/>
                <w:sz w:val="17"/>
                <w:szCs w:val="17"/>
                <w:b w:val="1"/>
                <w:bCs w:val="1"/>
                <w:color w:val="auto"/>
              </w:rPr>
              <w:t>(Zip Code)</w:t>
            </w:r>
          </w:p>
        </w:tc>
      </w:tr>
      <w:tr>
        <w:trPr>
          <w:trHeight w:val="270"/>
        </w:trPr>
        <w:tc>
          <w:tcPr>
            <w:tcW w:w="3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900" w:type="dxa"/>
            <w:vAlign w:val="bottom"/>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(850) 231-6400</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240" w:type="dxa"/>
            <w:vAlign w:val="bottom"/>
          </w:tcPr>
          <w:p>
            <w:pPr>
              <w:spacing w:after="0"/>
              <w:rPr>
                <w:sz w:val="23"/>
                <w:szCs w:val="23"/>
                <w:color w:val="auto"/>
              </w:rPr>
            </w:pPr>
          </w:p>
        </w:tc>
      </w:tr>
      <w:tr>
        <w:trPr>
          <w:trHeight w:val="194"/>
        </w:trPr>
        <w:tc>
          <w:tcPr>
            <w:tcW w:w="6980" w:type="dxa"/>
            <w:vAlign w:val="bottom"/>
            <w:gridSpan w:val="6"/>
          </w:tcPr>
          <w:p>
            <w:pPr>
              <w:jc w:val="center"/>
              <w:ind w:left="3198"/>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c>
          <w:tcPr>
            <w:tcW w:w="3240" w:type="dxa"/>
            <w:vAlign w:val="bottom"/>
          </w:tcPr>
          <w:p>
            <w:pPr>
              <w:spacing w:after="0"/>
              <w:rPr>
                <w:sz w:val="16"/>
                <w:szCs w:val="16"/>
                <w:color w:val="auto"/>
              </w:rPr>
            </w:pPr>
          </w:p>
        </w:tc>
      </w:tr>
      <w:tr>
        <w:trPr>
          <w:trHeight w:val="190"/>
        </w:trPr>
        <w:tc>
          <w:tcPr>
            <w:tcW w:w="6980" w:type="dxa"/>
            <w:vAlign w:val="bottom"/>
            <w:gridSpan w:val="6"/>
          </w:tcPr>
          <w:p>
            <w:pPr>
              <w:jc w:val="center"/>
              <w:ind w:left="3178"/>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240" w:type="dxa"/>
            <w:vAlign w:val="bottom"/>
          </w:tcPr>
          <w:p>
            <w:pPr>
              <w:spacing w:after="0"/>
              <w:rPr>
                <w:sz w:val="16"/>
                <w:szCs w:val="16"/>
                <w:color w:val="auto"/>
              </w:rPr>
            </w:pPr>
          </w:p>
        </w:tc>
      </w:tr>
      <w:tr>
        <w:trPr>
          <w:trHeight w:val="320"/>
        </w:trPr>
        <w:tc>
          <w:tcPr>
            <w:tcW w:w="432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660" w:type="dxa"/>
            <w:vAlign w:val="bottom"/>
            <w:gridSpan w:val="3"/>
          </w:tcPr>
          <w:p>
            <w:pPr>
              <w:jc w:val="center"/>
              <w:ind w:right="108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240" w:type="dxa"/>
            <w:vAlign w:val="bottom"/>
          </w:tcPr>
          <w:p>
            <w:pPr>
              <w:jc w:val="center"/>
              <w:ind w:right="557"/>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tc>
      </w:tr>
      <w:tr>
        <w:trPr>
          <w:trHeight w:val="228"/>
        </w:trPr>
        <w:tc>
          <w:tcPr>
            <w:tcW w:w="3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no par value</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900" w:type="dxa"/>
            <w:vAlign w:val="bottom"/>
            <w:tcBorders>
              <w:top w:val="single" w:sz="8" w:color="auto"/>
            </w:tcBorders>
          </w:tcPr>
          <w:p>
            <w:pPr>
              <w:jc w:val="center"/>
              <w:ind w:right="239"/>
              <w:spacing w:after="0"/>
              <w:rPr>
                <w:sz w:val="20"/>
                <w:szCs w:val="20"/>
                <w:color w:val="auto"/>
              </w:rPr>
            </w:pPr>
            <w:r>
              <w:rPr>
                <w:rFonts w:ascii="Times New Roman" w:cs="Times New Roman" w:eastAsia="Times New Roman" w:hAnsi="Times New Roman"/>
                <w:sz w:val="18"/>
                <w:szCs w:val="18"/>
                <w:color w:val="auto"/>
                <w:w w:val="96"/>
              </w:rPr>
              <w:t>JOE</w:t>
            </w:r>
          </w:p>
        </w:tc>
        <w:tc>
          <w:tcPr>
            <w:tcW w:w="1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240" w:type="dxa"/>
            <w:vAlign w:val="bottom"/>
            <w:tcBorders>
              <w:top w:val="single" w:sz="8" w:color="auto"/>
            </w:tcBorders>
          </w:tcPr>
          <w:p>
            <w:pPr>
              <w:jc w:val="center"/>
              <w:ind w:right="557"/>
              <w:spacing w:after="0"/>
              <w:rPr>
                <w:sz w:val="20"/>
                <w:szCs w:val="20"/>
                <w:color w:val="auto"/>
              </w:rPr>
            </w:pPr>
            <w:r>
              <w:rPr>
                <w:rFonts w:ascii="Times New Roman" w:cs="Times New Roman" w:eastAsia="Times New Roman" w:hAnsi="Times New Roman"/>
                <w:sz w:val="16"/>
                <w:szCs w:val="16"/>
                <w:color w:val="auto"/>
              </w:rPr>
              <w:t>New York Stock Exchange</w:t>
            </w:r>
          </w:p>
        </w:tc>
      </w:tr>
      <w:tr>
        <w:trPr>
          <w:trHeight w:val="22"/>
        </w:trPr>
        <w:tc>
          <w:tcPr>
            <w:tcW w:w="3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40" w:type="dxa"/>
            <w:vAlign w:val="bottom"/>
            <w:tcBorders>
              <w:bottom w:val="single" w:sz="8" w:color="auto"/>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222885</wp:posOffset>
            </wp:positionV>
            <wp:extent cx="16287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200" w:lineRule="exact"/>
        <w:rPr>
          <w:sz w:val="24"/>
          <w:szCs w:val="24"/>
          <w:color w:val="auto"/>
        </w:rPr>
      </w:pPr>
    </w:p>
    <w:p>
      <w:pPr>
        <w:spacing w:after="0" w:line="298" w:lineRule="exact"/>
        <w:rPr>
          <w:sz w:val="24"/>
          <w:szCs w:val="24"/>
          <w:color w:val="auto"/>
        </w:rPr>
      </w:pPr>
    </w:p>
    <w:p>
      <w:pPr>
        <w:ind w:left="20" w:right="60" w:firstLine="324"/>
        <w:spacing w:after="0" w:line="222"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51" w:lineRule="exact"/>
        <w:rPr>
          <w:sz w:val="24"/>
          <w:szCs w:val="24"/>
          <w:color w:val="auto"/>
        </w:rPr>
      </w:pPr>
    </w:p>
    <w:p>
      <w:pPr>
        <w:ind w:left="20" w:right="60" w:firstLine="324"/>
        <w:spacing w:after="0" w:line="222"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37" w:lineRule="exact"/>
        <w:rPr>
          <w:sz w:val="24"/>
          <w:szCs w:val="24"/>
          <w:color w:val="auto"/>
        </w:rPr>
      </w:pPr>
    </w:p>
    <w:p>
      <w:pPr>
        <w:ind w:left="20" w:right="360" w:firstLine="324"/>
        <w:spacing w:after="0" w:line="265"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3" w:lineRule="exact"/>
        <w:rPr>
          <w:sz w:val="24"/>
          <w:szCs w:val="24"/>
          <w:color w:val="auto"/>
        </w:rPr>
      </w:pPr>
    </w:p>
    <w:tbl>
      <w:tblPr>
        <w:tblLayout w:type="fixed"/>
        <w:tblInd w:w="20" w:type="dxa"/>
        <w:tblCellMar>
          <w:top w:w="0" w:type="dxa"/>
          <w:left w:w="0" w:type="dxa"/>
          <w:bottom w:w="0" w:type="dxa"/>
          <w:right w:w="0" w:type="dxa"/>
        </w:tblCellMar>
      </w:tblPr>
      <w:tr>
        <w:trPr>
          <w:trHeight w:val="287"/>
        </w:trPr>
        <w:tc>
          <w:tcPr>
            <w:tcW w:w="190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2820" w:type="dxa"/>
            <w:vAlign w:val="bottom"/>
          </w:tcPr>
          <w:p>
            <w:pPr>
              <w:ind w:left="380"/>
              <w:spacing w:after="0" w:line="171" w:lineRule="exact"/>
              <w:rPr>
                <w:sz w:val="20"/>
                <w:szCs w:val="20"/>
                <w:color w:val="auto"/>
              </w:rPr>
            </w:pPr>
            <w:r>
              <w:rPr>
                <w:rFonts w:ascii="MS PGothic" w:cs="MS PGothic" w:eastAsia="MS PGothic" w:hAnsi="MS PGothic"/>
                <w:sz w:val="17"/>
                <w:szCs w:val="17"/>
                <w:color w:val="auto"/>
              </w:rPr>
              <w:t>☑</w:t>
            </w:r>
          </w:p>
        </w:tc>
        <w:tc>
          <w:tcPr>
            <w:tcW w:w="4660" w:type="dxa"/>
            <w:vAlign w:val="bottom"/>
          </w:tcPr>
          <w:p>
            <w:pPr>
              <w:ind w:left="2300"/>
              <w:spacing w:after="0"/>
              <w:rPr>
                <w:sz w:val="20"/>
                <w:szCs w:val="20"/>
                <w:color w:val="auto"/>
              </w:rPr>
            </w:pPr>
            <w:r>
              <w:rPr>
                <w:rFonts w:ascii="Times New Roman" w:cs="Times New Roman" w:eastAsia="Times New Roman" w:hAnsi="Times New Roman"/>
                <w:sz w:val="17"/>
                <w:szCs w:val="17"/>
                <w:color w:val="auto"/>
              </w:rPr>
              <w:t>Accelerated filer</w:t>
            </w:r>
          </w:p>
        </w:tc>
        <w:tc>
          <w:tcPr>
            <w:tcW w:w="640" w:type="dxa"/>
            <w:vAlign w:val="bottom"/>
          </w:tcPr>
          <w:p>
            <w:pPr>
              <w:ind w:left="48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10"/>
        </w:trPr>
        <w:tc>
          <w:tcPr>
            <w:tcW w:w="190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2820" w:type="dxa"/>
            <w:vAlign w:val="bottom"/>
          </w:tcPr>
          <w:p>
            <w:pPr>
              <w:ind w:left="380"/>
              <w:spacing w:after="0" w:line="171" w:lineRule="exact"/>
              <w:rPr>
                <w:sz w:val="20"/>
                <w:szCs w:val="20"/>
                <w:color w:val="auto"/>
              </w:rPr>
            </w:pPr>
            <w:r>
              <w:rPr>
                <w:rFonts w:ascii="MS PGothic" w:cs="MS PGothic" w:eastAsia="MS PGothic" w:hAnsi="MS PGothic"/>
                <w:sz w:val="17"/>
                <w:szCs w:val="17"/>
                <w:color w:val="auto"/>
              </w:rPr>
              <w:t>☐</w:t>
            </w:r>
          </w:p>
        </w:tc>
        <w:tc>
          <w:tcPr>
            <w:tcW w:w="4660" w:type="dxa"/>
            <w:vAlign w:val="bottom"/>
          </w:tcPr>
          <w:p>
            <w:pPr>
              <w:ind w:left="230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640" w:type="dxa"/>
            <w:vAlign w:val="bottom"/>
          </w:tcPr>
          <w:p>
            <w:pPr>
              <w:ind w:left="48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97"/>
        </w:trPr>
        <w:tc>
          <w:tcPr>
            <w:tcW w:w="19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4660" w:type="dxa"/>
            <w:vAlign w:val="bottom"/>
          </w:tcPr>
          <w:p>
            <w:pPr>
              <w:ind w:left="2300"/>
              <w:spacing w:after="0"/>
              <w:rPr>
                <w:sz w:val="20"/>
                <w:szCs w:val="20"/>
                <w:color w:val="auto"/>
              </w:rPr>
            </w:pPr>
            <w:r>
              <w:rPr>
                <w:rFonts w:ascii="Times New Roman" w:cs="Times New Roman" w:eastAsia="Times New Roman" w:hAnsi="Times New Roman"/>
                <w:sz w:val="17"/>
                <w:szCs w:val="17"/>
                <w:color w:val="auto"/>
              </w:rPr>
              <w:t>Emerging growth company</w:t>
            </w:r>
          </w:p>
        </w:tc>
        <w:tc>
          <w:tcPr>
            <w:tcW w:w="640" w:type="dxa"/>
            <w:vAlign w:val="bottom"/>
          </w:tcPr>
          <w:p>
            <w:pPr>
              <w:ind w:left="48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49" w:lineRule="exact"/>
        <w:rPr>
          <w:sz w:val="24"/>
          <w:szCs w:val="24"/>
          <w:color w:val="auto"/>
        </w:rPr>
      </w:pPr>
    </w:p>
    <w:p>
      <w:pPr>
        <w:ind w:left="20" w:firstLine="324"/>
        <w:spacing w:after="0" w:line="233"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0" w:lineRule="exact"/>
        <w:rPr>
          <w:sz w:val="24"/>
          <w:szCs w:val="24"/>
          <w:color w:val="auto"/>
        </w:rPr>
      </w:pPr>
    </w:p>
    <w:p>
      <w:pPr>
        <w:ind w:left="340" w:right="780"/>
        <w:spacing w:after="0" w:line="279"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As of October 26, 2026, there were 56,524,851 shares of common stock, no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344170</wp:posOffset>
            </wp:positionV>
            <wp:extent cx="649795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20" w:top="661" w:right="859"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ST. JOE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38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Page No.</w:t>
            </w:r>
          </w:p>
        </w:tc>
      </w:tr>
      <w:tr>
        <w:trPr>
          <w:trHeight w:val="196"/>
        </w:trPr>
        <w:tc>
          <w:tcPr>
            <w:tcW w:w="312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8"/>
              </w:rPr>
              <w:t>PART I - FINANCIAL INFORMATION</w:t>
            </w:r>
          </w:p>
        </w:tc>
        <w:tc>
          <w:tcPr>
            <w:tcW w:w="5220" w:type="dxa"/>
            <w:vAlign w:val="bottom"/>
            <w:gridSpan w:val="10"/>
          </w:tcPr>
          <w:p>
            <w:pPr>
              <w:spacing w:after="0"/>
              <w:rPr>
                <w:sz w:val="17"/>
                <w:szCs w:val="17"/>
                <w:color w:val="auto"/>
              </w:rPr>
            </w:pPr>
          </w:p>
        </w:tc>
        <w:tc>
          <w:tcPr>
            <w:tcW w:w="560" w:type="dxa"/>
            <w:vAlign w:val="bottom"/>
          </w:tcPr>
          <w:p>
            <w:pPr>
              <w:spacing w:after="0"/>
              <w:rPr>
                <w:sz w:val="17"/>
                <w:szCs w:val="17"/>
                <w:color w:val="auto"/>
              </w:rPr>
            </w:pPr>
          </w:p>
        </w:tc>
      </w:tr>
      <w:tr>
        <w:trPr>
          <w:trHeight w:val="277"/>
        </w:trPr>
        <w:tc>
          <w:tcPr>
            <w:tcW w:w="83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Item 1. Financial Statements (Unaudited)</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10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63"/>
        </w:trPr>
        <w:tc>
          <w:tcPr>
            <w:tcW w:w="83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Condensed Consolidated Balance Sheets - September 30, 2026 and December 31, 2025</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10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63"/>
        </w:trPr>
        <w:tc>
          <w:tcPr>
            <w:tcW w:w="798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Income - Three and Nine Months Ended September 30, 2026 and 2025</w:t>
            </w:r>
          </w:p>
        </w:tc>
        <w:tc>
          <w:tcPr>
            <w:tcW w:w="360" w:type="dxa"/>
            <w:vAlign w:val="bottom"/>
            <w:gridSpan w:val="2"/>
          </w:tcPr>
          <w:p>
            <w:pPr>
              <w:spacing w:after="0"/>
              <w:rPr>
                <w:sz w:val="22"/>
                <w:szCs w:val="22"/>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r>
      <w:tr>
        <w:trPr>
          <w:trHeight w:val="264"/>
        </w:trPr>
        <w:tc>
          <w:tcPr>
            <w:tcW w:w="804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Comprehensive Income - Three and Nine Months Ended September 30,</w:t>
            </w:r>
          </w:p>
        </w:tc>
        <w:tc>
          <w:tcPr>
            <w:tcW w:w="300" w:type="dxa"/>
            <w:vAlign w:val="bottom"/>
          </w:tcPr>
          <w:p>
            <w:pPr>
              <w:spacing w:after="0"/>
              <w:rPr>
                <w:sz w:val="22"/>
                <w:szCs w:val="22"/>
                <w:color w:val="auto"/>
              </w:rPr>
            </w:pPr>
          </w:p>
        </w:tc>
        <w:tc>
          <w:tcPr>
            <w:tcW w:w="560" w:type="dxa"/>
            <w:vAlign w:val="bottom"/>
          </w:tcPr>
          <w:p>
            <w:pPr>
              <w:spacing w:after="0"/>
              <w:rPr>
                <w:sz w:val="22"/>
                <w:szCs w:val="22"/>
                <w:color w:val="auto"/>
              </w:rPr>
            </w:pPr>
          </w:p>
        </w:tc>
      </w:tr>
      <w:tr>
        <w:trPr>
          <w:trHeight w:val="196"/>
        </w:trPr>
        <w:tc>
          <w:tcPr>
            <w:tcW w:w="83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2026 and 2025</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10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63"/>
        </w:trPr>
        <w:tc>
          <w:tcPr>
            <w:tcW w:w="792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Equity - Three and Nine Months Ended September 30, 2026 and 2025</w:t>
            </w:r>
          </w:p>
        </w:tc>
        <w:tc>
          <w:tcPr>
            <w:tcW w:w="420" w:type="dxa"/>
            <w:vAlign w:val="bottom"/>
            <w:gridSpan w:val="3"/>
          </w:tcPr>
          <w:p>
            <w:pPr>
              <w:spacing w:after="0"/>
              <w:rPr>
                <w:sz w:val="22"/>
                <w:szCs w:val="22"/>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r>
      <w:tr>
        <w:trPr>
          <w:trHeight w:val="263"/>
        </w:trPr>
        <w:tc>
          <w:tcPr>
            <w:tcW w:w="83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Condensed Consolidated Statements of Cash Flows - Nine Months Ended September 30, 2026 and 2025</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r>
      <w:tr>
        <w:trPr>
          <w:trHeight w:val="263"/>
        </w:trPr>
        <w:tc>
          <w:tcPr>
            <w:tcW w:w="4260" w:type="dxa"/>
            <w:vAlign w:val="bottom"/>
            <w:tcBorders>
              <w:top w:val="single" w:sz="8" w:color="0000EE"/>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Notes to the Condensed Consolidated Financial Statements</w:t>
            </w:r>
          </w:p>
        </w:tc>
        <w:tc>
          <w:tcPr>
            <w:tcW w:w="3240" w:type="dxa"/>
            <w:vAlign w:val="bottom"/>
            <w:tcBorders>
              <w:top w:val="single" w:sz="8" w:color="0000EE"/>
            </w:tcBorders>
            <w:gridSpan w:val="5"/>
          </w:tcPr>
          <w:p>
            <w:pPr>
              <w:spacing w:after="0"/>
              <w:rPr>
                <w:sz w:val="22"/>
                <w:szCs w:val="22"/>
                <w:color w:val="auto"/>
              </w:rPr>
            </w:pPr>
          </w:p>
        </w:tc>
        <w:tc>
          <w:tcPr>
            <w:tcW w:w="840" w:type="dxa"/>
            <w:vAlign w:val="bottom"/>
            <w:gridSpan w:val="4"/>
          </w:tcPr>
          <w:p>
            <w:pPr>
              <w:spacing w:after="0"/>
              <w:rPr>
                <w:sz w:val="22"/>
                <w:szCs w:val="22"/>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r>
      <w:tr>
        <w:trPr>
          <w:trHeight w:val="263"/>
        </w:trPr>
        <w:tc>
          <w:tcPr>
            <w:tcW w:w="83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r>
      <w:tr>
        <w:trPr>
          <w:trHeight w:val="264"/>
        </w:trPr>
        <w:tc>
          <w:tcPr>
            <w:tcW w:w="4920" w:type="dxa"/>
            <w:vAlign w:val="bottom"/>
            <w:tcBorders>
              <w:top w:val="single" w:sz="8" w:color="0000EE"/>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Item 3. Quantitative and Qualitative Disclosures About Market Risk</w:t>
            </w:r>
          </w:p>
        </w:tc>
        <w:tc>
          <w:tcPr>
            <w:tcW w:w="2080" w:type="dxa"/>
            <w:vAlign w:val="bottom"/>
            <w:tcBorders>
              <w:top w:val="single" w:sz="8" w:color="0000EE"/>
            </w:tcBorders>
            <w:gridSpan w:val="2"/>
          </w:tcPr>
          <w:p>
            <w:pPr>
              <w:spacing w:after="0"/>
              <w:rPr>
                <w:sz w:val="22"/>
                <w:szCs w:val="22"/>
                <w:color w:val="auto"/>
              </w:rPr>
            </w:pPr>
          </w:p>
        </w:tc>
        <w:tc>
          <w:tcPr>
            <w:tcW w:w="1340" w:type="dxa"/>
            <w:vAlign w:val="bottom"/>
            <w:gridSpan w:val="5"/>
          </w:tcPr>
          <w:p>
            <w:pPr>
              <w:spacing w:after="0"/>
              <w:rPr>
                <w:sz w:val="22"/>
                <w:szCs w:val="22"/>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78</w:t>
            </w:r>
          </w:p>
        </w:tc>
      </w:tr>
      <w:tr>
        <w:trPr>
          <w:trHeight w:val="263"/>
        </w:trPr>
        <w:tc>
          <w:tcPr>
            <w:tcW w:w="23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Item 4. Controls and Procedures</w:t>
            </w:r>
          </w:p>
        </w:tc>
        <w:tc>
          <w:tcPr>
            <w:tcW w:w="6000" w:type="dxa"/>
            <w:vAlign w:val="bottom"/>
            <w:gridSpan w:val="14"/>
          </w:tcPr>
          <w:p>
            <w:pPr>
              <w:spacing w:after="0"/>
              <w:rPr>
                <w:sz w:val="22"/>
                <w:szCs w:val="22"/>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79</w:t>
            </w:r>
          </w:p>
        </w:tc>
      </w:tr>
      <w:tr>
        <w:trPr>
          <w:trHeight w:val="263"/>
        </w:trPr>
        <w:tc>
          <w:tcPr>
            <w:tcW w:w="28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b w:val="1"/>
                <w:bCs w:val="1"/>
                <w:color w:val="0000EE"/>
                <w:w w:val="97"/>
              </w:rPr>
              <w:t>PART II - OTHER INFORMATION</w:t>
            </w:r>
          </w:p>
        </w:tc>
        <w:tc>
          <w:tcPr>
            <w:tcW w:w="5520" w:type="dxa"/>
            <w:vAlign w:val="bottom"/>
            <w:gridSpan w:val="13"/>
          </w:tcPr>
          <w:p>
            <w:pPr>
              <w:spacing w:after="0"/>
              <w:rPr>
                <w:sz w:val="22"/>
                <w:szCs w:val="22"/>
                <w:color w:val="auto"/>
              </w:rPr>
            </w:pPr>
          </w:p>
        </w:tc>
        <w:tc>
          <w:tcPr>
            <w:tcW w:w="560" w:type="dxa"/>
            <w:vAlign w:val="bottom"/>
          </w:tcPr>
          <w:p>
            <w:pPr>
              <w:spacing w:after="0"/>
              <w:rPr>
                <w:sz w:val="22"/>
                <w:szCs w:val="22"/>
                <w:color w:val="auto"/>
              </w:rPr>
            </w:pPr>
          </w:p>
        </w:tc>
      </w:tr>
      <w:tr>
        <w:trPr>
          <w:trHeight w:val="263"/>
        </w:trPr>
        <w:tc>
          <w:tcPr>
            <w:tcW w:w="83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Item 1. Legal Proceedings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79</w:t>
            </w:r>
          </w:p>
        </w:tc>
      </w:tr>
      <w:tr>
        <w:trPr>
          <w:trHeight w:val="264"/>
        </w:trPr>
        <w:tc>
          <w:tcPr>
            <w:tcW w:w="188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Item 1A. Risk Factors</w:t>
            </w:r>
          </w:p>
        </w:tc>
        <w:tc>
          <w:tcPr>
            <w:tcW w:w="6460" w:type="dxa"/>
            <w:vAlign w:val="bottom"/>
            <w:gridSpan w:val="16"/>
          </w:tcPr>
          <w:p>
            <w:pPr>
              <w:spacing w:after="0"/>
              <w:rPr>
                <w:sz w:val="22"/>
                <w:szCs w:val="22"/>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79</w:t>
            </w:r>
          </w:p>
        </w:tc>
      </w:tr>
      <w:tr>
        <w:trPr>
          <w:trHeight w:val="20"/>
        </w:trPr>
        <w:tc>
          <w:tcPr>
            <w:tcW w:w="11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3440" w:type="dxa"/>
            <w:vAlign w:val="bottom"/>
            <w:gridSpan w:val="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63"/>
        </w:trPr>
        <w:tc>
          <w:tcPr>
            <w:tcW w:w="490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Item 2. Unregistered Sales of Equity Securities and Use of Proceeds</w:t>
            </w:r>
          </w:p>
        </w:tc>
        <w:tc>
          <w:tcPr>
            <w:tcW w:w="3440" w:type="dxa"/>
            <w:vAlign w:val="bottom"/>
            <w:gridSpan w:val="8"/>
          </w:tcPr>
          <w:p>
            <w:pPr>
              <w:spacing w:after="0"/>
              <w:rPr>
                <w:sz w:val="22"/>
                <w:szCs w:val="22"/>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79</w:t>
            </w:r>
          </w:p>
        </w:tc>
      </w:tr>
      <w:tr>
        <w:trPr>
          <w:trHeight w:val="263"/>
        </w:trPr>
        <w:tc>
          <w:tcPr>
            <w:tcW w:w="288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Item 3. Defaults Upon Senior Securities</w:t>
            </w:r>
          </w:p>
        </w:tc>
        <w:tc>
          <w:tcPr>
            <w:tcW w:w="5460" w:type="dxa"/>
            <w:vAlign w:val="bottom"/>
            <w:gridSpan w:val="12"/>
          </w:tcPr>
          <w:p>
            <w:pPr>
              <w:spacing w:after="0"/>
              <w:rPr>
                <w:sz w:val="22"/>
                <w:szCs w:val="22"/>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r>
      <w:tr>
        <w:trPr>
          <w:trHeight w:val="264"/>
        </w:trPr>
        <w:tc>
          <w:tcPr>
            <w:tcW w:w="23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Item 4. Mine Safety Disclosures</w:t>
            </w:r>
          </w:p>
        </w:tc>
        <w:tc>
          <w:tcPr>
            <w:tcW w:w="6020" w:type="dxa"/>
            <w:vAlign w:val="bottom"/>
            <w:gridSpan w:val="15"/>
          </w:tcPr>
          <w:p>
            <w:pPr>
              <w:spacing w:after="0"/>
              <w:rPr>
                <w:sz w:val="22"/>
                <w:szCs w:val="22"/>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r>
      <w:tr>
        <w:trPr>
          <w:trHeight w:val="263"/>
        </w:trPr>
        <w:tc>
          <w:tcPr>
            <w:tcW w:w="83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Item 5. Other Information</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r>
      <w:tr>
        <w:trPr>
          <w:trHeight w:val="263"/>
        </w:trPr>
        <w:tc>
          <w:tcPr>
            <w:tcW w:w="116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8"/>
              </w:rPr>
              <w:t>Item 6. Exhibits</w:t>
            </w:r>
          </w:p>
        </w:tc>
        <w:tc>
          <w:tcPr>
            <w:tcW w:w="700" w:type="dxa"/>
            <w:vAlign w:val="bottom"/>
            <w:tcBorders>
              <w:top w:val="single" w:sz="8" w:color="0000EE"/>
            </w:tcBorders>
            <w:gridSpan w:val="2"/>
          </w:tcPr>
          <w:p>
            <w:pPr>
              <w:spacing w:after="0"/>
              <w:rPr>
                <w:sz w:val="22"/>
                <w:szCs w:val="22"/>
                <w:color w:val="auto"/>
              </w:rPr>
            </w:pPr>
          </w:p>
        </w:tc>
        <w:tc>
          <w:tcPr>
            <w:tcW w:w="6480" w:type="dxa"/>
            <w:vAlign w:val="bottom"/>
            <w:gridSpan w:val="17"/>
          </w:tcPr>
          <w:p>
            <w:pPr>
              <w:spacing w:after="0"/>
              <w:rPr>
                <w:sz w:val="22"/>
                <w:szCs w:val="22"/>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r>
      <w:tr>
        <w:trPr>
          <w:trHeight w:val="264"/>
        </w:trPr>
        <w:tc>
          <w:tcPr>
            <w:tcW w:w="11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0000EE"/>
                <w:w w:val="97"/>
              </w:rPr>
              <w:t>SIGNATURES</w:t>
            </w:r>
          </w:p>
        </w:tc>
        <w:tc>
          <w:tcPr>
            <w:tcW w:w="7180" w:type="dxa"/>
            <w:vAlign w:val="bottom"/>
            <w:gridSpan w:val="19"/>
          </w:tcPr>
          <w:p>
            <w:pPr>
              <w:spacing w:after="0"/>
              <w:rPr>
                <w:sz w:val="22"/>
                <w:szCs w:val="22"/>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ST. JOE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080" w:type="dxa"/>
            <w:vAlign w:val="bottom"/>
          </w:tcPr>
          <w:p>
            <w:pPr>
              <w:spacing w:after="0"/>
              <w:rPr>
                <w:sz w:val="13"/>
                <w:szCs w:val="13"/>
                <w:color w:val="auto"/>
              </w:rPr>
            </w:pPr>
          </w:p>
        </w:tc>
        <w:tc>
          <w:tcPr>
            <w:tcW w:w="260" w:type="dxa"/>
            <w:vAlign w:val="bottom"/>
            <w:gridSpan w:val="2"/>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104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gridSpan w:val="3"/>
            <w:vMerge w:val="continue"/>
          </w:tcPr>
          <w:p>
            <w:pPr>
              <w:spacing w:after="0"/>
              <w:rPr>
                <w:sz w:val="15"/>
                <w:szCs w:val="15"/>
                <w:color w:val="auto"/>
              </w:rPr>
            </w:pPr>
          </w:p>
        </w:tc>
        <w:tc>
          <w:tcPr>
            <w:tcW w:w="11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Borders>
              <w:top w:val="single" w:sz="8" w:color="CCEEFF"/>
            </w:tcBorders>
            <w:shd w:val="clear" w:color="auto" w:fill="CCEEFF"/>
          </w:tcPr>
          <w:p>
            <w:pPr>
              <w:ind w:left="26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real estate, net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982,628</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1,004,858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unconsolidated joint ventures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89,148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117,856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and other assets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73,330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w w:val="99"/>
              </w:rPr>
              <w:t>Property and equipment, net of accumulated depreciation of $113,845 and $105,175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September 30, 2026 and December 31, 2025, respectively</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32,732</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41,314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held by special purpose entities</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202,065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0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1,497,759</w:t>
            </w:r>
          </w:p>
        </w:tc>
        <w:tc>
          <w:tcPr>
            <w:tcW w:w="200" w:type="dxa"/>
            <w:vAlign w:val="bottom"/>
            <w:tcBorders>
              <w:bottom w:val="single" w:sz="8" w:color="CCEEFF"/>
            </w:tcBorders>
            <w:gridSpan w:val="2"/>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1,518,426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080" w:type="dxa"/>
            <w:vAlign w:val="bottom"/>
            <w:shd w:val="clear" w:color="auto" w:fill="CCEEFF"/>
          </w:tcPr>
          <w:p>
            <w:pPr>
              <w:ind w:left="186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net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361,699</w:t>
            </w: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391,159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62,693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63,486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57,833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Notes held by special purpose entity</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179,086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724,797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742,801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no par value; 180,000,000 shares authorized; 57,572,323 and</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57,547,307 issued at September 30, 2026 and December 31, 2025, respectively; and</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56,578,851 and 57,547,307 outstanding at September 30, 2026 and December 31,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 respectively</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230,534</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229,506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600,103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536,190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Treasury stock at cost, 993,472 shares held at September 30, 2026</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(65,877)</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765,116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766,290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7,846</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Total equity</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772,962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775,625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1,497,759</w:t>
            </w:r>
          </w:p>
        </w:tc>
        <w:tc>
          <w:tcPr>
            <w:tcW w:w="200" w:type="dxa"/>
            <w:vAlign w:val="bottom"/>
            <w:gridSpan w:val="2"/>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1,518,426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ST. JOE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7"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 xml:space="preserve">The following presents the portion of the condensed consolidated balances attributable to the Company’s consolidated joint ventures (“JV”), which as of September 30, 2026 and December 31, 2025, include the Pier Park North JV (“Pier Park North JV”), Pier Park Crossings LLC (“Pier Park Crossings JV”), Origins Crossings, LLC (“Watersound Origins Crossings JV”), Pier Park Crossings Phase II LLC (“Pier Park Crossings Phase II JV”), Mexico Beach Crossings, LLC (“Mexico Beach Crossings JV”), Pier Park Resort Hotel, LLC (“Pier Park Resort Hotel JV”), the 30A Greenway Hotel, LLC (“The Lodge 30A JV”), Panama City Timber Finance Company, LLC and Northwest Florida Timber Finance, LLC. As of December 31, 2025, condensed consolidated balances attributable to the Company’s JVs also include SJWCSL, LLC (“Watercrest JV”). See Note 2. </w:t>
      </w:r>
      <w:r>
        <w:rPr>
          <w:rFonts w:ascii="Times New Roman" w:cs="Times New Roman" w:eastAsia="Times New Roman" w:hAnsi="Times New Roman"/>
          <w:sz w:val="18"/>
          <w:szCs w:val="18"/>
          <w:i w:val="1"/>
          <w:iCs w:val="1"/>
          <w:color w:val="auto"/>
        </w:rPr>
        <w:t>Summary of Significant Accounting Policies. Basis of Presentation and Principles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Consolidation </w:t>
      </w:r>
      <w:r>
        <w:rPr>
          <w:rFonts w:ascii="Times New Roman" w:cs="Times New Roman" w:eastAsia="Times New Roman" w:hAnsi="Times New Roman"/>
          <w:sz w:val="18"/>
          <w:szCs w:val="18"/>
          <w:color w:val="auto"/>
        </w:rPr>
        <w:t>and Note 4.</w:t>
      </w:r>
      <w:r>
        <w:rPr>
          <w:rFonts w:ascii="Times New Roman" w:cs="Times New Roman" w:eastAsia="Times New Roman" w:hAnsi="Times New Roman"/>
          <w:sz w:val="18"/>
          <w:szCs w:val="18"/>
          <w:i w:val="1"/>
          <w:iCs w:val="1"/>
          <w:color w:val="auto"/>
        </w:rPr>
        <w:t xml:space="preserve"> Joint Ventures </w:t>
      </w:r>
      <w:r>
        <w:rPr>
          <w:rFonts w:ascii="Times New Roman" w:cs="Times New Roman" w:eastAsia="Times New Roman" w:hAnsi="Times New Roman"/>
          <w:sz w:val="18"/>
          <w:szCs w:val="18"/>
          <w:color w:val="auto"/>
        </w:rPr>
        <w:t>for additional information. The following assets may only be used to settle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obligations of the consolidated JVs and the following liabilities are only obligations of the consolidated JVs and do not have recourse to the general credit of the Company, except for covenants and guarantees discussed in Note 8. </w:t>
      </w:r>
      <w:r>
        <w:rPr>
          <w:rFonts w:ascii="Times New Roman" w:cs="Times New Roman" w:eastAsia="Times New Roman" w:hAnsi="Times New Roman"/>
          <w:sz w:val="18"/>
          <w:szCs w:val="18"/>
          <w:i w:val="1"/>
          <w:iCs w:val="1"/>
          <w:color w:val="auto"/>
        </w:rPr>
        <w:t>Debt, Net</w:t>
      </w:r>
      <w:r>
        <w:rPr>
          <w:rFonts w:ascii="Times New Roman" w:cs="Times New Roman" w:eastAsia="Times New Roman" w:hAnsi="Times New Roman"/>
          <w:sz w:val="18"/>
          <w:szCs w:val="18"/>
          <w:color w:val="auto"/>
        </w:rPr>
        <w:t>.</w:t>
      </w:r>
    </w:p>
    <w:p>
      <w:pPr>
        <w:spacing w:after="0" w:line="18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2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September 30,</w:t>
            </w:r>
          </w:p>
        </w:tc>
        <w:tc>
          <w:tcPr>
            <w:tcW w:w="40" w:type="dxa"/>
            <w:vAlign w:val="bottom"/>
          </w:tcPr>
          <w:p>
            <w:pPr>
              <w:spacing w:after="0"/>
              <w:rPr>
                <w:sz w:val="13"/>
                <w:szCs w:val="13"/>
                <w:color w:val="auto"/>
              </w:rPr>
            </w:pPr>
          </w:p>
        </w:tc>
        <w:tc>
          <w:tcPr>
            <w:tcW w:w="120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 December 31,</w:t>
            </w:r>
          </w:p>
        </w:tc>
        <w:tc>
          <w:tcPr>
            <w:tcW w:w="0" w:type="dxa"/>
            <w:vAlign w:val="bottom"/>
          </w:tcPr>
          <w:p>
            <w:pPr>
              <w:spacing w:after="0"/>
              <w:rPr>
                <w:sz w:val="1"/>
                <w:szCs w:val="1"/>
                <w:color w:val="auto"/>
              </w:rPr>
            </w:pPr>
          </w:p>
        </w:tc>
      </w:tr>
      <w:tr>
        <w:trPr>
          <w:trHeight w:val="173"/>
        </w:trPr>
        <w:tc>
          <w:tcPr>
            <w:tcW w:w="5220" w:type="dxa"/>
            <w:vAlign w:val="bottom"/>
            <w:tcBorders>
              <w:bottom w:val="single" w:sz="8" w:color="CCEEFF"/>
            </w:tcBorders>
          </w:tcPr>
          <w:p>
            <w:pPr>
              <w:spacing w:after="0"/>
              <w:rPr>
                <w:sz w:val="15"/>
                <w:szCs w:val="15"/>
                <w:color w:val="auto"/>
              </w:rPr>
            </w:pPr>
          </w:p>
        </w:tc>
        <w:tc>
          <w:tcPr>
            <w:tcW w:w="15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ind w:left="29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real estate, net</w:t>
            </w:r>
          </w:p>
        </w:tc>
        <w:tc>
          <w:tcPr>
            <w:tcW w:w="17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224,199</w:t>
            </w:r>
          </w:p>
        </w:tc>
        <w:tc>
          <w:tcPr>
            <w:tcW w:w="44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230,380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6,581</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and other assets</w:t>
            </w: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8,631</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6,987</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Investments held by special purpose entities</w:t>
            </w:r>
          </w:p>
        </w:tc>
        <w:tc>
          <w:tcPr>
            <w:tcW w:w="15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202,065</w:t>
            </w: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202,806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assets</w:t>
            </w:r>
          </w:p>
        </w:tc>
        <w:tc>
          <w:tcPr>
            <w:tcW w:w="15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448,463</w:t>
            </w: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459,123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vMerge w:val="restart"/>
          </w:tcPr>
          <w:p>
            <w:pPr>
              <w:ind w:left="270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96"/>
        </w:trPr>
        <w:tc>
          <w:tcPr>
            <w:tcW w:w="5220" w:type="dxa"/>
            <w:vAlign w:val="bottom"/>
            <w:vMerge w:val="continue"/>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net</w:t>
            </w:r>
          </w:p>
        </w:tc>
        <w:tc>
          <w:tcPr>
            <w:tcW w:w="174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245,645</w:t>
            </w:r>
          </w:p>
        </w:tc>
        <w:tc>
          <w:tcPr>
            <w:tcW w:w="440" w:type="dxa"/>
            <w:vAlign w:val="bottom"/>
            <w:gridSpan w:val="3"/>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5,673</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Senior Notes held by special purpose entity</w:t>
            </w:r>
          </w:p>
        </w:tc>
        <w:tc>
          <w:tcPr>
            <w:tcW w:w="15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179,086</w:t>
            </w: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178,821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liabilities</w:t>
            </w:r>
          </w:p>
        </w:tc>
        <w:tc>
          <w:tcPr>
            <w:tcW w:w="15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430,590</w:t>
            </w: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434,184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ST. JOE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INCOME</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(Dollars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60" w:type="dxa"/>
        <w:tblCellMar>
          <w:top w:w="0" w:type="dxa"/>
          <w:left w:w="0" w:type="dxa"/>
          <w:bottom w:w="0" w:type="dxa"/>
          <w:right w:w="0" w:type="dxa"/>
        </w:tblCellMar>
      </w:tblPr>
      <w:tr>
        <w:trPr>
          <w:trHeight w:val="208"/>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4140" w:type="dxa"/>
            <w:vAlign w:val="bottom"/>
          </w:tcPr>
          <w:p>
            <w:pPr>
              <w:ind w:left="100"/>
              <w:spacing w:after="0" w:line="223" w:lineRule="exact"/>
              <w:rPr>
                <w:sz w:val="20"/>
                <w:szCs w:val="20"/>
                <w:color w:val="auto"/>
              </w:rPr>
            </w:pPr>
            <w:r>
              <w:rPr>
                <w:rFonts w:ascii="Times New Roman" w:cs="Times New Roman" w:eastAsia="Times New Roman" w:hAnsi="Times New Roman"/>
                <w:sz w:val="17"/>
                <w:szCs w:val="17"/>
                <w:color w:val="auto"/>
              </w:rPr>
              <w:t xml:space="preserve">Real estate revenue </w:t>
            </w:r>
            <w:r>
              <w:rPr>
                <w:rFonts w:ascii="Times New Roman" w:cs="Times New Roman" w:eastAsia="Times New Roman" w:hAnsi="Times New Roman"/>
                <w:sz w:val="25"/>
                <w:szCs w:val="25"/>
                <w:color w:val="auto"/>
                <w:vertAlign w:val="superscript"/>
              </w:rPr>
              <w:t>(a)</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Hospitality revenue</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Leasing revenue</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00"/>
              <w:spacing w:after="0" w:line="216" w:lineRule="exact"/>
              <w:rPr>
                <w:sz w:val="20"/>
                <w:szCs w:val="20"/>
                <w:color w:val="auto"/>
              </w:rPr>
            </w:pPr>
            <w:r>
              <w:rPr>
                <w:rFonts w:ascii="Times New Roman" w:cs="Times New Roman" w:eastAsia="Times New Roman" w:hAnsi="Times New Roman"/>
                <w:sz w:val="17"/>
                <w:szCs w:val="17"/>
                <w:color w:val="auto"/>
              </w:rPr>
              <w:t xml:space="preserve">Cost of real estate revenue </w:t>
            </w:r>
            <w:r>
              <w:rPr>
                <w:rFonts w:ascii="Times New Roman" w:cs="Times New Roman" w:eastAsia="Times New Roman" w:hAnsi="Times New Roman"/>
                <w:sz w:val="25"/>
                <w:szCs w:val="25"/>
                <w:color w:val="auto"/>
                <w:vertAlign w:val="superscript"/>
              </w:rPr>
              <w:t>(a) (b)</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00"/>
              <w:spacing w:after="0" w:line="216" w:lineRule="exact"/>
              <w:rPr>
                <w:sz w:val="20"/>
                <w:szCs w:val="20"/>
                <w:color w:val="auto"/>
              </w:rPr>
            </w:pPr>
            <w:r>
              <w:rPr>
                <w:rFonts w:ascii="Times New Roman" w:cs="Times New Roman" w:eastAsia="Times New Roman" w:hAnsi="Times New Roman"/>
                <w:sz w:val="17"/>
                <w:szCs w:val="17"/>
                <w:color w:val="auto"/>
              </w:rPr>
              <w:t xml:space="preserve">Cost of hospitality revenue </w:t>
            </w:r>
            <w:r>
              <w:rPr>
                <w:rFonts w:ascii="Times New Roman" w:cs="Times New Roman" w:eastAsia="Times New Roman" w:hAnsi="Times New Roman"/>
                <w:sz w:val="25"/>
                <w:szCs w:val="25"/>
                <w:color w:val="auto"/>
                <w:vertAlign w:val="superscript"/>
              </w:rPr>
              <w:t>(b)</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00"/>
              <w:spacing w:after="0" w:line="216" w:lineRule="exact"/>
              <w:rPr>
                <w:sz w:val="20"/>
                <w:szCs w:val="20"/>
                <w:color w:val="auto"/>
              </w:rPr>
            </w:pPr>
            <w:r>
              <w:rPr>
                <w:rFonts w:ascii="Times New Roman" w:cs="Times New Roman" w:eastAsia="Times New Roman" w:hAnsi="Times New Roman"/>
                <w:sz w:val="17"/>
                <w:szCs w:val="17"/>
                <w:color w:val="auto"/>
              </w:rPr>
              <w:t xml:space="preserve">Cost of leasing revenue </w:t>
            </w:r>
            <w:r>
              <w:rPr>
                <w:rFonts w:ascii="Times New Roman" w:cs="Times New Roman" w:eastAsia="Times New Roman" w:hAnsi="Times New Roman"/>
                <w:sz w:val="25"/>
                <w:szCs w:val="25"/>
                <w:color w:val="auto"/>
                <w:vertAlign w:val="superscript"/>
              </w:rPr>
              <w:t>(b)</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140" w:type="dxa"/>
            <w:vAlign w:val="bottom"/>
          </w:tcPr>
          <w:p>
            <w:pPr>
              <w:ind w:left="100"/>
              <w:spacing w:after="0" w:line="223" w:lineRule="exact"/>
              <w:rPr>
                <w:sz w:val="20"/>
                <w:szCs w:val="20"/>
                <w:color w:val="auto"/>
              </w:rPr>
            </w:pPr>
            <w:r>
              <w:rPr>
                <w:rFonts w:ascii="Times New Roman" w:cs="Times New Roman" w:eastAsia="Times New Roman" w:hAnsi="Times New Roman"/>
                <w:sz w:val="17"/>
                <w:szCs w:val="17"/>
                <w:color w:val="auto"/>
              </w:rPr>
              <w:t xml:space="preserve">Corporate and other operating expenses </w:t>
            </w:r>
            <w:r>
              <w:rPr>
                <w:rFonts w:ascii="Times New Roman" w:cs="Times New Roman" w:eastAsia="Times New Roman" w:hAnsi="Times New Roman"/>
                <w:sz w:val="25"/>
                <w:szCs w:val="25"/>
                <w:color w:val="auto"/>
                <w:vertAlign w:val="superscript"/>
              </w:rPr>
              <w:t>(b)</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expenses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Investment income, net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Equity in (loss) income from unconsolidated joint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140" w:type="dxa"/>
            <w:vAlign w:val="bottom"/>
          </w:tcPr>
          <w:p>
            <w:pPr>
              <w:ind w:left="100"/>
              <w:spacing w:after="0" w:line="223" w:lineRule="exact"/>
              <w:rPr>
                <w:sz w:val="20"/>
                <w:szCs w:val="20"/>
                <w:color w:val="auto"/>
              </w:rPr>
            </w:pPr>
            <w:r>
              <w:rPr>
                <w:rFonts w:ascii="Times New Roman" w:cs="Times New Roman" w:eastAsia="Times New Roman" w:hAnsi="Times New Roman"/>
                <w:sz w:val="17"/>
                <w:szCs w:val="17"/>
                <w:color w:val="auto"/>
              </w:rPr>
              <w:t xml:space="preserve">ventures </w:t>
            </w:r>
            <w:r>
              <w:rPr>
                <w:rFonts w:ascii="Times New Roman" w:cs="Times New Roman" w:eastAsia="Times New Roman" w:hAnsi="Times New Roman"/>
                <w:sz w:val="25"/>
                <w:szCs w:val="25"/>
                <w:color w:val="auto"/>
                <w:vertAlign w:val="superscript"/>
              </w:rPr>
              <w:t>(c)</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the Company</w:t>
            </w:r>
          </w:p>
        </w:tc>
        <w:tc>
          <w:tcPr>
            <w:tcW w:w="2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37"/>
        </w:trPr>
        <w:tc>
          <w:tcPr>
            <w:tcW w:w="4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PER SHARE ATTRIBUTABLE TO</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4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COMPANY</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57"/>
        </w:trPr>
        <w:tc>
          <w:tcPr>
            <w:tcW w:w="4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-4258310</wp:posOffset>
            </wp:positionV>
            <wp:extent cx="564896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-3692525</wp:posOffset>
            </wp:positionV>
            <wp:extent cx="564896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-3418205</wp:posOffset>
            </wp:positionV>
            <wp:extent cx="564896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-3143885</wp:posOffset>
            </wp:positionV>
            <wp:extent cx="564896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-2578100</wp:posOffset>
            </wp:positionV>
            <wp:extent cx="564896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-2303780</wp:posOffset>
            </wp:positionV>
            <wp:extent cx="5648960" cy="274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48960" cy="27432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-1600835</wp:posOffset>
            </wp:positionV>
            <wp:extent cx="564896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-1318260</wp:posOffset>
            </wp:positionV>
            <wp:extent cx="564896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-289560</wp:posOffset>
            </wp:positionV>
            <wp:extent cx="564896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48960" cy="15430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-598170</wp:posOffset>
            </wp:positionV>
            <wp:extent cx="564896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48960" cy="14605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-1026795</wp:posOffset>
            </wp:positionV>
            <wp:extent cx="564896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48960" cy="15430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-1892300</wp:posOffset>
            </wp:positionV>
            <wp:extent cx="564896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48960" cy="14605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-2861310</wp:posOffset>
            </wp:positionV>
            <wp:extent cx="5648960"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48960" cy="14541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-3983990</wp:posOffset>
            </wp:positionV>
            <wp:extent cx="5648960" cy="145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48960" cy="14541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-4541520</wp:posOffset>
            </wp:positionV>
            <wp:extent cx="564896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4896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60" w:type="dxa"/>
            <w:vAlign w:val="bottom"/>
            <w:gridSpan w:val="4"/>
          </w:tcPr>
          <w:p>
            <w:pPr>
              <w:jc w:val="center"/>
              <w:ind w:right="27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20" w:type="dxa"/>
            <w:vAlign w:val="bottom"/>
            <w:gridSpan w:val="5"/>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1180" w:type="dxa"/>
            <w:vAlign w:val="bottom"/>
            <w:gridSpan w:val="3"/>
          </w:tcPr>
          <w:p>
            <w:pPr>
              <w:jc w:val="center"/>
              <w:ind w:left="21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660" w:type="dxa"/>
            <w:vAlign w:val="bottom"/>
          </w:tcPr>
          <w:p>
            <w:pPr>
              <w:jc w:val="right"/>
              <w:ind w:right="272"/>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2026</w:t>
            </w: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jc w:val="right"/>
              <w:ind w:right="271"/>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gridSpan w:val="2"/>
          </w:tcPr>
          <w:p>
            <w:pPr>
              <w:ind w:left="80"/>
              <w:spacing w:after="0" w:line="155" w:lineRule="exact"/>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272"/>
              <w:spacing w:after="0" w:line="155" w:lineRule="exact"/>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gridSpan w:val="2"/>
          </w:tcPr>
          <w:p>
            <w:pPr>
              <w:jc w:val="right"/>
              <w:ind w:right="216"/>
              <w:spacing w:after="0" w:line="155" w:lineRule="exact"/>
              <w:rPr>
                <w:sz w:val="20"/>
                <w:szCs w:val="20"/>
                <w:color w:val="auto"/>
              </w:rPr>
            </w:pPr>
            <w:r>
              <w:rPr>
                <w:rFonts w:ascii="Arial" w:cs="Arial" w:eastAsia="Arial" w:hAnsi="Arial"/>
                <w:sz w:val="14"/>
                <w:szCs w:val="14"/>
                <w:b w:val="1"/>
                <w:bCs w:val="1"/>
                <w:color w:val="auto"/>
              </w:rPr>
              <w:t>​​​</w:t>
            </w:r>
          </w:p>
        </w:tc>
        <w:tc>
          <w:tcPr>
            <w:tcW w:w="660" w:type="dxa"/>
            <w:vAlign w:val="bottom"/>
          </w:tcPr>
          <w:p>
            <w:pPr>
              <w:jc w:val="right"/>
              <w:ind w:right="271"/>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91"/>
        </w:trPr>
        <w:tc>
          <w:tcPr>
            <w:tcW w:w="660" w:type="dxa"/>
            <w:vAlign w:val="bottom"/>
          </w:tcPr>
          <w:p>
            <w:pPr>
              <w:spacing w:after="0"/>
              <w:rPr>
                <w:sz w:val="16"/>
                <w:szCs w:val="16"/>
                <w:color w:val="auto"/>
              </w:rPr>
            </w:pPr>
          </w:p>
        </w:tc>
        <w:tc>
          <w:tcPr>
            <w:tcW w:w="5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76,045</w:t>
            </w: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83,831</w:t>
            </w:r>
          </w:p>
        </w:tc>
        <w:tc>
          <w:tcPr>
            <w:tcW w:w="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185,326</w:t>
            </w:r>
          </w:p>
        </w:tc>
        <w:tc>
          <w:tcPr>
            <w:tcW w:w="50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66,021</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60,572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184,937</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14,119</w:t>
            </w: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16,673</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43,795</w:t>
            </w: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49,423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156,185</w:t>
            </w: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161,076</w:t>
            </w:r>
          </w:p>
        </w:tc>
        <w:tc>
          <w:tcPr>
            <w:tcW w:w="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414,058</w:t>
            </w:r>
          </w:p>
        </w:tc>
        <w:tc>
          <w:tcPr>
            <w:tcW w:w="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384,355</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27,760</w:t>
            </w:r>
          </w:p>
        </w:tc>
        <w:tc>
          <w:tcPr>
            <w:tcW w:w="1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42,508</w:t>
            </w:r>
          </w:p>
        </w:tc>
        <w:tc>
          <w:tcPr>
            <w:tcW w:w="1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84,972</w:t>
            </w:r>
          </w:p>
        </w:tc>
        <w:tc>
          <w:tcPr>
            <w:tcW w:w="16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85,151</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41,785</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39,653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119,354</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5,987</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17,716</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7,968</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23,603</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11,141</w:t>
            </w: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11,657</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33,919</w:t>
            </w: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35,774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94,641</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108,144</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279,564</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277,570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61,544</w:t>
            </w:r>
          </w:p>
        </w:tc>
        <w:tc>
          <w:tcPr>
            <w:tcW w:w="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52,932</w:t>
            </w:r>
          </w:p>
        </w:tc>
        <w:tc>
          <w:tcPr>
            <w:tcW w:w="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134,494</w:t>
            </w:r>
          </w:p>
        </w:tc>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106,785</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3,584</w:t>
            </w:r>
          </w:p>
        </w:tc>
        <w:tc>
          <w:tcPr>
            <w:tcW w:w="520" w:type="dxa"/>
            <w:vAlign w:val="bottom"/>
            <w:gridSpan w:val="2"/>
            <w:vMerge w:val="continue"/>
          </w:tcPr>
          <w:p>
            <w:pPr>
              <w:spacing w:after="0"/>
              <w:rPr>
                <w:sz w:val="17"/>
                <w:szCs w:val="17"/>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3,117</w:t>
            </w:r>
          </w:p>
        </w:tc>
        <w:tc>
          <w:tcPr>
            <w:tcW w:w="380" w:type="dxa"/>
            <w:vAlign w:val="bottom"/>
            <w:gridSpan w:val="2"/>
            <w:vMerge w:val="continue"/>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10,117</w:t>
            </w:r>
          </w:p>
        </w:tc>
        <w:tc>
          <w:tcPr>
            <w:tcW w:w="500" w:type="dxa"/>
            <w:vAlign w:val="bottom"/>
            <w:gridSpan w:val="2"/>
            <w:vMerge w:val="continue"/>
          </w:tcPr>
          <w:p>
            <w:pPr>
              <w:spacing w:after="0"/>
              <w:rPr>
                <w:sz w:val="17"/>
                <w:szCs w:val="17"/>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9,747</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(6,808)</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(7,786)</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(20,782)</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(23,321)</w:t>
            </w:r>
          </w:p>
        </w:tc>
        <w:tc>
          <w:tcPr>
            <w:tcW w:w="0" w:type="dxa"/>
            <w:vAlign w:val="bottom"/>
          </w:tcPr>
          <w:p>
            <w:pPr>
              <w:spacing w:after="0"/>
              <w:rPr>
                <w:sz w:val="1"/>
                <w:szCs w:val="1"/>
                <w:color w:val="auto"/>
              </w:rPr>
            </w:pPr>
          </w:p>
        </w:tc>
      </w:tr>
      <w:tr>
        <w:trPr>
          <w:trHeight w:val="414"/>
        </w:trPr>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(8,217)</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3,480</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2,195</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(11,586)</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(11,638)</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6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49,958</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53,938</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122,856</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116,138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(12,895)</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(13,735)</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(31,523)</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(29,492)</w:t>
            </w:r>
          </w:p>
        </w:tc>
        <w:tc>
          <w:tcPr>
            <w:tcW w:w="0" w:type="dxa"/>
            <w:vAlign w:val="bottom"/>
          </w:tcPr>
          <w:p>
            <w:pPr>
              <w:spacing w:after="0"/>
              <w:rPr>
                <w:sz w:val="1"/>
                <w:szCs w:val="1"/>
                <w:color w:val="auto"/>
              </w:rPr>
            </w:pPr>
          </w:p>
        </w:tc>
      </w:tr>
      <w:tr>
        <w:trPr>
          <w:trHeight w:val="191"/>
        </w:trPr>
        <w:tc>
          <w:tcPr>
            <w:tcW w:w="6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37,063</w:t>
            </w:r>
          </w:p>
        </w:tc>
        <w:tc>
          <w:tcPr>
            <w:tcW w:w="1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40,203</w:t>
            </w:r>
          </w:p>
        </w:tc>
        <w:tc>
          <w:tcPr>
            <w:tcW w:w="1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91,333</w:t>
            </w:r>
          </w:p>
        </w:tc>
        <w:tc>
          <w:tcPr>
            <w:tcW w:w="16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86,646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0" w:type="dxa"/>
            <w:vAlign w:val="bottom"/>
          </w:tcPr>
          <w:p>
            <w:pPr>
              <w:spacing w:after="0"/>
              <w:rPr>
                <w:sz w:val="1"/>
                <w:szCs w:val="1"/>
                <w:color w:val="auto"/>
              </w:rPr>
            </w:pPr>
          </w:p>
        </w:tc>
      </w:tr>
      <w:tr>
        <w:trPr>
          <w:trHeight w:val="210"/>
        </w:trPr>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36,924</w:t>
            </w:r>
          </w:p>
        </w:tc>
        <w:tc>
          <w:tcPr>
            <w:tcW w:w="18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38,707</w:t>
            </w: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91,332</w:t>
            </w:r>
          </w:p>
        </w:tc>
        <w:tc>
          <w:tcPr>
            <w:tcW w:w="16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0"/>
        </w:trPr>
        <w:tc>
          <w:tcPr>
            <w:tcW w:w="660" w:type="dxa"/>
            <w:vAlign w:val="bottom"/>
          </w:tcPr>
          <w:p>
            <w:pPr>
              <w:spacing w:after="0"/>
              <w:rPr>
                <w:sz w:val="24"/>
                <w:szCs w:val="24"/>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4"/>
                <w:szCs w:val="24"/>
                <w:color w:val="auto"/>
              </w:rPr>
            </w:pPr>
          </w:p>
        </w:tc>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24"/>
                <w:szCs w:val="24"/>
                <w:color w:val="auto"/>
              </w:rPr>
            </w:pPr>
          </w:p>
        </w:tc>
        <w:tc>
          <w:tcPr>
            <w:tcW w:w="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50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80" w:type="dxa"/>
            <w:vAlign w:val="bottom"/>
            <w:vMerge w:val="restart"/>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34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0.67</w:t>
            </w:r>
          </w:p>
        </w:tc>
        <w:tc>
          <w:tcPr>
            <w:tcW w:w="16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1.60</w:t>
            </w:r>
          </w:p>
        </w:tc>
        <w:tc>
          <w:tcPr>
            <w:tcW w:w="160" w:type="dxa"/>
            <w:vAlign w:val="bottom"/>
            <w:vMerge w:val="continue"/>
          </w:tcPr>
          <w:p>
            <w:pPr>
              <w:spacing w:after="0"/>
              <w:rPr>
                <w:sz w:val="17"/>
                <w:szCs w:val="17"/>
                <w:color w:val="auto"/>
              </w:rPr>
            </w:pP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wp:posOffset>
            </wp:positionH>
            <wp:positionV relativeFrom="paragraph">
              <wp:posOffset>-24765</wp:posOffset>
            </wp:positionV>
            <wp:extent cx="6432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3255" cy="8255"/>
                    </a:xfrm>
                    <a:prstGeom prst="rect">
                      <a:avLst/>
                    </a:prstGeom>
                    <a:noFill/>
                  </pic:spPr>
                </pic:pic>
              </a:graphicData>
            </a:graphic>
          </wp:anchor>
        </w:drawing>
        <w:drawing>
          <wp:anchor simplePos="0" relativeHeight="251657728" behindDoc="1" locked="0" layoutInCell="0" allowOverlap="1">
            <wp:simplePos x="0" y="0"/>
            <wp:positionH relativeFrom="column">
              <wp:posOffset>-226695</wp:posOffset>
            </wp:positionH>
            <wp:positionV relativeFrom="paragraph">
              <wp:posOffset>-170815</wp:posOffset>
            </wp:positionV>
            <wp:extent cx="6432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3255" cy="8890"/>
                    </a:xfrm>
                    <a:prstGeom prst="rect">
                      <a:avLst/>
                    </a:prstGeom>
                    <a:noFill/>
                  </pic:spPr>
                </pic:pic>
              </a:graphicData>
            </a:graphic>
          </wp:anchor>
        </w:drawing>
        <w:drawing>
          <wp:anchor simplePos="0" relativeHeight="251657728" behindDoc="1" locked="0" layoutInCell="0" allowOverlap="1">
            <wp:simplePos x="0" y="0"/>
            <wp:positionH relativeFrom="column">
              <wp:posOffset>-226695</wp:posOffset>
            </wp:positionH>
            <wp:positionV relativeFrom="paragraph">
              <wp:posOffset>-762000</wp:posOffset>
            </wp:positionV>
            <wp:extent cx="6432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3255" cy="8255"/>
                    </a:xfrm>
                    <a:prstGeom prst="rect">
                      <a:avLst/>
                    </a:prstGeom>
                    <a:noFill/>
                  </pic:spPr>
                </pic:pic>
              </a:graphicData>
            </a:graphic>
          </wp:anchor>
        </w:drawing>
        <w:drawing>
          <wp:anchor simplePos="0" relativeHeight="251657728" behindDoc="1" locked="0" layoutInCell="0" allowOverlap="1">
            <wp:simplePos x="0" y="0"/>
            <wp:positionH relativeFrom="column">
              <wp:posOffset>-226695</wp:posOffset>
            </wp:positionH>
            <wp:positionV relativeFrom="paragraph">
              <wp:posOffset>-908050</wp:posOffset>
            </wp:positionV>
            <wp:extent cx="6432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43255" cy="8255"/>
                    </a:xfrm>
                    <a:prstGeom prst="rect">
                      <a:avLst/>
                    </a:prstGeom>
                    <a:noFill/>
                  </pic:spPr>
                </pic:pic>
              </a:graphicData>
            </a:graphic>
          </wp:anchor>
        </w:drawing>
        <w:drawing>
          <wp:anchor simplePos="0" relativeHeight="251657728" behindDoc="1" locked="0" layoutInCell="0" allowOverlap="1">
            <wp:simplePos x="0" y="0"/>
            <wp:positionH relativeFrom="column">
              <wp:posOffset>-226695</wp:posOffset>
            </wp:positionH>
            <wp:positionV relativeFrom="paragraph">
              <wp:posOffset>-1190625</wp:posOffset>
            </wp:positionV>
            <wp:extent cx="6432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43255" cy="8255"/>
                    </a:xfrm>
                    <a:prstGeom prst="rect">
                      <a:avLst/>
                    </a:prstGeom>
                    <a:noFill/>
                  </pic:spPr>
                </pic:pic>
              </a:graphicData>
            </a:graphic>
          </wp:anchor>
        </w:drawing>
        <w:drawing>
          <wp:anchor simplePos="0" relativeHeight="251657728" behindDoc="1" locked="0" layoutInCell="0" allowOverlap="1">
            <wp:simplePos x="0" y="0"/>
            <wp:positionH relativeFrom="column">
              <wp:posOffset>-226695</wp:posOffset>
            </wp:positionH>
            <wp:positionV relativeFrom="paragraph">
              <wp:posOffset>-1473835</wp:posOffset>
            </wp:positionV>
            <wp:extent cx="6432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43255" cy="8255"/>
                    </a:xfrm>
                    <a:prstGeom prst="rect">
                      <a:avLst/>
                    </a:prstGeom>
                    <a:noFill/>
                  </pic:spPr>
                </pic:pic>
              </a:graphicData>
            </a:graphic>
          </wp:anchor>
        </w:drawing>
        <w:drawing>
          <wp:anchor simplePos="0" relativeHeight="251657728" behindDoc="1" locked="0" layoutInCell="0" allowOverlap="1">
            <wp:simplePos x="0" y="0"/>
            <wp:positionH relativeFrom="column">
              <wp:posOffset>-226695</wp:posOffset>
            </wp:positionH>
            <wp:positionV relativeFrom="paragraph">
              <wp:posOffset>-2733675</wp:posOffset>
            </wp:positionV>
            <wp:extent cx="6432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43255" cy="8255"/>
                    </a:xfrm>
                    <a:prstGeom prst="rect">
                      <a:avLst/>
                    </a:prstGeom>
                    <a:noFill/>
                  </pic:spPr>
                </pic:pic>
              </a:graphicData>
            </a:graphic>
          </wp:anchor>
        </w:drawing>
        <w:drawing>
          <wp:anchor simplePos="0" relativeHeight="251657728" behindDoc="1" locked="0" layoutInCell="0" allowOverlap="1">
            <wp:simplePos x="0" y="0"/>
            <wp:positionH relativeFrom="column">
              <wp:posOffset>-226695</wp:posOffset>
            </wp:positionH>
            <wp:positionV relativeFrom="paragraph">
              <wp:posOffset>-3565525</wp:posOffset>
            </wp:positionV>
            <wp:extent cx="6432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43255" cy="8890"/>
                    </a:xfrm>
                    <a:prstGeom prst="rect">
                      <a:avLst/>
                    </a:prstGeom>
                    <a:noFill/>
                  </pic:spPr>
                </pic:pic>
              </a:graphicData>
            </a:graphic>
          </wp:anchor>
        </w:drawing>
        <w:drawing>
          <wp:anchor simplePos="0" relativeHeight="251657728" behindDoc="1" locked="0" layoutInCell="0" allowOverlap="1">
            <wp:simplePos x="0" y="0"/>
            <wp:positionH relativeFrom="column">
              <wp:posOffset>-226695</wp:posOffset>
            </wp:positionH>
            <wp:positionV relativeFrom="paragraph">
              <wp:posOffset>-4379595</wp:posOffset>
            </wp:positionV>
            <wp:extent cx="14058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441" w:lineRule="exact"/>
        <w:rPr>
          <w:sz w:val="20"/>
          <w:szCs w:val="20"/>
          <w:color w:val="auto"/>
        </w:rPr>
      </w:pPr>
    </w:p>
    <w:p>
      <w:pPr>
        <w:sectPr>
          <w:pgSz w:w="11900" w:h="16838" w:orient="portrait"/>
          <w:cols w:equalWidth="0" w:num="2">
            <w:col w:w="4480" w:space="260"/>
            <w:col w:w="4279"/>
          </w:cols>
          <w:pgMar w:left="1440" w:top="513" w:right="1440" w:bottom="1440" w:gutter="0" w:footer="0" w:header="0"/>
          <w:type w:val="continuous"/>
        </w:sectPr>
      </w:pPr>
    </w:p>
    <w:tbl>
      <w:tblPr>
        <w:tblLayout w:type="fixed"/>
        <w:tblInd w:w="40" w:type="dxa"/>
        <w:tblCellMar>
          <w:top w:w="0" w:type="dxa"/>
          <w:left w:w="0" w:type="dxa"/>
          <w:bottom w:w="0" w:type="dxa"/>
          <w:right w:w="0" w:type="dxa"/>
        </w:tblCellMar>
      </w:tblPr>
      <w:tr>
        <w:trPr>
          <w:trHeight w:val="207"/>
        </w:trPr>
        <w:tc>
          <w:tcPr>
            <w:tcW w:w="4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56,735,090</w:t>
            </w:r>
          </w:p>
        </w:tc>
        <w:tc>
          <w:tcPr>
            <w:tcW w:w="1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57,841,815</w:t>
            </w:r>
          </w:p>
        </w:tc>
        <w:tc>
          <w:tcPr>
            <w:tcW w:w="1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57,123,147</w:t>
            </w:r>
          </w:p>
        </w:tc>
        <w:tc>
          <w:tcPr>
            <w:tcW w:w="1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58,046,234</w:t>
            </w:r>
          </w:p>
        </w:tc>
        <w:tc>
          <w:tcPr>
            <w:tcW w:w="0" w:type="dxa"/>
            <w:vAlign w:val="bottom"/>
          </w:tcPr>
          <w:p>
            <w:pPr>
              <w:spacing w:after="0"/>
              <w:rPr>
                <w:sz w:val="1"/>
                <w:szCs w:val="1"/>
                <w:color w:val="auto"/>
              </w:rPr>
            </w:pPr>
          </w:p>
        </w:tc>
      </w:tr>
      <w:tr>
        <w:trPr>
          <w:trHeight w:val="20"/>
        </w:trPr>
        <w:tc>
          <w:tcPr>
            <w:tcW w:w="4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40" w:type="dxa"/>
            <w:vAlign w:val="bottom"/>
            <w:gridSpan w:val="2"/>
            <w:vMerge w:val="continue"/>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56,755,872</w:t>
            </w:r>
          </w:p>
        </w:tc>
        <w:tc>
          <w:tcPr>
            <w:tcW w:w="180" w:type="dxa"/>
            <w:vAlign w:val="bottom"/>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57,859,155</w:t>
            </w:r>
          </w:p>
        </w:tc>
        <w:tc>
          <w:tcPr>
            <w:tcW w:w="160" w:type="dxa"/>
            <w:vAlign w:val="bottom"/>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57,142,895</w:t>
            </w:r>
          </w:p>
        </w:tc>
        <w:tc>
          <w:tcPr>
            <w:tcW w:w="160" w:type="dxa"/>
            <w:vAlign w:val="bottom"/>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58,058,315</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2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80" w:right="239" w:hanging="330"/>
        <w:spacing w:after="0" w:line="267" w:lineRule="auto"/>
        <w:tabs>
          <w:tab w:leader="none" w:pos="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three and nine months ended September 30, 2026, each include revenue of $31.4 million for the initial net present value of additional land sold to the Latitude Margaritaville Watersound joint venture and $9.6 million of cost of revenue. See Note 4. </w:t>
      </w:r>
      <w:r>
        <w:rPr>
          <w:rFonts w:ascii="Times New Roman" w:cs="Times New Roman" w:eastAsia="Times New Roman" w:hAnsi="Times New Roman"/>
          <w:sz w:val="16"/>
          <w:szCs w:val="16"/>
          <w:i w:val="1"/>
          <w:iCs w:val="1"/>
          <w:color w:val="auto"/>
        </w:rPr>
        <w:t>Joint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Ventures </w:t>
      </w:r>
      <w:r>
        <w:rPr>
          <w:rFonts w:ascii="Times New Roman" w:cs="Times New Roman" w:eastAsia="Times New Roman" w:hAnsi="Times New Roman"/>
          <w:sz w:val="16"/>
          <w:szCs w:val="16"/>
          <w:color w:val="auto"/>
        </w:rPr>
        <w:t>and Note 18.</w:t>
      </w:r>
      <w:r>
        <w:rPr>
          <w:rFonts w:ascii="Times New Roman" w:cs="Times New Roman" w:eastAsia="Times New Roman" w:hAnsi="Times New Roman"/>
          <w:sz w:val="16"/>
          <w:szCs w:val="16"/>
          <w:i w:val="1"/>
          <w:iCs w:val="1"/>
          <w:color w:val="auto"/>
        </w:rPr>
        <w:t xml:space="preserve"> Related Party Transactions </w:t>
      </w:r>
      <w:r>
        <w:rPr>
          <w:rFonts w:ascii="Times New Roman" w:cs="Times New Roman" w:eastAsia="Times New Roman" w:hAnsi="Times New Roman"/>
          <w:sz w:val="16"/>
          <w:szCs w:val="16"/>
          <w:color w:val="auto"/>
        </w:rPr>
        <w:t>for additional information.</w:t>
      </w:r>
    </w:p>
    <w:p>
      <w:pPr>
        <w:spacing w:after="0" w:line="1" w:lineRule="exact"/>
        <w:rPr>
          <w:rFonts w:ascii="Times New Roman" w:cs="Times New Roman" w:eastAsia="Times New Roman" w:hAnsi="Times New Roman"/>
          <w:sz w:val="16"/>
          <w:szCs w:val="16"/>
          <w:color w:val="auto"/>
        </w:rPr>
      </w:pPr>
    </w:p>
    <w:p>
      <w:pPr>
        <w:ind w:left="380" w:hanging="330"/>
        <w:spacing w:after="0"/>
        <w:tabs>
          <w:tab w:leader="none" w:pos="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Excluding depreciation, depletion and amortization, shown separately above.</w:t>
      </w:r>
    </w:p>
    <w:p>
      <w:pPr>
        <w:spacing w:after="0" w:line="18" w:lineRule="exact"/>
        <w:rPr>
          <w:rFonts w:ascii="Times New Roman" w:cs="Times New Roman" w:eastAsia="Times New Roman" w:hAnsi="Times New Roman"/>
          <w:sz w:val="16"/>
          <w:szCs w:val="16"/>
          <w:color w:val="auto"/>
        </w:rPr>
      </w:pPr>
    </w:p>
    <w:p>
      <w:pPr>
        <w:ind w:left="380" w:right="99" w:hanging="330"/>
        <w:spacing w:after="0" w:line="272" w:lineRule="auto"/>
        <w:tabs>
          <w:tab w:leader="none" w:pos="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three and nine months ended September 30, 2026, each include intra-entity profit elimination, based on the Company’s ownership interest, of $10.9 million related to an additional land sale to the Latitude Margaritaville Watersound joint venture, a pro-rata portion of which will be recognized as each home on the land is sold by the joint venture. See Note 4. </w:t>
      </w:r>
      <w:r>
        <w:rPr>
          <w:rFonts w:ascii="Times New Roman" w:cs="Times New Roman" w:eastAsia="Times New Roman" w:hAnsi="Times New Roman"/>
          <w:sz w:val="16"/>
          <w:szCs w:val="16"/>
          <w:i w:val="1"/>
          <w:iCs w:val="1"/>
          <w:color w:val="auto"/>
        </w:rPr>
        <w:t>Joint Ventures</w:t>
      </w:r>
      <w:r>
        <w:rPr>
          <w:rFonts w:ascii="Times New Roman" w:cs="Times New Roman" w:eastAsia="Times New Roman" w:hAnsi="Times New Roman"/>
          <w:sz w:val="16"/>
          <w:szCs w:val="16"/>
          <w:color w:val="auto"/>
        </w:rPr>
        <w:t xml:space="preserve">, Note 15. </w:t>
      </w:r>
      <w:r>
        <w:rPr>
          <w:rFonts w:ascii="Times New Roman" w:cs="Times New Roman" w:eastAsia="Times New Roman" w:hAnsi="Times New Roman"/>
          <w:sz w:val="16"/>
          <w:szCs w:val="16"/>
          <w:i w:val="1"/>
          <w:iCs w:val="1"/>
          <w:color w:val="auto"/>
        </w:rPr>
        <w:t xml:space="preserve">Other (Expense) Income, Net </w:t>
      </w:r>
      <w:r>
        <w:rPr>
          <w:rFonts w:ascii="Times New Roman" w:cs="Times New Roman" w:eastAsia="Times New Roman" w:hAnsi="Times New Roman"/>
          <w:sz w:val="16"/>
          <w:szCs w:val="16"/>
          <w:color w:val="auto"/>
        </w:rPr>
        <w:t>and Note 18.</w:t>
      </w:r>
      <w:r>
        <w:rPr>
          <w:rFonts w:ascii="Times New Roman" w:cs="Times New Roman" w:eastAsia="Times New Roman" w:hAnsi="Times New Roman"/>
          <w:sz w:val="16"/>
          <w:szCs w:val="16"/>
          <w:i w:val="1"/>
          <w:iCs w:val="1"/>
          <w:color w:val="auto"/>
        </w:rPr>
        <w:t xml:space="preserve"> Related Party Transactions </w:t>
      </w:r>
      <w:r>
        <w:rPr>
          <w:rFonts w:ascii="Times New Roman" w:cs="Times New Roman" w:eastAsia="Times New Roman" w:hAnsi="Times New Roman"/>
          <w:sz w:val="16"/>
          <w:szCs w:val="16"/>
          <w:color w:val="auto"/>
        </w:rPr>
        <w:t>for additional information.</w:t>
      </w:r>
    </w:p>
    <w:p>
      <w:pPr>
        <w:spacing w:after="0" w:line="180"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ectPr>
          <w:pgSz w:w="11900" w:h="16838" w:orient="portrait"/>
          <w:cols w:equalWidth="0" w:num="1">
            <w:col w:w="9019"/>
          </w:cols>
          <w:pgMar w:left="1440" w:top="51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ST. JOE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460" w:type="dxa"/>
            <w:vAlign w:val="bottom"/>
          </w:tcPr>
          <w:p>
            <w:pPr>
              <w:spacing w:after="0"/>
              <w:rPr>
                <w:sz w:val="12"/>
                <w:szCs w:val="12"/>
                <w:color w:val="auto"/>
              </w:rPr>
            </w:pPr>
          </w:p>
        </w:tc>
        <w:tc>
          <w:tcPr>
            <w:tcW w:w="920" w:type="dxa"/>
            <w:vAlign w:val="bottom"/>
            <w:gridSpan w:val="2"/>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  2026</w:t>
            </w:r>
          </w:p>
        </w:tc>
        <w:tc>
          <w:tcPr>
            <w:tcW w:w="820" w:type="dxa"/>
            <w:vAlign w:val="bottom"/>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  2025</w:t>
            </w:r>
          </w:p>
        </w:tc>
        <w:tc>
          <w:tcPr>
            <w:tcW w:w="20" w:type="dxa"/>
            <w:vAlign w:val="bottom"/>
          </w:tcPr>
          <w:p>
            <w:pPr>
              <w:spacing w:after="0"/>
              <w:rPr>
                <w:sz w:val="12"/>
                <w:szCs w:val="12"/>
                <w:color w:val="auto"/>
              </w:rPr>
            </w:pPr>
          </w:p>
        </w:tc>
        <w:tc>
          <w:tcPr>
            <w:tcW w:w="820" w:type="dxa"/>
            <w:vAlign w:val="bottom"/>
            <w:gridSpan w:val="2"/>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  2026</w:t>
            </w:r>
          </w:p>
        </w:tc>
        <w:tc>
          <w:tcPr>
            <w:tcW w:w="860" w:type="dxa"/>
            <w:vAlign w:val="bottom"/>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  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$ 37,063</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$ 40,203</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$ 91,333</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$ 86,646</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gridSpan w:val="3"/>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rate swap</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rate swap - unconsolidated joint venture</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Reclassification of net realized gain included in earnings</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before income taxes</w:t>
            </w:r>
          </w:p>
        </w:tc>
        <w:tc>
          <w:tcPr>
            <w:tcW w:w="22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4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6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Income tax benefit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Total other comprehensive loss, net of tax</w:t>
            </w:r>
          </w:p>
        </w:tc>
        <w:tc>
          <w:tcPr>
            <w:tcW w:w="22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4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6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income, net of tax</w:t>
            </w:r>
          </w:p>
        </w:tc>
        <w:tc>
          <w:tcPr>
            <w:tcW w:w="2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36,895</w:t>
            </w:r>
          </w:p>
        </w:tc>
        <w:tc>
          <w:tcPr>
            <w:tcW w:w="1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39,951</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90,961</w:t>
            </w:r>
          </w:p>
        </w:tc>
        <w:tc>
          <w:tcPr>
            <w:tcW w:w="1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comprehensive (income) loss attributable to non-controlling interest</w:t>
            </w:r>
          </w:p>
        </w:tc>
        <w:tc>
          <w:tcPr>
            <w:tcW w:w="22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income attributable to the Company</w:t>
            </w:r>
          </w:p>
        </w:tc>
        <w:tc>
          <w:tcPr>
            <w:tcW w:w="2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$ 36,817</w:t>
            </w:r>
          </w:p>
        </w:tc>
        <w:tc>
          <w:tcPr>
            <w:tcW w:w="1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$ 38,539</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$ 91,094</w:t>
            </w:r>
          </w:p>
        </w:tc>
        <w:tc>
          <w:tcPr>
            <w:tcW w:w="1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$ 85,032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ST. JOE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640" w:type="dxa"/>
            <w:vAlign w:val="bottom"/>
          </w:tcPr>
          <w:p>
            <w:pPr>
              <w:spacing w:after="0"/>
              <w:rPr>
                <w:sz w:val="13"/>
                <w:szCs w:val="13"/>
                <w:color w:val="auto"/>
              </w:rPr>
            </w:pP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w:t>
            </w:r>
          </w:p>
        </w:tc>
        <w:tc>
          <w:tcPr>
            <w:tcW w:w="600" w:type="dxa"/>
            <w:vAlign w:val="bottom"/>
          </w:tcPr>
          <w:p>
            <w:pPr>
              <w:spacing w:after="0"/>
              <w:rPr>
                <w:sz w:val="13"/>
                <w:szCs w:val="13"/>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w:t>
            </w:r>
          </w:p>
        </w:tc>
        <w:tc>
          <w:tcPr>
            <w:tcW w:w="600" w:type="dxa"/>
            <w:vAlign w:val="bottom"/>
          </w:tcPr>
          <w:p>
            <w:pPr>
              <w:spacing w:after="0"/>
              <w:rPr>
                <w:sz w:val="13"/>
                <w:szCs w:val="13"/>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3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 ​​​</w:t>
            </w: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00" w:type="dxa"/>
            <w:vAlign w:val="bottom"/>
            <w:gridSpan w:val="2"/>
          </w:tcPr>
          <w:p>
            <w:pPr>
              <w:ind w:left="80"/>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3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at June 30, 2026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56,991,651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230,176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$ 572,259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(38,437)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8,506</w:t>
            </w:r>
          </w:p>
        </w:tc>
        <w:tc>
          <w:tcPr>
            <w:tcW w:w="1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772,967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vMerge w:val="restart"/>
          </w:tcPr>
          <w:p>
            <w:pPr>
              <w:ind w:left="100"/>
              <w:spacing w:after="0" w:line="174" w:lineRule="exact"/>
              <w:rPr>
                <w:sz w:val="20"/>
                <w:szCs w:val="20"/>
                <w:color w:val="auto"/>
              </w:rPr>
            </w:pPr>
            <w:r>
              <w:rPr>
                <w:rFonts w:ascii="Times New Roman" w:cs="Times New Roman" w:eastAsia="Times New Roman" w:hAnsi="Times New Roman"/>
                <w:sz w:val="17"/>
                <w:szCs w:val="17"/>
                <w:color w:val="auto"/>
              </w:rPr>
              <w:t>Capital distributions to non-</w:t>
            </w: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controlling interest</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8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7"/>
                <w:szCs w:val="17"/>
                <w:color w:val="auto"/>
              </w:rPr>
              <w:t>Stock based compensation</w:t>
            </w: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expense</w:t>
            </w: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80" w:type="dxa"/>
            <w:vAlign w:val="bottom"/>
          </w:tcPr>
          <w:p>
            <w:pPr>
              <w:ind w:left="100"/>
              <w:spacing w:after="0" w:line="181" w:lineRule="exact"/>
              <w:rPr>
                <w:sz w:val="20"/>
                <w:szCs w:val="20"/>
                <w:color w:val="auto"/>
              </w:rPr>
            </w:pPr>
            <w:r>
              <w:rPr>
                <w:rFonts w:ascii="Times New Roman" w:cs="Times New Roman" w:eastAsia="Times New Roman" w:hAnsi="Times New Roman"/>
                <w:sz w:val="17"/>
                <w:szCs w:val="17"/>
                <w:color w:val="auto"/>
              </w:rPr>
              <w:t>Repurchase of common</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(412,800)</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(27,440)</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(27,440)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stock, including excise tax</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920" w:type="dxa"/>
            <w:vAlign w:val="bottom"/>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Dividends ($0.16 per share)</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80" w:type="dxa"/>
            <w:vAlign w:val="bottom"/>
          </w:tcPr>
          <w:p>
            <w:pPr>
              <w:ind w:left="100"/>
              <w:spacing w:after="0" w:line="181" w:lineRule="exact"/>
              <w:rPr>
                <w:sz w:val="20"/>
                <w:szCs w:val="20"/>
                <w:color w:val="auto"/>
              </w:rPr>
            </w:pPr>
            <w:r>
              <w:rPr>
                <w:rFonts w:ascii="Times New Roman" w:cs="Times New Roman" w:eastAsia="Times New Roman" w:hAnsi="Times New Roman"/>
                <w:sz w:val="17"/>
                <w:szCs w:val="17"/>
                <w:color w:val="auto"/>
              </w:rPr>
              <w:t>Other comprehensive loss,</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net of tax</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Net income</w:t>
            </w:r>
          </w:p>
        </w:tc>
        <w:tc>
          <w:tcPr>
            <w:tcW w:w="1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36,924</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37,063</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080" w:type="dxa"/>
            <w:vAlign w:val="bottom"/>
          </w:tcPr>
          <w:p>
            <w:pPr>
              <w:spacing w:after="0" w:line="157" w:lineRule="exact"/>
              <w:rPr>
                <w:sz w:val="20"/>
                <w:szCs w:val="20"/>
                <w:color w:val="auto"/>
              </w:rPr>
            </w:pPr>
            <w:r>
              <w:rPr>
                <w:rFonts w:ascii="Times New Roman" w:cs="Times New Roman" w:eastAsia="Times New Roman" w:hAnsi="Times New Roman"/>
                <w:sz w:val="17"/>
                <w:szCs w:val="17"/>
                <w:b w:val="1"/>
                <w:bCs w:val="1"/>
                <w:color w:val="auto"/>
              </w:rPr>
              <w:t>Balance at</w:t>
            </w:r>
          </w:p>
        </w:tc>
        <w:tc>
          <w:tcPr>
            <w:tcW w:w="160" w:type="dxa"/>
            <w:vAlign w:val="bottom"/>
            <w:vMerge w:val="restart"/>
          </w:tcPr>
          <w:p>
            <w:pPr>
              <w:spacing w:after="0"/>
              <w:rPr>
                <w:sz w:val="13"/>
                <w:szCs w:val="13"/>
                <w:color w:val="auto"/>
              </w:rPr>
            </w:pP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56,578,851</w:t>
            </w:r>
          </w:p>
        </w:tc>
        <w:tc>
          <w:tcPr>
            <w:tcW w:w="3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230,534</w:t>
            </w:r>
          </w:p>
        </w:tc>
        <w:tc>
          <w:tcPr>
            <w:tcW w:w="9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$ 600,103</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356</w:t>
            </w:r>
          </w:p>
        </w:tc>
        <w:tc>
          <w:tcPr>
            <w:tcW w:w="9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 (65,877)</w:t>
            </w:r>
          </w:p>
        </w:tc>
        <w:tc>
          <w:tcPr>
            <w:tcW w:w="2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7,846</w:t>
            </w:r>
          </w:p>
        </w:tc>
        <w:tc>
          <w:tcPr>
            <w:tcW w:w="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772,962</w:t>
            </w:r>
          </w:p>
        </w:tc>
        <w:tc>
          <w:tcPr>
            <w:tcW w:w="0" w:type="dxa"/>
            <w:vAlign w:val="bottom"/>
          </w:tcPr>
          <w:p>
            <w:pPr>
              <w:spacing w:after="0"/>
              <w:rPr>
                <w:sz w:val="1"/>
                <w:szCs w:val="1"/>
                <w:color w:val="auto"/>
              </w:rPr>
            </w:pPr>
          </w:p>
        </w:tc>
      </w:tr>
      <w:tr>
        <w:trPr>
          <w:trHeight w:val="215"/>
        </w:trPr>
        <w:tc>
          <w:tcPr>
            <w:tcW w:w="21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September 30, 2026</w:t>
            </w:r>
          </w:p>
        </w:tc>
        <w:tc>
          <w:tcPr>
            <w:tcW w:w="16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940" w:type="dxa"/>
            <w:vAlign w:val="bottom"/>
            <w:gridSpan w:val="3"/>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920" w:type="dxa"/>
            <w:vAlign w:val="bottom"/>
            <w:gridSpan w:val="3"/>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320" w:type="dxa"/>
            <w:vAlign w:val="bottom"/>
            <w:gridSpan w:val="3"/>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0"/>
        </w:trPr>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640" w:type="dxa"/>
            <w:vAlign w:val="bottom"/>
          </w:tcPr>
          <w:p>
            <w:pPr>
              <w:spacing w:after="0"/>
              <w:rPr>
                <w:sz w:val="24"/>
                <w:szCs w:val="24"/>
                <w:color w:val="auto"/>
              </w:rPr>
            </w:pP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w:t>
            </w:r>
          </w:p>
        </w:tc>
        <w:tc>
          <w:tcPr>
            <w:tcW w:w="60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w:t>
            </w:r>
          </w:p>
        </w:tc>
        <w:tc>
          <w:tcPr>
            <w:tcW w:w="600" w:type="dxa"/>
            <w:vAlign w:val="bottom"/>
          </w:tcPr>
          <w:p>
            <w:pPr>
              <w:spacing w:after="0"/>
              <w:rPr>
                <w:sz w:val="24"/>
                <w:szCs w:val="24"/>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3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 ​​​</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00" w:type="dxa"/>
            <w:vAlign w:val="bottom"/>
            <w:gridSpan w:val="2"/>
          </w:tcPr>
          <w:p>
            <w:pPr>
              <w:ind w:left="80"/>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3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at June 30, 2025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57,986,915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269,283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$ 484,891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(16,336)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11,186</w:t>
            </w:r>
          </w:p>
        </w:tc>
        <w:tc>
          <w:tcPr>
            <w:tcW w:w="1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749,950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vMerge w:val="restart"/>
          </w:tcPr>
          <w:p>
            <w:pPr>
              <w:ind w:left="100"/>
              <w:spacing w:after="0" w:line="174" w:lineRule="exact"/>
              <w:rPr>
                <w:sz w:val="20"/>
                <w:szCs w:val="20"/>
                <w:color w:val="auto"/>
              </w:rPr>
            </w:pPr>
            <w:r>
              <w:rPr>
                <w:rFonts w:ascii="Times New Roman" w:cs="Times New Roman" w:eastAsia="Times New Roman" w:hAnsi="Times New Roman"/>
                <w:sz w:val="17"/>
                <w:szCs w:val="17"/>
                <w:color w:val="auto"/>
              </w:rPr>
              <w:t>Capital distributions to non-</w:t>
            </w: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controlling interest</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8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7"/>
                <w:szCs w:val="17"/>
                <w:color w:val="auto"/>
              </w:rPr>
              <w:t>Stock based compensation</w:t>
            </w: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expense</w:t>
            </w: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80" w:type="dxa"/>
            <w:vAlign w:val="bottom"/>
          </w:tcPr>
          <w:p>
            <w:pPr>
              <w:ind w:left="100"/>
              <w:spacing w:after="0" w:line="181" w:lineRule="exact"/>
              <w:rPr>
                <w:sz w:val="20"/>
                <w:szCs w:val="20"/>
                <w:color w:val="auto"/>
              </w:rPr>
            </w:pPr>
            <w:r>
              <w:rPr>
                <w:rFonts w:ascii="Times New Roman" w:cs="Times New Roman" w:eastAsia="Times New Roman" w:hAnsi="Times New Roman"/>
                <w:sz w:val="17"/>
                <w:szCs w:val="17"/>
                <w:color w:val="auto"/>
              </w:rPr>
              <w:t>Repurchase of common</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(176,085)</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(8,794)</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(8,794)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stock, including excise tax</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Dividends ($0.14 per share)</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(8,105)</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80" w:type="dxa"/>
            <w:vAlign w:val="bottom"/>
          </w:tcPr>
          <w:p>
            <w:pPr>
              <w:ind w:left="100"/>
              <w:spacing w:after="0" w:line="181" w:lineRule="exact"/>
              <w:rPr>
                <w:sz w:val="20"/>
                <w:szCs w:val="20"/>
                <w:color w:val="auto"/>
              </w:rPr>
            </w:pPr>
            <w:r>
              <w:rPr>
                <w:rFonts w:ascii="Times New Roman" w:cs="Times New Roman" w:eastAsia="Times New Roman" w:hAnsi="Times New Roman"/>
                <w:sz w:val="17"/>
                <w:szCs w:val="17"/>
                <w:color w:val="auto"/>
              </w:rPr>
              <w:t>Other comprehensive loss,</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net of tax</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Net income</w:t>
            </w:r>
          </w:p>
        </w:tc>
        <w:tc>
          <w:tcPr>
            <w:tcW w:w="1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38,707</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40,203</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080" w:type="dxa"/>
            <w:vAlign w:val="bottom"/>
          </w:tcPr>
          <w:p>
            <w:pPr>
              <w:spacing w:after="0" w:line="157" w:lineRule="exact"/>
              <w:rPr>
                <w:sz w:val="20"/>
                <w:szCs w:val="20"/>
                <w:color w:val="auto"/>
              </w:rPr>
            </w:pPr>
            <w:r>
              <w:rPr>
                <w:rFonts w:ascii="Times New Roman" w:cs="Times New Roman" w:eastAsia="Times New Roman" w:hAnsi="Times New Roman"/>
                <w:sz w:val="17"/>
                <w:szCs w:val="17"/>
                <w:b w:val="1"/>
                <w:bCs w:val="1"/>
                <w:color w:val="auto"/>
              </w:rPr>
              <w:t>Balance at</w:t>
            </w:r>
          </w:p>
        </w:tc>
        <w:tc>
          <w:tcPr>
            <w:tcW w:w="10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57,810,830</w:t>
            </w:r>
          </w:p>
        </w:tc>
        <w:tc>
          <w:tcPr>
            <w:tcW w:w="3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269,592</w:t>
            </w:r>
          </w:p>
        </w:tc>
        <w:tc>
          <w:tcPr>
            <w:tcW w:w="9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$ 515,493</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758</w:t>
            </w:r>
          </w:p>
        </w:tc>
        <w:tc>
          <w:tcPr>
            <w:tcW w:w="9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 (25,130)</w:t>
            </w:r>
          </w:p>
        </w:tc>
        <w:tc>
          <w:tcPr>
            <w:tcW w:w="2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10,156</w:t>
            </w:r>
          </w:p>
        </w:tc>
        <w:tc>
          <w:tcPr>
            <w:tcW w:w="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770,869</w:t>
            </w:r>
          </w:p>
        </w:tc>
        <w:tc>
          <w:tcPr>
            <w:tcW w:w="0" w:type="dxa"/>
            <w:vAlign w:val="bottom"/>
          </w:tcPr>
          <w:p>
            <w:pPr>
              <w:spacing w:after="0"/>
              <w:rPr>
                <w:sz w:val="1"/>
                <w:szCs w:val="1"/>
                <w:color w:val="auto"/>
              </w:rPr>
            </w:pPr>
          </w:p>
        </w:tc>
      </w:tr>
      <w:tr>
        <w:trPr>
          <w:trHeight w:val="215"/>
        </w:trPr>
        <w:tc>
          <w:tcPr>
            <w:tcW w:w="21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September 30, 2025</w:t>
            </w:r>
          </w:p>
        </w:tc>
        <w:tc>
          <w:tcPr>
            <w:tcW w:w="1040" w:type="dxa"/>
            <w:vAlign w:val="bottom"/>
            <w:gridSpan w:val="3"/>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940" w:type="dxa"/>
            <w:vAlign w:val="bottom"/>
            <w:gridSpan w:val="3"/>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920" w:type="dxa"/>
            <w:vAlign w:val="bottom"/>
            <w:gridSpan w:val="3"/>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320" w:type="dxa"/>
            <w:vAlign w:val="bottom"/>
            <w:gridSpan w:val="3"/>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598360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83605" cy="26035"/>
                    </a:xfrm>
                    <a:prstGeom prst="rect">
                      <a:avLst/>
                    </a:prstGeom>
                    <a:noFill/>
                  </pic:spPr>
                </pic:pic>
              </a:graphicData>
            </a:graphic>
          </wp:anchor>
        </w:drawing>
      </w:r>
    </w:p>
    <w:p>
      <w:pPr>
        <w:sectPr>
          <w:pgSz w:w="11900" w:h="16838" w:orient="portrait"/>
          <w:cols w:equalWidth="0" w:num="1">
            <w:col w:w="9440"/>
          </w:cols>
          <w:pgMar w:left="1220" w:top="513" w:right="12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ST. JOE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178"/>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3"/>
                <w:szCs w:val="13"/>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tcPr>
          <w:p>
            <w:pPr>
              <w:jc w:val="right"/>
              <w:ind w:right="535"/>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124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90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 ​​​</w:t>
            </w: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 ​​​</w:t>
            </w:r>
          </w:p>
        </w:tc>
        <w:tc>
          <w:tcPr>
            <w:tcW w:w="92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 ​​​</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w w:val="96"/>
              </w:rPr>
              <w:t>Outstanding</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00" w:type="dxa"/>
            <w:vAlign w:val="bottom"/>
          </w:tcPr>
          <w:p>
            <w:pPr>
              <w:ind w:left="80"/>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5"/>
                <w:szCs w:val="15"/>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Borders>
              <w:right w:val="single" w:sz="8" w:color="CCEEFF"/>
            </w:tcBorders>
            <w:vMerge w:val="restart"/>
            <w:shd w:val="clear" w:color="auto" w:fill="CCEEFF"/>
          </w:tcPr>
          <w:p>
            <w:pPr>
              <w:spacing w:after="0" w:line="176" w:lineRule="exact"/>
              <w:rPr>
                <w:sz w:val="20"/>
                <w:szCs w:val="20"/>
                <w:color w:val="auto"/>
              </w:rPr>
            </w:pPr>
            <w:r>
              <w:rPr>
                <w:rFonts w:ascii="Times New Roman" w:cs="Times New Roman" w:eastAsia="Times New Roman" w:hAnsi="Times New Roman"/>
                <w:sz w:val="17"/>
                <w:szCs w:val="17"/>
                <w:b w:val="1"/>
                <w:bCs w:val="1"/>
                <w:color w:val="auto"/>
              </w:rPr>
              <w:t>Balance at</w:t>
            </w:r>
          </w:p>
        </w:tc>
        <w:tc>
          <w:tcPr>
            <w:tcW w:w="20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2000" w:type="dxa"/>
            <w:vAlign w:val="bottom"/>
            <w:tcBorders>
              <w:right w:val="single" w:sz="8" w:color="CCEEFF"/>
            </w:tcBorders>
            <w:vMerge w:val="continue"/>
            <w:shd w:val="clear" w:color="auto" w:fill="CCEEFF"/>
          </w:tcPr>
          <w:p>
            <w:pPr>
              <w:spacing w:after="0"/>
              <w:rPr>
                <w:sz w:val="13"/>
                <w:szCs w:val="13"/>
                <w:color w:val="auto"/>
              </w:rPr>
            </w:pPr>
          </w:p>
        </w:tc>
        <w:tc>
          <w:tcPr>
            <w:tcW w:w="920" w:type="dxa"/>
            <w:vAlign w:val="bottom"/>
            <w:tcBorders>
              <w:left w:val="single" w:sz="8" w:color="CCEEFF"/>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57,547,307</w:t>
            </w:r>
          </w:p>
        </w:tc>
        <w:tc>
          <w:tcPr>
            <w:tcW w:w="300" w:type="dxa"/>
            <w:vAlign w:val="bottom"/>
            <w:tcBorders>
              <w:left w:val="single" w:sz="8" w:color="CCEEFF"/>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7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229,506</w:t>
            </w:r>
          </w:p>
        </w:tc>
        <w:tc>
          <w:tcPr>
            <w:tcW w:w="920" w:type="dxa"/>
            <w:vAlign w:val="bottom"/>
            <w:tcBorders>
              <w:left w:val="single" w:sz="8" w:color="CCEEFF"/>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$ 536,190</w:t>
            </w:r>
          </w:p>
        </w:tc>
        <w:tc>
          <w:tcPr>
            <w:tcW w:w="24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594</w:t>
            </w:r>
          </w:p>
        </w:tc>
        <w:tc>
          <w:tcPr>
            <w:tcW w:w="24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6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9,335</w:t>
            </w:r>
          </w:p>
        </w:tc>
        <w:tc>
          <w:tcPr>
            <w:tcW w:w="26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7"/>
                <w:szCs w:val="17"/>
                <w:b w:val="1"/>
                <w:bCs w:val="1"/>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775,625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0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920" w:type="dxa"/>
            <w:vAlign w:val="bottom"/>
            <w:tcBorders>
              <w:left w:val="single" w:sz="8" w:color="CCEEFF"/>
              <w:right w:val="single" w:sz="8" w:color="CCEEFF"/>
            </w:tcBorders>
            <w:gridSpan w:val="2"/>
            <w:vMerge w:val="continue"/>
            <w:shd w:val="clear" w:color="auto" w:fill="CCEEFF"/>
          </w:tcPr>
          <w:p>
            <w:pPr>
              <w:spacing w:after="0"/>
              <w:rPr>
                <w:sz w:val="18"/>
                <w:szCs w:val="18"/>
                <w:color w:val="auto"/>
              </w:rPr>
            </w:pPr>
          </w:p>
        </w:tc>
        <w:tc>
          <w:tcPr>
            <w:tcW w:w="300" w:type="dxa"/>
            <w:vAlign w:val="bottom"/>
            <w:tcBorders>
              <w:left w:val="single" w:sz="8" w:color="CCEEFF"/>
              <w:right w:val="single" w:sz="8" w:color="CCEEFF"/>
            </w:tcBorders>
            <w:gridSpan w:val="2"/>
            <w:vMerge w:val="continue"/>
            <w:shd w:val="clear" w:color="auto" w:fill="CCEEFF"/>
          </w:tcPr>
          <w:p>
            <w:pPr>
              <w:spacing w:after="0"/>
              <w:rPr>
                <w:sz w:val="18"/>
                <w:szCs w:val="18"/>
                <w:color w:val="auto"/>
              </w:rPr>
            </w:pPr>
          </w:p>
        </w:tc>
        <w:tc>
          <w:tcPr>
            <w:tcW w:w="700" w:type="dxa"/>
            <w:vAlign w:val="bottom"/>
            <w:tcBorders>
              <w:right w:val="single" w:sz="8" w:color="CCEEFF"/>
            </w:tcBorders>
            <w:vMerge w:val="continue"/>
            <w:shd w:val="clear" w:color="auto" w:fill="CCEEFF"/>
          </w:tcPr>
          <w:p>
            <w:pPr>
              <w:spacing w:after="0"/>
              <w:rPr>
                <w:sz w:val="18"/>
                <w:szCs w:val="18"/>
                <w:color w:val="auto"/>
              </w:rPr>
            </w:pPr>
          </w:p>
        </w:tc>
        <w:tc>
          <w:tcPr>
            <w:tcW w:w="920" w:type="dxa"/>
            <w:vAlign w:val="bottom"/>
            <w:tcBorders>
              <w:left w:val="single" w:sz="8" w:color="CCEEFF"/>
              <w:right w:val="single" w:sz="8" w:color="CCEEFF"/>
            </w:tcBorders>
            <w:gridSpan w:val="2"/>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660" w:type="dxa"/>
            <w:vAlign w:val="bottom"/>
            <w:tcBorders>
              <w:right w:val="single" w:sz="8" w:color="CCEEFF"/>
            </w:tcBorders>
            <w:vMerge w:val="continue"/>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1060" w:type="dxa"/>
            <w:vAlign w:val="bottom"/>
            <w:tcBorders>
              <w:right w:val="single" w:sz="8" w:color="CCEEFF"/>
            </w:tcBorders>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Borders>
              <w:top w:val="single" w:sz="8" w:color="CCEEFF"/>
              <w:bottom w:val="single" w:sz="8" w:color="CCEEFF"/>
            </w:tcBorders>
            <w:vMerge w:val="restart"/>
          </w:tcPr>
          <w:p>
            <w:pPr>
              <w:ind w:left="100"/>
              <w:spacing w:after="0" w:line="174" w:lineRule="exact"/>
              <w:rPr>
                <w:sz w:val="20"/>
                <w:szCs w:val="20"/>
                <w:color w:val="auto"/>
              </w:rPr>
            </w:pPr>
            <w:r>
              <w:rPr>
                <w:rFonts w:ascii="Times New Roman" w:cs="Times New Roman" w:eastAsia="Times New Roman" w:hAnsi="Times New Roman"/>
                <w:sz w:val="17"/>
                <w:szCs w:val="17"/>
                <w:color w:val="auto"/>
              </w:rPr>
              <w:t>Capital contributions from</w:t>
            </w:r>
          </w:p>
        </w:tc>
        <w:tc>
          <w:tcPr>
            <w:tcW w:w="2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0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non-controlling interest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00" w:type="dxa"/>
            <w:vAlign w:val="bottom"/>
            <w:tcBorders>
              <w:right w:val="single" w:sz="8" w:color="CCEEFF"/>
            </w:tcBorders>
            <w:shd w:val="clear" w:color="auto" w:fill="CCEEFF"/>
          </w:tcPr>
          <w:p>
            <w:pPr>
              <w:ind w:left="100"/>
              <w:spacing w:after="0" w:line="182" w:lineRule="exact"/>
              <w:rPr>
                <w:sz w:val="20"/>
                <w:szCs w:val="20"/>
                <w:color w:val="auto"/>
              </w:rPr>
            </w:pPr>
            <w:r>
              <w:rPr>
                <w:rFonts w:ascii="Times New Roman" w:cs="Times New Roman" w:eastAsia="Times New Roman" w:hAnsi="Times New Roman"/>
                <w:sz w:val="17"/>
                <w:szCs w:val="17"/>
                <w:color w:val="auto"/>
              </w:rPr>
              <w:t>Capital distributions to</w:t>
            </w:r>
          </w:p>
        </w:tc>
        <w:tc>
          <w:tcPr>
            <w:tcW w:w="200" w:type="dxa"/>
            <w:vAlign w:val="bottom"/>
            <w:tcBorders>
              <w:left w:val="single" w:sz="8" w:color="CCEEFF"/>
              <w:right w:val="single" w:sz="8" w:color="CCEEFF"/>
            </w:tcBorders>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80" w:type="dxa"/>
            <w:vAlign w:val="bottom"/>
            <w:tcBorders>
              <w:left w:val="single" w:sz="8" w:color="CCEEFF"/>
            </w:tcBorders>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700" w:type="dxa"/>
            <w:vAlign w:val="bottom"/>
            <w:tcBorders>
              <w:right w:val="single" w:sz="8" w:color="CCEEFF"/>
            </w:tcBorders>
            <w:shd w:val="clear" w:color="auto" w:fill="CCEEFF"/>
          </w:tcPr>
          <w:p>
            <w:pPr>
              <w:spacing w:after="0"/>
              <w:rPr>
                <w:sz w:val="15"/>
                <w:szCs w:val="15"/>
                <w:color w:val="auto"/>
              </w:rPr>
            </w:pPr>
          </w:p>
        </w:tc>
        <w:tc>
          <w:tcPr>
            <w:tcW w:w="200" w:type="dxa"/>
            <w:vAlign w:val="bottom"/>
            <w:tcBorders>
              <w:left w:val="single" w:sz="8" w:color="CCEEFF"/>
              <w:right w:val="single" w:sz="8" w:color="CCEEFF"/>
            </w:tcBorders>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tcBorders>
              <w:right w:val="single" w:sz="8" w:color="CCEEFF"/>
            </w:tcBorders>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tcBorders>
              <w:right w:val="single" w:sz="8" w:color="CCEEFF"/>
            </w:tcBorders>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0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non-controlling interest</w:t>
            </w:r>
          </w:p>
        </w:tc>
        <w:tc>
          <w:tcPr>
            <w:tcW w:w="200" w:type="dxa"/>
            <w:vAlign w:val="bottom"/>
            <w:tcBorders>
              <w:left w:val="single" w:sz="8" w:color="CCEEFF"/>
              <w:right w:val="single" w:sz="8" w:color="CCEEFF"/>
            </w:tcBorders>
            <w:shd w:val="clear" w:color="auto" w:fill="CCEEFF"/>
          </w:tcPr>
          <w:p>
            <w:pPr>
              <w:spacing w:after="0"/>
              <w:rPr>
                <w:sz w:val="19"/>
                <w:szCs w:val="19"/>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left w:val="single" w:sz="8" w:color="CCEEFF"/>
            </w:tcBorders>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left w:val="single" w:sz="8" w:color="CCEEFF"/>
              <w:right w:val="single" w:sz="8" w:color="CCEEFF"/>
            </w:tcBorders>
            <w:shd w:val="clear" w:color="auto" w:fill="CCEEFF"/>
          </w:tcPr>
          <w:p>
            <w:pPr>
              <w:spacing w:after="0"/>
              <w:rPr>
                <w:sz w:val="19"/>
                <w:szCs w:val="19"/>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(1,406)</w:t>
            </w:r>
          </w:p>
        </w:tc>
        <w:tc>
          <w:tcPr>
            <w:tcW w:w="12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00" w:type="dxa"/>
            <w:vAlign w:val="bottom"/>
          </w:tcPr>
          <w:p>
            <w:pPr>
              <w:ind w:left="100"/>
              <w:spacing w:after="0" w:line="181" w:lineRule="exact"/>
              <w:rPr>
                <w:sz w:val="20"/>
                <w:szCs w:val="20"/>
                <w:color w:val="auto"/>
              </w:rPr>
            </w:pPr>
            <w:r>
              <w:rPr>
                <w:rFonts w:ascii="Times New Roman" w:cs="Times New Roman" w:eastAsia="Times New Roman" w:hAnsi="Times New Roman"/>
                <w:sz w:val="17"/>
                <w:szCs w:val="17"/>
                <w:color w:val="auto"/>
              </w:rPr>
              <w:t>Issuance of restricted</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stock, net of forfeitures</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25,016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00" w:type="dxa"/>
            <w:vAlign w:val="bottom"/>
            <w:tcBorders>
              <w:right w:val="single" w:sz="8" w:color="CCEEFF"/>
            </w:tcBorders>
            <w:shd w:val="clear" w:color="auto" w:fill="CCEEFF"/>
          </w:tcPr>
          <w:p>
            <w:pPr>
              <w:ind w:left="100"/>
              <w:spacing w:after="0" w:line="182" w:lineRule="exact"/>
              <w:rPr>
                <w:sz w:val="20"/>
                <w:szCs w:val="20"/>
                <w:color w:val="auto"/>
              </w:rPr>
            </w:pPr>
            <w:r>
              <w:rPr>
                <w:rFonts w:ascii="Times New Roman" w:cs="Times New Roman" w:eastAsia="Times New Roman" w:hAnsi="Times New Roman"/>
                <w:sz w:val="17"/>
                <w:szCs w:val="17"/>
                <w:color w:val="auto"/>
              </w:rPr>
              <w:t>Repurchase of restricted</w:t>
            </w:r>
          </w:p>
        </w:tc>
        <w:tc>
          <w:tcPr>
            <w:tcW w:w="200" w:type="dxa"/>
            <w:vAlign w:val="bottom"/>
            <w:tcBorders>
              <w:left w:val="single" w:sz="8" w:color="CCEEFF"/>
              <w:right w:val="single" w:sz="8" w:color="CCEEFF"/>
            </w:tcBorders>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80" w:type="dxa"/>
            <w:vAlign w:val="bottom"/>
            <w:tcBorders>
              <w:left w:val="single" w:sz="8" w:color="CCEEFF"/>
            </w:tcBorders>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700" w:type="dxa"/>
            <w:vAlign w:val="bottom"/>
            <w:tcBorders>
              <w:right w:val="single" w:sz="8" w:color="CCEEFF"/>
            </w:tcBorders>
            <w:shd w:val="clear" w:color="auto" w:fill="CCEEFF"/>
          </w:tcPr>
          <w:p>
            <w:pPr>
              <w:spacing w:after="0"/>
              <w:rPr>
                <w:sz w:val="15"/>
                <w:szCs w:val="15"/>
                <w:color w:val="auto"/>
              </w:rPr>
            </w:pPr>
          </w:p>
        </w:tc>
        <w:tc>
          <w:tcPr>
            <w:tcW w:w="200" w:type="dxa"/>
            <w:vAlign w:val="bottom"/>
            <w:tcBorders>
              <w:left w:val="single" w:sz="8" w:color="CCEEFF"/>
              <w:right w:val="single" w:sz="8" w:color="CCEEFF"/>
            </w:tcBorders>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tcBorders>
              <w:right w:val="single" w:sz="8" w:color="CCEEFF"/>
            </w:tcBorders>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tcBorders>
              <w:right w:val="single" w:sz="8" w:color="CCEEFF"/>
            </w:tcBorders>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0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stock withheld for taxes</w:t>
            </w:r>
          </w:p>
        </w:tc>
        <w:tc>
          <w:tcPr>
            <w:tcW w:w="200" w:type="dxa"/>
            <w:vAlign w:val="bottom"/>
            <w:tcBorders>
              <w:left w:val="single" w:sz="8" w:color="CCEEFF"/>
              <w:right w:val="single" w:sz="8" w:color="CCEEFF"/>
            </w:tcBorders>
            <w:shd w:val="clear" w:color="auto" w:fill="CCEEFF"/>
          </w:tcPr>
          <w:p>
            <w:pPr>
              <w:spacing w:after="0"/>
              <w:rPr>
                <w:sz w:val="19"/>
                <w:szCs w:val="19"/>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(4,835)</w:t>
            </w:r>
          </w:p>
        </w:tc>
        <w:tc>
          <w:tcPr>
            <w:tcW w:w="80" w:type="dxa"/>
            <w:vAlign w:val="bottom"/>
            <w:tcBorders>
              <w:left w:val="single" w:sz="8" w:color="CCEEFF"/>
            </w:tcBorders>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left w:val="single" w:sz="8" w:color="CCEEFF"/>
              <w:right w:val="single" w:sz="8" w:color="CCEEFF"/>
            </w:tcBorders>
            <w:shd w:val="clear" w:color="auto" w:fill="CCEEFF"/>
          </w:tcPr>
          <w:p>
            <w:pPr>
              <w:spacing w:after="0"/>
              <w:rPr>
                <w:sz w:val="19"/>
                <w:szCs w:val="19"/>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w:t>
            </w:r>
          </w:p>
        </w:tc>
        <w:tc>
          <w:tcPr>
            <w:tcW w:w="1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00" w:type="dxa"/>
            <w:vAlign w:val="bottom"/>
          </w:tcPr>
          <w:p>
            <w:pPr>
              <w:ind w:left="100"/>
              <w:spacing w:after="0" w:line="181" w:lineRule="exact"/>
              <w:rPr>
                <w:sz w:val="20"/>
                <w:szCs w:val="20"/>
                <w:color w:val="auto"/>
              </w:rPr>
            </w:pPr>
            <w:r>
              <w:rPr>
                <w:rFonts w:ascii="Times New Roman" w:cs="Times New Roman" w:eastAsia="Times New Roman" w:hAnsi="Times New Roman"/>
                <w:sz w:val="17"/>
                <w:szCs w:val="17"/>
                <w:color w:val="auto"/>
              </w:rPr>
              <w:t>Stock based compensation</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expense</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1,028</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00" w:type="dxa"/>
            <w:vAlign w:val="bottom"/>
            <w:tcBorders>
              <w:right w:val="single" w:sz="8" w:color="CCEEFF"/>
            </w:tcBorders>
            <w:shd w:val="clear" w:color="auto" w:fill="CCEEFF"/>
          </w:tcPr>
          <w:p>
            <w:pPr>
              <w:ind w:left="100"/>
              <w:spacing w:after="0" w:line="182" w:lineRule="exact"/>
              <w:rPr>
                <w:sz w:val="20"/>
                <w:szCs w:val="20"/>
                <w:color w:val="auto"/>
              </w:rPr>
            </w:pPr>
            <w:r>
              <w:rPr>
                <w:rFonts w:ascii="Times New Roman" w:cs="Times New Roman" w:eastAsia="Times New Roman" w:hAnsi="Times New Roman"/>
                <w:sz w:val="17"/>
                <w:szCs w:val="17"/>
                <w:color w:val="auto"/>
              </w:rPr>
              <w:t>Repurchase of common</w:t>
            </w:r>
          </w:p>
        </w:tc>
        <w:tc>
          <w:tcPr>
            <w:tcW w:w="200" w:type="dxa"/>
            <w:vAlign w:val="bottom"/>
            <w:tcBorders>
              <w:left w:val="single" w:sz="8" w:color="CCEEFF"/>
              <w:right w:val="single" w:sz="8" w:color="CCEEFF"/>
            </w:tcBorders>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80" w:type="dxa"/>
            <w:vAlign w:val="bottom"/>
            <w:tcBorders>
              <w:left w:val="single" w:sz="8" w:color="CCEEFF"/>
            </w:tcBorders>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700" w:type="dxa"/>
            <w:vAlign w:val="bottom"/>
            <w:tcBorders>
              <w:right w:val="single" w:sz="8" w:color="CCEEFF"/>
            </w:tcBorders>
            <w:shd w:val="clear" w:color="auto" w:fill="CCEEFF"/>
          </w:tcPr>
          <w:p>
            <w:pPr>
              <w:spacing w:after="0"/>
              <w:rPr>
                <w:sz w:val="15"/>
                <w:szCs w:val="15"/>
                <w:color w:val="auto"/>
              </w:rPr>
            </w:pPr>
          </w:p>
        </w:tc>
        <w:tc>
          <w:tcPr>
            <w:tcW w:w="200" w:type="dxa"/>
            <w:vAlign w:val="bottom"/>
            <w:tcBorders>
              <w:left w:val="single" w:sz="8" w:color="CCEEFF"/>
              <w:right w:val="single" w:sz="8" w:color="CCEEFF"/>
            </w:tcBorders>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tcBorders>
              <w:right w:val="single" w:sz="8" w:color="CCEEFF"/>
            </w:tcBorders>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tcBorders>
              <w:right w:val="single" w:sz="8" w:color="CCEEFF"/>
            </w:tcBorders>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0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stock, including excise tax</w:t>
            </w:r>
          </w:p>
        </w:tc>
        <w:tc>
          <w:tcPr>
            <w:tcW w:w="200" w:type="dxa"/>
            <w:vAlign w:val="bottom"/>
            <w:tcBorders>
              <w:left w:val="single" w:sz="8" w:color="CCEEFF"/>
              <w:right w:val="single" w:sz="8" w:color="CCEEFF"/>
            </w:tcBorders>
            <w:shd w:val="clear" w:color="auto" w:fill="CCEEFF"/>
          </w:tcPr>
          <w:p>
            <w:pPr>
              <w:spacing w:after="0"/>
              <w:rPr>
                <w:sz w:val="19"/>
                <w:szCs w:val="19"/>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(988,637)</w:t>
            </w:r>
          </w:p>
        </w:tc>
        <w:tc>
          <w:tcPr>
            <w:tcW w:w="80" w:type="dxa"/>
            <w:vAlign w:val="bottom"/>
            <w:tcBorders>
              <w:left w:val="single" w:sz="8" w:color="CCEEFF"/>
            </w:tcBorders>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left w:val="single" w:sz="8" w:color="CCEEFF"/>
              <w:right w:val="single" w:sz="8" w:color="CCEEFF"/>
            </w:tcBorders>
            <w:shd w:val="clear" w:color="auto" w:fill="CCEEFF"/>
          </w:tcPr>
          <w:p>
            <w:pPr>
              <w:spacing w:after="0"/>
              <w:rPr>
                <w:sz w:val="19"/>
                <w:szCs w:val="19"/>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(65,544)</w:t>
            </w:r>
          </w:p>
        </w:tc>
        <w:tc>
          <w:tcPr>
            <w:tcW w:w="1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(65,544)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00" w:type="dxa"/>
            <w:vAlign w:val="bottom"/>
          </w:tcPr>
          <w:p>
            <w:pPr>
              <w:ind w:left="100"/>
              <w:spacing w:after="0" w:line="181" w:lineRule="exact"/>
              <w:rPr>
                <w:sz w:val="20"/>
                <w:szCs w:val="20"/>
                <w:color w:val="auto"/>
              </w:rPr>
            </w:pPr>
            <w:r>
              <w:rPr>
                <w:rFonts w:ascii="Times New Roman" w:cs="Times New Roman" w:eastAsia="Times New Roman" w:hAnsi="Times New Roman"/>
                <w:sz w:val="17"/>
                <w:szCs w:val="17"/>
                <w:color w:val="auto"/>
              </w:rPr>
              <w:t>Dividends ($0.48 per</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share)</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(27,419)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(27,419)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00" w:type="dxa"/>
            <w:vAlign w:val="bottom"/>
            <w:tcBorders>
              <w:right w:val="single" w:sz="8" w:color="CCEEFF"/>
            </w:tcBorders>
            <w:shd w:val="clear" w:color="auto" w:fill="CCEEFF"/>
          </w:tcPr>
          <w:p>
            <w:pPr>
              <w:ind w:left="100"/>
              <w:spacing w:after="0" w:line="182" w:lineRule="exact"/>
              <w:rPr>
                <w:sz w:val="20"/>
                <w:szCs w:val="20"/>
                <w:color w:val="auto"/>
              </w:rPr>
            </w:pPr>
            <w:r>
              <w:rPr>
                <w:rFonts w:ascii="Times New Roman" w:cs="Times New Roman" w:eastAsia="Times New Roman" w:hAnsi="Times New Roman"/>
                <w:sz w:val="17"/>
                <w:szCs w:val="17"/>
                <w:color w:val="auto"/>
              </w:rPr>
              <w:t>Other comprehensive loss,</w:t>
            </w:r>
          </w:p>
        </w:tc>
        <w:tc>
          <w:tcPr>
            <w:tcW w:w="200" w:type="dxa"/>
            <w:vAlign w:val="bottom"/>
            <w:tcBorders>
              <w:left w:val="single" w:sz="8" w:color="CCEEFF"/>
              <w:right w:val="single" w:sz="8" w:color="CCEEFF"/>
            </w:tcBorders>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80" w:type="dxa"/>
            <w:vAlign w:val="bottom"/>
            <w:tcBorders>
              <w:left w:val="single" w:sz="8" w:color="CCEEFF"/>
            </w:tcBorders>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700" w:type="dxa"/>
            <w:vAlign w:val="bottom"/>
            <w:tcBorders>
              <w:right w:val="single" w:sz="8" w:color="CCEEFF"/>
            </w:tcBorders>
            <w:shd w:val="clear" w:color="auto" w:fill="CCEEFF"/>
          </w:tcPr>
          <w:p>
            <w:pPr>
              <w:spacing w:after="0"/>
              <w:rPr>
                <w:sz w:val="15"/>
                <w:szCs w:val="15"/>
                <w:color w:val="auto"/>
              </w:rPr>
            </w:pPr>
          </w:p>
        </w:tc>
        <w:tc>
          <w:tcPr>
            <w:tcW w:w="200" w:type="dxa"/>
            <w:vAlign w:val="bottom"/>
            <w:tcBorders>
              <w:left w:val="single" w:sz="8" w:color="CCEEFF"/>
              <w:right w:val="single" w:sz="8" w:color="CCEEFF"/>
            </w:tcBorders>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tcBorders>
              <w:right w:val="single" w:sz="8" w:color="CCEEFF"/>
            </w:tcBorders>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tcBorders>
              <w:right w:val="single" w:sz="8" w:color="CCEEFF"/>
            </w:tcBorders>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0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net of tax</w:t>
            </w:r>
          </w:p>
        </w:tc>
        <w:tc>
          <w:tcPr>
            <w:tcW w:w="200" w:type="dxa"/>
            <w:vAlign w:val="bottom"/>
            <w:tcBorders>
              <w:left w:val="single" w:sz="8" w:color="CCEEFF"/>
              <w:right w:val="single" w:sz="8" w:color="CCEEFF"/>
            </w:tcBorders>
            <w:shd w:val="clear" w:color="auto" w:fill="CCEEFF"/>
          </w:tcPr>
          <w:p>
            <w:pPr>
              <w:spacing w:after="0"/>
              <w:rPr>
                <w:sz w:val="19"/>
                <w:szCs w:val="19"/>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left w:val="single" w:sz="8" w:color="CCEEFF"/>
            </w:tcBorders>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left w:val="single" w:sz="8" w:color="CCEEFF"/>
              <w:right w:val="single" w:sz="8" w:color="CCEEFF"/>
            </w:tcBorders>
            <w:shd w:val="clear" w:color="auto" w:fill="CCEEFF"/>
          </w:tcPr>
          <w:p>
            <w:pPr>
              <w:spacing w:after="0"/>
              <w:rPr>
                <w:sz w:val="19"/>
                <w:szCs w:val="19"/>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w:t>
            </w:r>
          </w:p>
        </w:tc>
        <w:tc>
          <w:tcPr>
            <w:tcW w:w="1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12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Net income</w:t>
            </w:r>
          </w:p>
        </w:tc>
        <w:tc>
          <w:tcPr>
            <w:tcW w:w="20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91,332</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91,333</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000" w:type="dxa"/>
            <w:vAlign w:val="bottom"/>
            <w:tcBorders>
              <w:right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7"/>
                <w:szCs w:val="17"/>
                <w:b w:val="1"/>
                <w:bCs w:val="1"/>
                <w:color w:val="auto"/>
              </w:rPr>
              <w:t>Balance at</w:t>
            </w:r>
          </w:p>
        </w:tc>
        <w:tc>
          <w:tcPr>
            <w:tcW w:w="920" w:type="dxa"/>
            <w:vAlign w:val="bottom"/>
            <w:tcBorders>
              <w:left w:val="single" w:sz="8" w:color="CCEEFF"/>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56,578,851</w:t>
            </w:r>
          </w:p>
        </w:tc>
        <w:tc>
          <w:tcPr>
            <w:tcW w:w="300" w:type="dxa"/>
            <w:vAlign w:val="bottom"/>
            <w:tcBorders>
              <w:left w:val="single" w:sz="8" w:color="CCEEFF"/>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7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230,534</w:t>
            </w:r>
          </w:p>
        </w:tc>
        <w:tc>
          <w:tcPr>
            <w:tcW w:w="920" w:type="dxa"/>
            <w:vAlign w:val="bottom"/>
            <w:tcBorders>
              <w:left w:val="single" w:sz="8" w:color="CCEEFF"/>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$ 600,103</w:t>
            </w:r>
          </w:p>
        </w:tc>
        <w:tc>
          <w:tcPr>
            <w:tcW w:w="24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356</w:t>
            </w:r>
          </w:p>
        </w:tc>
        <w:tc>
          <w:tcPr>
            <w:tcW w:w="900" w:type="dxa"/>
            <w:vAlign w:val="bottom"/>
            <w:tcBorders>
              <w:right w:val="single" w:sz="8" w:color="CCEEFF"/>
            </w:tcBorders>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 (65,877)</w:t>
            </w:r>
          </w:p>
        </w:tc>
        <w:tc>
          <w:tcPr>
            <w:tcW w:w="22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7,846</w:t>
            </w:r>
          </w:p>
        </w:tc>
        <w:tc>
          <w:tcPr>
            <w:tcW w:w="26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7"/>
                <w:szCs w:val="17"/>
                <w:b w:val="1"/>
                <w:bCs w:val="1"/>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772,962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0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September 30, 2026</w:t>
            </w:r>
          </w:p>
        </w:tc>
        <w:tc>
          <w:tcPr>
            <w:tcW w:w="920" w:type="dxa"/>
            <w:vAlign w:val="bottom"/>
            <w:tcBorders>
              <w:left w:val="single" w:sz="8" w:color="CCEEFF"/>
              <w:right w:val="single" w:sz="8" w:color="CCEEFF"/>
            </w:tcBorders>
            <w:gridSpan w:val="2"/>
            <w:vMerge w:val="continue"/>
            <w:shd w:val="clear" w:color="auto" w:fill="CCEEFF"/>
          </w:tcPr>
          <w:p>
            <w:pPr>
              <w:spacing w:after="0"/>
              <w:rPr>
                <w:sz w:val="18"/>
                <w:szCs w:val="18"/>
                <w:color w:val="auto"/>
              </w:rPr>
            </w:pPr>
          </w:p>
        </w:tc>
        <w:tc>
          <w:tcPr>
            <w:tcW w:w="300" w:type="dxa"/>
            <w:vAlign w:val="bottom"/>
            <w:tcBorders>
              <w:left w:val="single" w:sz="8" w:color="CCEEFF"/>
              <w:right w:val="single" w:sz="8" w:color="CCEEFF"/>
            </w:tcBorders>
            <w:gridSpan w:val="2"/>
            <w:vMerge w:val="continue"/>
            <w:shd w:val="clear" w:color="auto" w:fill="CCEEFF"/>
          </w:tcPr>
          <w:p>
            <w:pPr>
              <w:spacing w:after="0"/>
              <w:rPr>
                <w:sz w:val="18"/>
                <w:szCs w:val="18"/>
                <w:color w:val="auto"/>
              </w:rPr>
            </w:pPr>
          </w:p>
        </w:tc>
        <w:tc>
          <w:tcPr>
            <w:tcW w:w="700" w:type="dxa"/>
            <w:vAlign w:val="bottom"/>
            <w:tcBorders>
              <w:right w:val="single" w:sz="8" w:color="CCEEFF"/>
            </w:tcBorders>
            <w:vMerge w:val="continue"/>
            <w:shd w:val="clear" w:color="auto" w:fill="CCEEFF"/>
          </w:tcPr>
          <w:p>
            <w:pPr>
              <w:spacing w:after="0"/>
              <w:rPr>
                <w:sz w:val="18"/>
                <w:szCs w:val="18"/>
                <w:color w:val="auto"/>
              </w:rPr>
            </w:pPr>
          </w:p>
        </w:tc>
        <w:tc>
          <w:tcPr>
            <w:tcW w:w="920" w:type="dxa"/>
            <w:vAlign w:val="bottom"/>
            <w:tcBorders>
              <w:left w:val="single" w:sz="8" w:color="CCEEFF"/>
              <w:right w:val="single" w:sz="8" w:color="CCEEFF"/>
            </w:tcBorders>
            <w:gridSpan w:val="2"/>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900" w:type="dxa"/>
            <w:vAlign w:val="bottom"/>
            <w:tcBorders>
              <w:right w:val="single" w:sz="8" w:color="CCEEFF"/>
            </w:tcBorders>
            <w:gridSpan w:val="3"/>
            <w:vMerge w:val="continue"/>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1060" w:type="dxa"/>
            <w:vAlign w:val="bottom"/>
            <w:tcBorders>
              <w:right w:val="single" w:sz="8" w:color="CCEEFF"/>
            </w:tcBorders>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0"/>
        </w:trPr>
        <w:tc>
          <w:tcPr>
            <w:tcW w:w="20" w:type="dxa"/>
            <w:vAlign w:val="bottom"/>
          </w:tcPr>
          <w:p>
            <w:pPr>
              <w:spacing w:after="0"/>
              <w:rPr>
                <w:sz w:val="24"/>
                <w:szCs w:val="24"/>
                <w:color w:val="auto"/>
              </w:rPr>
            </w:pPr>
          </w:p>
        </w:tc>
        <w:tc>
          <w:tcPr>
            <w:tcW w:w="2000" w:type="dxa"/>
            <w:vAlign w:val="bottom"/>
          </w:tcPr>
          <w:p>
            <w:pPr>
              <w:ind w:left="190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24"/>
                <w:szCs w:val="24"/>
                <w:color w:val="auto"/>
              </w:rPr>
            </w:pPr>
          </w:p>
        </w:tc>
        <w:tc>
          <w:tcPr>
            <w:tcW w:w="720" w:type="dxa"/>
            <w:vAlign w:val="bottom"/>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700" w:type="dxa"/>
            <w:vAlign w:val="bottom"/>
          </w:tcPr>
          <w:p>
            <w:pPr>
              <w:spacing w:after="0"/>
              <w:rPr>
                <w:sz w:val="24"/>
                <w:szCs w:val="24"/>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660" w:type="dxa"/>
            <w:vAlign w:val="bottom"/>
          </w:tcPr>
          <w:p>
            <w:pPr>
              <w:spacing w:after="0"/>
              <w:rPr>
                <w:sz w:val="24"/>
                <w:szCs w:val="24"/>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gridSpan w:val="4"/>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920" w:type="dxa"/>
            <w:vAlign w:val="bottom"/>
            <w:tcBorders>
              <w:top w:val="single" w:sz="8" w:color="auto"/>
            </w:tcBorders>
            <w:gridSpan w:val="2"/>
          </w:tcPr>
          <w:p>
            <w:pPr>
              <w:jc w:val="right"/>
              <w:ind w:right="38"/>
              <w:spacing w:after="0" w:line="131"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ind w:right="36"/>
              <w:spacing w:after="0" w:line="131"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160"/>
              <w:spacing w:after="0" w:line="131"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16"/>
              <w:spacing w:after="0" w:line="131" w:lineRule="exact"/>
              <w:rPr>
                <w:sz w:val="20"/>
                <w:szCs w:val="20"/>
                <w:color w:val="auto"/>
              </w:rPr>
            </w:pPr>
            <w:r>
              <w:rPr>
                <w:rFonts w:ascii="Times New Roman" w:cs="Times New Roman" w:eastAsia="Times New Roman" w:hAnsi="Times New Roman"/>
                <w:sz w:val="14"/>
                <w:szCs w:val="14"/>
                <w:b w:val="1"/>
                <w:bCs w:val="1"/>
                <w:color w:val="auto"/>
                <w:w w:val="97"/>
              </w:rPr>
              <w:t>Treasury</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000" w:type="dxa"/>
            <w:vAlign w:val="bottom"/>
          </w:tcPr>
          <w:p>
            <w:pPr>
              <w:ind w:left="19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720" w:type="dxa"/>
            <w:vAlign w:val="bottom"/>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Borders>
              <w:right w:val="single" w:sz="8" w:color="CCEEFF"/>
            </w:tcBorders>
            <w:vMerge w:val="restart"/>
            <w:shd w:val="clear" w:color="auto" w:fill="CCEEFF"/>
          </w:tcPr>
          <w:p>
            <w:pPr>
              <w:spacing w:after="0" w:line="176" w:lineRule="exact"/>
              <w:rPr>
                <w:sz w:val="20"/>
                <w:szCs w:val="20"/>
                <w:color w:val="auto"/>
              </w:rPr>
            </w:pPr>
            <w:r>
              <w:rPr>
                <w:rFonts w:ascii="Times New Roman" w:cs="Times New Roman" w:eastAsia="Times New Roman" w:hAnsi="Times New Roman"/>
                <w:sz w:val="17"/>
                <w:szCs w:val="17"/>
                <w:b w:val="1"/>
                <w:bCs w:val="1"/>
                <w:color w:val="auto"/>
              </w:rPr>
              <w:t>Balance at</w:t>
            </w:r>
          </w:p>
        </w:tc>
        <w:tc>
          <w:tcPr>
            <w:tcW w:w="2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2000" w:type="dxa"/>
            <w:vAlign w:val="bottom"/>
            <w:tcBorders>
              <w:right w:val="single" w:sz="8" w:color="CCEEFF"/>
            </w:tcBorders>
            <w:vMerge w:val="continue"/>
            <w:shd w:val="clear" w:color="auto" w:fill="CCEEFF"/>
          </w:tcPr>
          <w:p>
            <w:pPr>
              <w:spacing w:after="0"/>
              <w:rPr>
                <w:sz w:val="13"/>
                <w:szCs w:val="13"/>
                <w:color w:val="auto"/>
              </w:rPr>
            </w:pPr>
          </w:p>
        </w:tc>
        <w:tc>
          <w:tcPr>
            <w:tcW w:w="920" w:type="dxa"/>
            <w:vAlign w:val="bottom"/>
            <w:tcBorders>
              <w:left w:val="single" w:sz="8" w:color="CCEEFF"/>
              <w:right w:val="single" w:sz="8" w:color="CCEEFF"/>
            </w:tcBorders>
            <w:gridSpan w:val="2"/>
            <w:vMerge w:val="restart"/>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w w:val="96"/>
              </w:rPr>
              <w:t>58,326,521</w:t>
            </w:r>
          </w:p>
        </w:tc>
        <w:tc>
          <w:tcPr>
            <w:tcW w:w="300" w:type="dxa"/>
            <w:vAlign w:val="bottom"/>
            <w:tcBorders>
              <w:left w:val="single" w:sz="8" w:color="CCEEFF"/>
              <w:right w:val="single" w:sz="8" w:color="CCEEFF"/>
            </w:tcBorders>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right w:val="single" w:sz="8" w:color="CCEEFF"/>
            </w:tcBorders>
            <w:vMerge w:val="restart"/>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w w:val="88"/>
              </w:rPr>
              <w:t>268,668</w:t>
            </w:r>
          </w:p>
        </w:tc>
        <w:tc>
          <w:tcPr>
            <w:tcW w:w="920" w:type="dxa"/>
            <w:vAlign w:val="bottom"/>
            <w:tcBorders>
              <w:left w:val="single" w:sz="8" w:color="CCEEFF"/>
              <w:right w:val="single" w:sz="8" w:color="CCEEFF"/>
            </w:tcBorders>
            <w:gridSpan w:val="2"/>
            <w:vMerge w:val="restart"/>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$ 454,193</w:t>
            </w:r>
          </w:p>
        </w:tc>
        <w:tc>
          <w:tcPr>
            <w:tcW w:w="24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1,419</w:t>
            </w:r>
          </w:p>
        </w:tc>
        <w:tc>
          <w:tcPr>
            <w:tcW w:w="80" w:type="dxa"/>
            <w:vAlign w:val="bottom"/>
            <w:shd w:val="clear" w:color="auto" w:fill="CCEEFF"/>
          </w:tcPr>
          <w:p>
            <w:pPr>
              <w:spacing w:after="0"/>
              <w:rPr>
                <w:sz w:val="13"/>
                <w:szCs w:val="13"/>
                <w:color w:val="auto"/>
              </w:rPr>
            </w:pPr>
          </w:p>
        </w:tc>
        <w:tc>
          <w:tcPr>
            <w:tcW w:w="24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right w:val="single" w:sz="8" w:color="CCEEFF"/>
            </w:tcBorders>
            <w:vMerge w:val="restart"/>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right w:val="single" w:sz="8" w:color="CCEEFF"/>
            </w:tcBorders>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12,455</w:t>
            </w:r>
          </w:p>
        </w:tc>
        <w:tc>
          <w:tcPr>
            <w:tcW w:w="26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736,735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0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920" w:type="dxa"/>
            <w:vAlign w:val="bottom"/>
            <w:tcBorders>
              <w:left w:val="single" w:sz="8" w:color="CCEEFF"/>
              <w:right w:val="single" w:sz="8" w:color="CCEEFF"/>
            </w:tcBorders>
            <w:gridSpan w:val="2"/>
            <w:vMerge w:val="continue"/>
            <w:shd w:val="clear" w:color="auto" w:fill="CCEEFF"/>
          </w:tcPr>
          <w:p>
            <w:pPr>
              <w:spacing w:after="0"/>
              <w:rPr>
                <w:sz w:val="18"/>
                <w:szCs w:val="18"/>
                <w:color w:val="auto"/>
              </w:rPr>
            </w:pPr>
          </w:p>
        </w:tc>
        <w:tc>
          <w:tcPr>
            <w:tcW w:w="300" w:type="dxa"/>
            <w:vAlign w:val="bottom"/>
            <w:tcBorders>
              <w:left w:val="single" w:sz="8" w:color="CCEEFF"/>
              <w:right w:val="single" w:sz="8" w:color="CCEEFF"/>
            </w:tcBorders>
            <w:gridSpan w:val="2"/>
            <w:vMerge w:val="continue"/>
            <w:shd w:val="clear" w:color="auto" w:fill="CCEEFF"/>
          </w:tcPr>
          <w:p>
            <w:pPr>
              <w:spacing w:after="0"/>
              <w:rPr>
                <w:sz w:val="18"/>
                <w:szCs w:val="18"/>
                <w:color w:val="auto"/>
              </w:rPr>
            </w:pPr>
          </w:p>
        </w:tc>
        <w:tc>
          <w:tcPr>
            <w:tcW w:w="700" w:type="dxa"/>
            <w:vAlign w:val="bottom"/>
            <w:tcBorders>
              <w:right w:val="single" w:sz="8" w:color="CCEEFF"/>
            </w:tcBorders>
            <w:vMerge w:val="continue"/>
            <w:shd w:val="clear" w:color="auto" w:fill="CCEEFF"/>
          </w:tcPr>
          <w:p>
            <w:pPr>
              <w:spacing w:after="0"/>
              <w:rPr>
                <w:sz w:val="18"/>
                <w:szCs w:val="18"/>
                <w:color w:val="auto"/>
              </w:rPr>
            </w:pPr>
          </w:p>
        </w:tc>
        <w:tc>
          <w:tcPr>
            <w:tcW w:w="920" w:type="dxa"/>
            <w:vAlign w:val="bottom"/>
            <w:tcBorders>
              <w:left w:val="single" w:sz="8" w:color="CCEEFF"/>
              <w:right w:val="single" w:sz="8" w:color="CCEEFF"/>
            </w:tcBorders>
            <w:gridSpan w:val="2"/>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660" w:type="dxa"/>
            <w:vAlign w:val="bottom"/>
            <w:tcBorders>
              <w:right w:val="single" w:sz="8" w:color="CCEEFF"/>
            </w:tcBorders>
            <w:vMerge w:val="continue"/>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1060" w:type="dxa"/>
            <w:vAlign w:val="bottom"/>
            <w:tcBorders>
              <w:right w:val="single" w:sz="8" w:color="CCEEFF"/>
            </w:tcBorders>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Borders>
              <w:top w:val="single" w:sz="8" w:color="CCEEFF"/>
              <w:bottom w:val="single" w:sz="8" w:color="CCEEFF"/>
            </w:tcBorders>
            <w:vMerge w:val="restart"/>
          </w:tcPr>
          <w:p>
            <w:pPr>
              <w:ind w:left="100"/>
              <w:spacing w:after="0" w:line="174" w:lineRule="exact"/>
              <w:rPr>
                <w:sz w:val="20"/>
                <w:szCs w:val="20"/>
                <w:color w:val="auto"/>
              </w:rPr>
            </w:pPr>
            <w:r>
              <w:rPr>
                <w:rFonts w:ascii="Times New Roman" w:cs="Times New Roman" w:eastAsia="Times New Roman" w:hAnsi="Times New Roman"/>
                <w:sz w:val="17"/>
                <w:szCs w:val="17"/>
                <w:color w:val="auto"/>
              </w:rPr>
              <w:t>Capital distributions to</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0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vMerge w:val="restart"/>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vMerge w:val="restart"/>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1"/>
                <w:szCs w:val="11"/>
                <w:color w:val="auto"/>
              </w:rPr>
            </w:pPr>
          </w:p>
        </w:tc>
        <w:tc>
          <w:tcPr>
            <w:tcW w:w="720" w:type="dxa"/>
            <w:vAlign w:val="bottom"/>
            <w:vMerge w:val="restart"/>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(2,906)</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(2,906)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non-controlling interest</w:t>
            </w:r>
          </w:p>
        </w:tc>
        <w:tc>
          <w:tcPr>
            <w:tcW w:w="20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00" w:type="dxa"/>
            <w:vAlign w:val="bottom"/>
            <w:tcBorders>
              <w:right w:val="single" w:sz="8" w:color="CCEEFF"/>
            </w:tcBorders>
            <w:shd w:val="clear" w:color="auto" w:fill="CCEEFF"/>
          </w:tcPr>
          <w:p>
            <w:pPr>
              <w:ind w:left="100"/>
              <w:spacing w:after="0" w:line="181" w:lineRule="exact"/>
              <w:rPr>
                <w:sz w:val="20"/>
                <w:szCs w:val="20"/>
                <w:color w:val="auto"/>
              </w:rPr>
            </w:pPr>
            <w:r>
              <w:rPr>
                <w:rFonts w:ascii="Times New Roman" w:cs="Times New Roman" w:eastAsia="Times New Roman" w:hAnsi="Times New Roman"/>
                <w:sz w:val="17"/>
                <w:szCs w:val="17"/>
                <w:color w:val="auto"/>
              </w:rPr>
              <w:t>Issuance of restricted</w:t>
            </w:r>
          </w:p>
        </w:tc>
        <w:tc>
          <w:tcPr>
            <w:tcW w:w="200" w:type="dxa"/>
            <w:vAlign w:val="bottom"/>
            <w:tcBorders>
              <w:left w:val="single" w:sz="8" w:color="CCEEFF"/>
              <w:right w:val="single" w:sz="8" w:color="CCEEFF"/>
            </w:tcBorders>
            <w:shd w:val="clear" w:color="auto" w:fill="CCEEFF"/>
          </w:tcPr>
          <w:p>
            <w:pPr>
              <w:spacing w:after="0"/>
              <w:rPr>
                <w:sz w:val="15"/>
                <w:szCs w:val="15"/>
                <w:color w:val="auto"/>
              </w:rPr>
            </w:pPr>
          </w:p>
        </w:tc>
        <w:tc>
          <w:tcPr>
            <w:tcW w:w="720" w:type="dxa"/>
            <w:vAlign w:val="bottom"/>
            <w:tcBorders>
              <w:right w:val="single" w:sz="8" w:color="CCEEFF"/>
            </w:tcBorders>
            <w:vMerge w:val="restart"/>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19,408</w:t>
            </w:r>
          </w:p>
        </w:tc>
        <w:tc>
          <w:tcPr>
            <w:tcW w:w="80" w:type="dxa"/>
            <w:vAlign w:val="bottom"/>
            <w:tcBorders>
              <w:left w:val="single" w:sz="8" w:color="CCEEFF"/>
            </w:tcBorders>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700" w:type="dxa"/>
            <w:vAlign w:val="bottom"/>
            <w:tcBorders>
              <w:right w:val="single" w:sz="8" w:color="CCEEFF"/>
            </w:tcBorders>
            <w:vMerge w:val="restart"/>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left w:val="single" w:sz="8" w:color="CCEEFF"/>
              <w:right w:val="single" w:sz="8" w:color="CCEEFF"/>
            </w:tcBorders>
            <w:shd w:val="clear" w:color="auto" w:fill="CCEEFF"/>
          </w:tcPr>
          <w:p>
            <w:pPr>
              <w:spacing w:after="0"/>
              <w:rPr>
                <w:sz w:val="15"/>
                <w:szCs w:val="15"/>
                <w:color w:val="auto"/>
              </w:rPr>
            </w:pPr>
          </w:p>
        </w:tc>
        <w:tc>
          <w:tcPr>
            <w:tcW w:w="720" w:type="dxa"/>
            <w:vAlign w:val="bottom"/>
            <w:tcBorders>
              <w:right w:val="single" w:sz="8" w:color="CCEEFF"/>
            </w:tcBorders>
            <w:vMerge w:val="restart"/>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tcBorders>
              <w:right w:val="single" w:sz="8" w:color="CCEEFF"/>
            </w:tcBorders>
            <w:vMerge w:val="restart"/>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tcBorders>
              <w:right w:val="single" w:sz="8" w:color="CCEEFF"/>
            </w:tcBorders>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0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stock</w:t>
            </w:r>
          </w:p>
        </w:tc>
        <w:tc>
          <w:tcPr>
            <w:tcW w:w="200" w:type="dxa"/>
            <w:vAlign w:val="bottom"/>
            <w:tcBorders>
              <w:left w:val="single" w:sz="8" w:color="CCEEFF"/>
              <w:right w:val="single" w:sz="8" w:color="CCEEFF"/>
            </w:tcBorders>
            <w:shd w:val="clear" w:color="auto" w:fill="CCEEFF"/>
          </w:tcPr>
          <w:p>
            <w:pPr>
              <w:spacing w:after="0"/>
              <w:rPr>
                <w:sz w:val="19"/>
                <w:szCs w:val="19"/>
                <w:color w:val="auto"/>
              </w:rPr>
            </w:pPr>
          </w:p>
        </w:tc>
        <w:tc>
          <w:tcPr>
            <w:tcW w:w="720" w:type="dxa"/>
            <w:vAlign w:val="bottom"/>
            <w:tcBorders>
              <w:right w:val="single" w:sz="8" w:color="CCEEFF"/>
            </w:tcBorders>
            <w:vMerge w:val="continue"/>
            <w:shd w:val="clear" w:color="auto" w:fill="CCEEFF"/>
          </w:tcPr>
          <w:p>
            <w:pPr>
              <w:spacing w:after="0"/>
              <w:rPr>
                <w:sz w:val="19"/>
                <w:szCs w:val="19"/>
                <w:color w:val="auto"/>
              </w:rPr>
            </w:pPr>
          </w:p>
        </w:tc>
        <w:tc>
          <w:tcPr>
            <w:tcW w:w="80" w:type="dxa"/>
            <w:vAlign w:val="bottom"/>
            <w:tcBorders>
              <w:left w:val="single" w:sz="8" w:color="CCEEFF"/>
            </w:tcBorders>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700" w:type="dxa"/>
            <w:vAlign w:val="bottom"/>
            <w:tcBorders>
              <w:right w:val="single" w:sz="8" w:color="CCEEFF"/>
            </w:tcBorders>
            <w:vMerge w:val="continue"/>
            <w:shd w:val="clear" w:color="auto" w:fill="CCEEFF"/>
          </w:tcPr>
          <w:p>
            <w:pPr>
              <w:spacing w:after="0"/>
              <w:rPr>
                <w:sz w:val="19"/>
                <w:szCs w:val="19"/>
                <w:color w:val="auto"/>
              </w:rPr>
            </w:pPr>
          </w:p>
        </w:tc>
        <w:tc>
          <w:tcPr>
            <w:tcW w:w="200" w:type="dxa"/>
            <w:vAlign w:val="bottom"/>
            <w:tcBorders>
              <w:left w:val="single" w:sz="8" w:color="CCEEFF"/>
              <w:right w:val="single" w:sz="8" w:color="CCEEFF"/>
            </w:tcBorders>
            <w:shd w:val="clear" w:color="auto" w:fill="CCEEFF"/>
          </w:tcPr>
          <w:p>
            <w:pPr>
              <w:spacing w:after="0"/>
              <w:rPr>
                <w:sz w:val="19"/>
                <w:szCs w:val="19"/>
                <w:color w:val="auto"/>
              </w:rPr>
            </w:pPr>
          </w:p>
        </w:tc>
        <w:tc>
          <w:tcPr>
            <w:tcW w:w="720" w:type="dxa"/>
            <w:vAlign w:val="bottom"/>
            <w:tcBorders>
              <w:right w:val="single" w:sz="8" w:color="CCEEFF"/>
            </w:tcBorders>
            <w:vMerge w:val="continue"/>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tcBorders>
              <w:right w:val="single" w:sz="8" w:color="CCEEFF"/>
            </w:tcBorders>
            <w:vMerge w:val="continue"/>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tcBorders>
              <w:right w:val="single" w:sz="8" w:color="CCEEFF"/>
            </w:tcBorders>
            <w:vMerge w:val="continue"/>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00" w:type="dxa"/>
            <w:vAlign w:val="bottom"/>
          </w:tcPr>
          <w:p>
            <w:pPr>
              <w:ind w:left="100"/>
              <w:spacing w:after="0" w:line="181" w:lineRule="exact"/>
              <w:rPr>
                <w:sz w:val="20"/>
                <w:szCs w:val="20"/>
                <w:color w:val="auto"/>
              </w:rPr>
            </w:pPr>
            <w:r>
              <w:rPr>
                <w:rFonts w:ascii="Times New Roman" w:cs="Times New Roman" w:eastAsia="Times New Roman" w:hAnsi="Times New Roman"/>
                <w:sz w:val="17"/>
                <w:szCs w:val="17"/>
                <w:color w:val="auto"/>
              </w:rPr>
              <w:t>Stock based</w:t>
            </w:r>
          </w:p>
        </w:tc>
        <w:tc>
          <w:tcPr>
            <w:tcW w:w="200" w:type="dxa"/>
            <w:vAlign w:val="bottom"/>
          </w:tcPr>
          <w:p>
            <w:pPr>
              <w:spacing w:after="0"/>
              <w:rPr>
                <w:sz w:val="15"/>
                <w:szCs w:val="15"/>
                <w:color w:val="auto"/>
              </w:rPr>
            </w:pPr>
          </w:p>
        </w:tc>
        <w:tc>
          <w:tcPr>
            <w:tcW w:w="720" w:type="dxa"/>
            <w:vAlign w:val="bottom"/>
            <w:vMerge w:val="restart"/>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vMerge w:val="restart"/>
          </w:tcPr>
          <w:p>
            <w:pPr>
              <w:jc w:val="right"/>
              <w:ind w:right="75"/>
              <w:spacing w:after="0"/>
              <w:rPr>
                <w:sz w:val="20"/>
                <w:szCs w:val="20"/>
                <w:color w:val="auto"/>
              </w:rPr>
            </w:pPr>
            <w:r>
              <w:rPr>
                <w:rFonts w:ascii="Times New Roman" w:cs="Times New Roman" w:eastAsia="Times New Roman" w:hAnsi="Times New Roman"/>
                <w:sz w:val="18"/>
                <w:szCs w:val="18"/>
                <w:color w:val="auto"/>
              </w:rPr>
              <w:t>924</w:t>
            </w:r>
          </w:p>
        </w:tc>
        <w:tc>
          <w:tcPr>
            <w:tcW w:w="200" w:type="dxa"/>
            <w:vAlign w:val="bottom"/>
          </w:tcPr>
          <w:p>
            <w:pPr>
              <w:spacing w:after="0"/>
              <w:rPr>
                <w:sz w:val="15"/>
                <w:szCs w:val="15"/>
                <w:color w:val="auto"/>
              </w:rPr>
            </w:pPr>
          </w:p>
        </w:tc>
        <w:tc>
          <w:tcPr>
            <w:tcW w:w="720" w:type="dxa"/>
            <w:vAlign w:val="bottom"/>
            <w:vMerge w:val="restart"/>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restart"/>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vMerge w:val="restart"/>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compensation expense</w:t>
            </w:r>
          </w:p>
        </w:tc>
        <w:tc>
          <w:tcPr>
            <w:tcW w:w="20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00" w:type="dxa"/>
            <w:vAlign w:val="bottom"/>
            <w:tcBorders>
              <w:right w:val="single" w:sz="8" w:color="CCEEFF"/>
            </w:tcBorders>
            <w:shd w:val="clear" w:color="auto" w:fill="CCEEFF"/>
          </w:tcPr>
          <w:p>
            <w:pPr>
              <w:ind w:left="100"/>
              <w:spacing w:after="0" w:line="181" w:lineRule="exact"/>
              <w:rPr>
                <w:sz w:val="20"/>
                <w:szCs w:val="20"/>
                <w:color w:val="auto"/>
              </w:rPr>
            </w:pPr>
            <w:r>
              <w:rPr>
                <w:rFonts w:ascii="Times New Roman" w:cs="Times New Roman" w:eastAsia="Times New Roman" w:hAnsi="Times New Roman"/>
                <w:sz w:val="17"/>
                <w:szCs w:val="17"/>
                <w:color w:val="auto"/>
              </w:rPr>
              <w:t>Repurchase of common</w:t>
            </w:r>
          </w:p>
        </w:tc>
        <w:tc>
          <w:tcPr>
            <w:tcW w:w="200" w:type="dxa"/>
            <w:vAlign w:val="bottom"/>
            <w:tcBorders>
              <w:left w:val="single" w:sz="8" w:color="CCEEFF"/>
              <w:right w:val="single" w:sz="8" w:color="CCEEFF"/>
            </w:tcBorders>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80" w:type="dxa"/>
            <w:vAlign w:val="bottom"/>
            <w:tcBorders>
              <w:left w:val="single" w:sz="8" w:color="CCEEFF"/>
            </w:tcBorders>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700" w:type="dxa"/>
            <w:vAlign w:val="bottom"/>
            <w:tcBorders>
              <w:right w:val="single" w:sz="8" w:color="CCEEFF"/>
            </w:tcBorders>
            <w:shd w:val="clear" w:color="auto" w:fill="CCEEFF"/>
          </w:tcPr>
          <w:p>
            <w:pPr>
              <w:spacing w:after="0"/>
              <w:rPr>
                <w:sz w:val="15"/>
                <w:szCs w:val="15"/>
                <w:color w:val="auto"/>
              </w:rPr>
            </w:pPr>
          </w:p>
        </w:tc>
        <w:tc>
          <w:tcPr>
            <w:tcW w:w="200" w:type="dxa"/>
            <w:vAlign w:val="bottom"/>
            <w:tcBorders>
              <w:left w:val="single" w:sz="8" w:color="CCEEFF"/>
              <w:right w:val="single" w:sz="8" w:color="CCEEFF"/>
            </w:tcBorders>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tcBorders>
              <w:right w:val="single" w:sz="8" w:color="CCEEFF"/>
            </w:tcBorders>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tcBorders>
              <w:right w:val="single" w:sz="8" w:color="CCEEFF"/>
            </w:tcBorders>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0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stock, including excise</w:t>
            </w:r>
          </w:p>
        </w:tc>
        <w:tc>
          <w:tcPr>
            <w:tcW w:w="920" w:type="dxa"/>
            <w:vAlign w:val="bottom"/>
            <w:tcBorders>
              <w:left w:val="single" w:sz="8" w:color="CCEEFF"/>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(535,099)</w:t>
            </w:r>
          </w:p>
        </w:tc>
        <w:tc>
          <w:tcPr>
            <w:tcW w:w="80" w:type="dxa"/>
            <w:vAlign w:val="bottom"/>
            <w:tcBorders>
              <w:lef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700" w:type="dxa"/>
            <w:vAlign w:val="bottom"/>
            <w:tcBorders>
              <w:right w:val="single" w:sz="8" w:color="CCEEFF"/>
            </w:tcBorders>
            <w:vMerge w:val="restart"/>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left w:val="single" w:sz="8" w:color="CCEEFF"/>
              <w:right w:val="single" w:sz="8" w:color="CCEEFF"/>
            </w:tcBorders>
            <w:shd w:val="clear" w:color="auto" w:fill="CCEEFF"/>
          </w:tcPr>
          <w:p>
            <w:pPr>
              <w:spacing w:after="0"/>
              <w:rPr>
                <w:sz w:val="17"/>
                <w:szCs w:val="17"/>
                <w:color w:val="auto"/>
              </w:rPr>
            </w:pPr>
          </w:p>
        </w:tc>
        <w:tc>
          <w:tcPr>
            <w:tcW w:w="720" w:type="dxa"/>
            <w:vAlign w:val="bottom"/>
            <w:tcBorders>
              <w:right w:val="single" w:sz="8" w:color="CCEEFF"/>
            </w:tcBorders>
            <w:vMerge w:val="restart"/>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(25,130)</w:t>
            </w: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tcBorders>
              <w:right w:val="single" w:sz="8" w:color="CCEEFF"/>
            </w:tcBorders>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0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tax</w:t>
            </w:r>
          </w:p>
        </w:tc>
        <w:tc>
          <w:tcPr>
            <w:tcW w:w="920" w:type="dxa"/>
            <w:vAlign w:val="bottom"/>
            <w:tcBorders>
              <w:left w:val="single" w:sz="8" w:color="CCEEFF"/>
              <w:right w:val="single" w:sz="8" w:color="CCEEFF"/>
            </w:tcBorders>
            <w:gridSpan w:val="2"/>
            <w:vMerge w:val="continue"/>
            <w:shd w:val="clear" w:color="auto" w:fill="CCEEFF"/>
          </w:tcPr>
          <w:p>
            <w:pPr>
              <w:spacing w:after="0"/>
              <w:rPr>
                <w:sz w:val="19"/>
                <w:szCs w:val="19"/>
                <w:color w:val="auto"/>
              </w:rPr>
            </w:pPr>
          </w:p>
        </w:tc>
        <w:tc>
          <w:tcPr>
            <w:tcW w:w="80" w:type="dxa"/>
            <w:vAlign w:val="bottom"/>
            <w:tcBorders>
              <w:left w:val="single" w:sz="8" w:color="CCEEFF"/>
            </w:tcBorders>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700" w:type="dxa"/>
            <w:vAlign w:val="bottom"/>
            <w:tcBorders>
              <w:right w:val="single" w:sz="8" w:color="CCEEFF"/>
            </w:tcBorders>
            <w:vMerge w:val="continue"/>
            <w:shd w:val="clear" w:color="auto" w:fill="CCEEFF"/>
          </w:tcPr>
          <w:p>
            <w:pPr>
              <w:spacing w:after="0"/>
              <w:rPr>
                <w:sz w:val="19"/>
                <w:szCs w:val="19"/>
                <w:color w:val="auto"/>
              </w:rPr>
            </w:pPr>
          </w:p>
        </w:tc>
        <w:tc>
          <w:tcPr>
            <w:tcW w:w="200" w:type="dxa"/>
            <w:vAlign w:val="bottom"/>
            <w:tcBorders>
              <w:left w:val="single" w:sz="8" w:color="CCEEFF"/>
              <w:right w:val="single" w:sz="8" w:color="CCEEFF"/>
            </w:tcBorders>
            <w:shd w:val="clear" w:color="auto" w:fill="CCEEFF"/>
          </w:tcPr>
          <w:p>
            <w:pPr>
              <w:spacing w:after="0"/>
              <w:rPr>
                <w:sz w:val="19"/>
                <w:szCs w:val="19"/>
                <w:color w:val="auto"/>
              </w:rPr>
            </w:pPr>
          </w:p>
        </w:tc>
        <w:tc>
          <w:tcPr>
            <w:tcW w:w="720" w:type="dxa"/>
            <w:vAlign w:val="bottom"/>
            <w:tcBorders>
              <w:right w:val="single" w:sz="8" w:color="CCEEFF"/>
            </w:tcBorders>
            <w:vMerge w:val="continue"/>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900" w:type="dxa"/>
            <w:vAlign w:val="bottom"/>
            <w:tcBorders>
              <w:right w:val="single" w:sz="8" w:color="CCEEFF"/>
            </w:tcBorders>
            <w:gridSpan w:val="3"/>
            <w:vMerge w:val="continue"/>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tcBorders>
              <w:right w:val="single" w:sz="8" w:color="CCEEFF"/>
            </w:tcBorders>
            <w:vMerge w:val="continue"/>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00" w:type="dxa"/>
            <w:vAlign w:val="bottom"/>
          </w:tcPr>
          <w:p>
            <w:pPr>
              <w:ind w:left="100"/>
              <w:spacing w:after="0" w:line="181" w:lineRule="exact"/>
              <w:rPr>
                <w:sz w:val="20"/>
                <w:szCs w:val="20"/>
                <w:color w:val="auto"/>
              </w:rPr>
            </w:pPr>
            <w:r>
              <w:rPr>
                <w:rFonts w:ascii="Times New Roman" w:cs="Times New Roman" w:eastAsia="Times New Roman" w:hAnsi="Times New Roman"/>
                <w:sz w:val="17"/>
                <w:szCs w:val="17"/>
                <w:color w:val="auto"/>
              </w:rPr>
              <w:t>Dividends ($0.42 per</w:t>
            </w:r>
          </w:p>
        </w:tc>
        <w:tc>
          <w:tcPr>
            <w:tcW w:w="200" w:type="dxa"/>
            <w:vAlign w:val="bottom"/>
          </w:tcPr>
          <w:p>
            <w:pPr>
              <w:spacing w:after="0"/>
              <w:rPr>
                <w:sz w:val="15"/>
                <w:szCs w:val="15"/>
                <w:color w:val="auto"/>
              </w:rPr>
            </w:pPr>
          </w:p>
        </w:tc>
        <w:tc>
          <w:tcPr>
            <w:tcW w:w="720" w:type="dxa"/>
            <w:vAlign w:val="bottom"/>
            <w:vMerge w:val="restart"/>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vMerge w:val="restart"/>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(24,393)</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restart"/>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vMerge w:val="restart"/>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(24,393)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share)</w:t>
            </w:r>
          </w:p>
        </w:tc>
        <w:tc>
          <w:tcPr>
            <w:tcW w:w="20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00" w:type="dxa"/>
            <w:vAlign w:val="bottom"/>
            <w:tcBorders>
              <w:right w:val="single" w:sz="8" w:color="CCEEFF"/>
            </w:tcBorders>
            <w:shd w:val="clear" w:color="auto" w:fill="CCEEFF"/>
          </w:tcPr>
          <w:p>
            <w:pPr>
              <w:ind w:left="100"/>
              <w:spacing w:after="0" w:line="181" w:lineRule="exact"/>
              <w:rPr>
                <w:sz w:val="20"/>
                <w:szCs w:val="20"/>
                <w:color w:val="auto"/>
              </w:rPr>
            </w:pPr>
            <w:r>
              <w:rPr>
                <w:rFonts w:ascii="Times New Roman" w:cs="Times New Roman" w:eastAsia="Times New Roman" w:hAnsi="Times New Roman"/>
                <w:sz w:val="17"/>
                <w:szCs w:val="17"/>
                <w:color w:val="auto"/>
              </w:rPr>
              <w:t>Other comprehensive</w:t>
            </w:r>
          </w:p>
        </w:tc>
        <w:tc>
          <w:tcPr>
            <w:tcW w:w="200" w:type="dxa"/>
            <w:vAlign w:val="bottom"/>
            <w:tcBorders>
              <w:left w:val="single" w:sz="8" w:color="CCEEFF"/>
              <w:right w:val="single" w:sz="8" w:color="CCEEFF"/>
            </w:tcBorders>
            <w:shd w:val="clear" w:color="auto" w:fill="CCEEFF"/>
          </w:tcPr>
          <w:p>
            <w:pPr>
              <w:spacing w:after="0"/>
              <w:rPr>
                <w:sz w:val="15"/>
                <w:szCs w:val="15"/>
                <w:color w:val="auto"/>
              </w:rPr>
            </w:pPr>
          </w:p>
        </w:tc>
        <w:tc>
          <w:tcPr>
            <w:tcW w:w="720" w:type="dxa"/>
            <w:vAlign w:val="bottom"/>
            <w:tcBorders>
              <w:right w:val="single" w:sz="8" w:color="CCEEFF"/>
            </w:tcBorders>
            <w:vMerge w:val="restart"/>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left w:val="single" w:sz="8" w:color="CCEEFF"/>
            </w:tcBorders>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700" w:type="dxa"/>
            <w:vAlign w:val="bottom"/>
            <w:tcBorders>
              <w:right w:val="single" w:sz="8" w:color="CCEEFF"/>
            </w:tcBorders>
            <w:vMerge w:val="restart"/>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left w:val="single" w:sz="8" w:color="CCEEFF"/>
              <w:right w:val="single" w:sz="8" w:color="CCEEFF"/>
            </w:tcBorders>
            <w:shd w:val="clear" w:color="auto" w:fill="CCEEFF"/>
          </w:tcPr>
          <w:p>
            <w:pPr>
              <w:spacing w:after="0"/>
              <w:rPr>
                <w:sz w:val="15"/>
                <w:szCs w:val="15"/>
                <w:color w:val="auto"/>
              </w:rPr>
            </w:pPr>
          </w:p>
        </w:tc>
        <w:tc>
          <w:tcPr>
            <w:tcW w:w="720" w:type="dxa"/>
            <w:vAlign w:val="bottom"/>
            <w:tcBorders>
              <w:right w:val="single" w:sz="8" w:color="CCEEFF"/>
            </w:tcBorders>
            <w:vMerge w:val="restart"/>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8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tcBorders>
              <w:right w:val="single" w:sz="8" w:color="CCEEFF"/>
            </w:tcBorders>
            <w:vMerge w:val="restart"/>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2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0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loss, net of tax</w:t>
            </w:r>
          </w:p>
        </w:tc>
        <w:tc>
          <w:tcPr>
            <w:tcW w:w="200" w:type="dxa"/>
            <w:vAlign w:val="bottom"/>
            <w:tcBorders>
              <w:left w:val="single" w:sz="8" w:color="CCEEFF"/>
              <w:right w:val="single" w:sz="8" w:color="CCEEFF"/>
            </w:tcBorders>
            <w:shd w:val="clear" w:color="auto" w:fill="CCEEFF"/>
          </w:tcPr>
          <w:p>
            <w:pPr>
              <w:spacing w:after="0"/>
              <w:rPr>
                <w:sz w:val="19"/>
                <w:szCs w:val="19"/>
                <w:color w:val="auto"/>
              </w:rPr>
            </w:pPr>
          </w:p>
        </w:tc>
        <w:tc>
          <w:tcPr>
            <w:tcW w:w="720" w:type="dxa"/>
            <w:vAlign w:val="bottom"/>
            <w:tcBorders>
              <w:right w:val="single" w:sz="8" w:color="CCEEFF"/>
            </w:tcBorders>
            <w:vMerge w:val="continue"/>
            <w:shd w:val="clear" w:color="auto" w:fill="CCEEFF"/>
          </w:tcPr>
          <w:p>
            <w:pPr>
              <w:spacing w:after="0"/>
              <w:rPr>
                <w:sz w:val="19"/>
                <w:szCs w:val="19"/>
                <w:color w:val="auto"/>
              </w:rPr>
            </w:pPr>
          </w:p>
        </w:tc>
        <w:tc>
          <w:tcPr>
            <w:tcW w:w="80" w:type="dxa"/>
            <w:vAlign w:val="bottom"/>
            <w:tcBorders>
              <w:left w:val="single" w:sz="8" w:color="CCEEFF"/>
            </w:tcBorders>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700" w:type="dxa"/>
            <w:vAlign w:val="bottom"/>
            <w:tcBorders>
              <w:right w:val="single" w:sz="8" w:color="CCEEFF"/>
            </w:tcBorders>
            <w:vMerge w:val="continue"/>
            <w:shd w:val="clear" w:color="auto" w:fill="CCEEFF"/>
          </w:tcPr>
          <w:p>
            <w:pPr>
              <w:spacing w:after="0"/>
              <w:rPr>
                <w:sz w:val="19"/>
                <w:szCs w:val="19"/>
                <w:color w:val="auto"/>
              </w:rPr>
            </w:pPr>
          </w:p>
        </w:tc>
        <w:tc>
          <w:tcPr>
            <w:tcW w:w="200" w:type="dxa"/>
            <w:vAlign w:val="bottom"/>
            <w:tcBorders>
              <w:left w:val="single" w:sz="8" w:color="CCEEFF"/>
              <w:right w:val="single" w:sz="8" w:color="CCEEFF"/>
            </w:tcBorders>
            <w:shd w:val="clear" w:color="auto" w:fill="CCEEFF"/>
          </w:tcPr>
          <w:p>
            <w:pPr>
              <w:spacing w:after="0"/>
              <w:rPr>
                <w:sz w:val="19"/>
                <w:szCs w:val="19"/>
                <w:color w:val="auto"/>
              </w:rPr>
            </w:pPr>
          </w:p>
        </w:tc>
        <w:tc>
          <w:tcPr>
            <w:tcW w:w="720" w:type="dxa"/>
            <w:vAlign w:val="bottom"/>
            <w:tcBorders>
              <w:right w:val="single" w:sz="8" w:color="CCEEFF"/>
            </w:tcBorders>
            <w:vMerge w:val="continue"/>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tcBorders>
              <w:right w:val="single" w:sz="8" w:color="CCEEFF"/>
            </w:tcBorders>
            <w:vMerge w:val="continue"/>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tcBorders>
              <w:right w:val="single" w:sz="8" w:color="CCEEFF"/>
            </w:tcBorders>
            <w:vMerge w:val="continue"/>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Net income</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85,693</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953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86,646</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000" w:type="dxa"/>
            <w:vAlign w:val="bottom"/>
            <w:tcBorders>
              <w:right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7"/>
                <w:szCs w:val="17"/>
                <w:b w:val="1"/>
                <w:bCs w:val="1"/>
                <w:color w:val="auto"/>
              </w:rPr>
              <w:t>Balance at</w:t>
            </w:r>
          </w:p>
        </w:tc>
        <w:tc>
          <w:tcPr>
            <w:tcW w:w="920" w:type="dxa"/>
            <w:vAlign w:val="bottom"/>
            <w:tcBorders>
              <w:left w:val="single" w:sz="8" w:color="CCEEFF"/>
              <w:right w:val="single" w:sz="8" w:color="CCEEFF"/>
            </w:tcBorders>
            <w:gridSpan w:val="2"/>
            <w:vMerge w:val="restart"/>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w w:val="96"/>
              </w:rPr>
              <w:t>57,810,830</w:t>
            </w:r>
          </w:p>
        </w:tc>
        <w:tc>
          <w:tcPr>
            <w:tcW w:w="300" w:type="dxa"/>
            <w:vAlign w:val="bottom"/>
            <w:tcBorders>
              <w:left w:val="single" w:sz="8" w:color="CCEEFF"/>
              <w:right w:val="single" w:sz="8" w:color="CCEEFF"/>
            </w:tcBorders>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right w:val="single" w:sz="8" w:color="CCEEFF"/>
            </w:tcBorders>
            <w:vMerge w:val="restart"/>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w w:val="88"/>
              </w:rPr>
              <w:t>269,592</w:t>
            </w:r>
          </w:p>
        </w:tc>
        <w:tc>
          <w:tcPr>
            <w:tcW w:w="920" w:type="dxa"/>
            <w:vAlign w:val="bottom"/>
            <w:tcBorders>
              <w:left w:val="single" w:sz="8" w:color="CCEEFF"/>
              <w:right w:val="single" w:sz="8" w:color="CCEEFF"/>
            </w:tcBorders>
            <w:gridSpan w:val="2"/>
            <w:vMerge w:val="restart"/>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$ 515,493</w:t>
            </w:r>
          </w:p>
        </w:tc>
        <w:tc>
          <w:tcPr>
            <w:tcW w:w="24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758</w:t>
            </w:r>
          </w:p>
        </w:tc>
        <w:tc>
          <w:tcPr>
            <w:tcW w:w="80" w:type="dxa"/>
            <w:vAlign w:val="bottom"/>
            <w:shd w:val="clear" w:color="auto" w:fill="CCEEFF"/>
          </w:tcPr>
          <w:p>
            <w:pPr>
              <w:spacing w:after="0"/>
              <w:rPr>
                <w:sz w:val="13"/>
                <w:szCs w:val="13"/>
                <w:color w:val="auto"/>
              </w:rPr>
            </w:pPr>
          </w:p>
        </w:tc>
        <w:tc>
          <w:tcPr>
            <w:tcW w:w="900" w:type="dxa"/>
            <w:vAlign w:val="bottom"/>
            <w:tcBorders>
              <w:right w:val="single" w:sz="8" w:color="CCEEFF"/>
            </w:tcBorders>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(25,130)</w:t>
            </w:r>
          </w:p>
        </w:tc>
        <w:tc>
          <w:tcPr>
            <w:tcW w:w="22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right w:val="single" w:sz="8" w:color="CCEEFF"/>
            </w:tcBorders>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10,156</w:t>
            </w:r>
          </w:p>
        </w:tc>
        <w:tc>
          <w:tcPr>
            <w:tcW w:w="26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770,869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0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September 30, 2025</w:t>
            </w:r>
          </w:p>
        </w:tc>
        <w:tc>
          <w:tcPr>
            <w:tcW w:w="920" w:type="dxa"/>
            <w:vAlign w:val="bottom"/>
            <w:tcBorders>
              <w:left w:val="single" w:sz="8" w:color="CCEEFF"/>
              <w:right w:val="single" w:sz="8" w:color="CCEEFF"/>
            </w:tcBorders>
            <w:gridSpan w:val="2"/>
            <w:vMerge w:val="continue"/>
            <w:shd w:val="clear" w:color="auto" w:fill="CCEEFF"/>
          </w:tcPr>
          <w:p>
            <w:pPr>
              <w:spacing w:after="0"/>
              <w:rPr>
                <w:sz w:val="18"/>
                <w:szCs w:val="18"/>
                <w:color w:val="auto"/>
              </w:rPr>
            </w:pPr>
          </w:p>
        </w:tc>
        <w:tc>
          <w:tcPr>
            <w:tcW w:w="300" w:type="dxa"/>
            <w:vAlign w:val="bottom"/>
            <w:tcBorders>
              <w:left w:val="single" w:sz="8" w:color="CCEEFF"/>
              <w:right w:val="single" w:sz="8" w:color="CCEEFF"/>
            </w:tcBorders>
            <w:gridSpan w:val="2"/>
            <w:vMerge w:val="continue"/>
            <w:shd w:val="clear" w:color="auto" w:fill="CCEEFF"/>
          </w:tcPr>
          <w:p>
            <w:pPr>
              <w:spacing w:after="0"/>
              <w:rPr>
                <w:sz w:val="18"/>
                <w:szCs w:val="18"/>
                <w:color w:val="auto"/>
              </w:rPr>
            </w:pPr>
          </w:p>
        </w:tc>
        <w:tc>
          <w:tcPr>
            <w:tcW w:w="700" w:type="dxa"/>
            <w:vAlign w:val="bottom"/>
            <w:tcBorders>
              <w:right w:val="single" w:sz="8" w:color="CCEEFF"/>
            </w:tcBorders>
            <w:vMerge w:val="continue"/>
            <w:shd w:val="clear" w:color="auto" w:fill="CCEEFF"/>
          </w:tcPr>
          <w:p>
            <w:pPr>
              <w:spacing w:after="0"/>
              <w:rPr>
                <w:sz w:val="18"/>
                <w:szCs w:val="18"/>
                <w:color w:val="auto"/>
              </w:rPr>
            </w:pPr>
          </w:p>
        </w:tc>
        <w:tc>
          <w:tcPr>
            <w:tcW w:w="920" w:type="dxa"/>
            <w:vAlign w:val="bottom"/>
            <w:tcBorders>
              <w:left w:val="single" w:sz="8" w:color="CCEEFF"/>
              <w:right w:val="single" w:sz="8" w:color="CCEEFF"/>
            </w:tcBorders>
            <w:gridSpan w:val="2"/>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3"/>
            <w:vMerge w:val="continue"/>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1060" w:type="dxa"/>
            <w:vAlign w:val="bottom"/>
            <w:tcBorders>
              <w:right w:val="single" w:sz="8" w:color="CCEEFF"/>
            </w:tcBorders>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ectPr>
          <w:pgSz w:w="11900" w:h="16838" w:orient="portrait"/>
          <w:cols w:equalWidth="0" w:num="1">
            <w:col w:w="9440"/>
          </w:cols>
          <w:pgMar w:left="1220" w:top="513"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374650</wp:posOffset>
            </wp:positionV>
            <wp:extent cx="598360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83605" cy="26035"/>
                    </a:xfrm>
                    <a:prstGeom prst="rect">
                      <a:avLst/>
                    </a:prstGeom>
                    <a:noFill/>
                  </pic:spPr>
                </pic:pic>
              </a:graphicData>
            </a:graphic>
          </wp:anchor>
        </w:drawing>
      </w:r>
    </w:p>
    <w:p>
      <w:pPr>
        <w:sectPr>
          <w:pgSz w:w="11900" w:h="16838" w:orient="portrait"/>
          <w:cols w:equalWidth="0" w:num="1">
            <w:col w:w="9440"/>
          </w:cols>
          <w:pgMar w:left="1220" w:top="513" w:right="1239"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ST. JOE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14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00" w:type="dxa"/>
            <w:vAlign w:val="bottom"/>
            <w:gridSpan w:val="5"/>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00" w:type="dxa"/>
            <w:vAlign w:val="bottom"/>
            <w:gridSpan w:val="5"/>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Borders>
              <w:top w:val="single" w:sz="8" w:color="auto"/>
            </w:tcBorders>
            <w:gridSpan w:val="2"/>
          </w:tcPr>
          <w:p>
            <w:pPr>
              <w:ind w:left="100"/>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tcPr>
          <w:p>
            <w:pPr>
              <w:jc w:val="right"/>
              <w:ind w:right="239"/>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7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gridSpan w:val="2"/>
          </w:tcPr>
          <w:p>
            <w:pPr>
              <w:ind w:left="100"/>
              <w:spacing w:after="0" w:line="202" w:lineRule="exact"/>
              <w:rPr>
                <w:sz w:val="20"/>
                <w:szCs w:val="20"/>
                <w:color w:val="auto"/>
              </w:rPr>
            </w:pPr>
            <w:r>
              <w:rPr>
                <w:rFonts w:ascii="Times New Roman" w:cs="Times New Roman" w:eastAsia="Times New Roman" w:hAnsi="Times New Roman"/>
                <w:sz w:val="16"/>
                <w:szCs w:val="16"/>
                <w:color w:val="auto"/>
              </w:rPr>
              <w:t xml:space="preserve">Net income </w:t>
            </w:r>
            <w:r>
              <w:rPr>
                <w:rFonts w:ascii="Times New Roman" w:cs="Times New Roman" w:eastAsia="Times New Roman" w:hAnsi="Times New Roman"/>
                <w:sz w:val="23"/>
                <w:szCs w:val="23"/>
                <w:color w:val="auto"/>
                <w:vertAlign w:val="superscript"/>
              </w:rPr>
              <w:t>(a)</w:t>
            </w:r>
          </w:p>
        </w:tc>
        <w:tc>
          <w:tcPr>
            <w:tcW w:w="940" w:type="dxa"/>
            <w:vAlign w:val="bottom"/>
            <w:gridSpan w:val="2"/>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91,333</w:t>
            </w:r>
          </w:p>
        </w:tc>
        <w:tc>
          <w:tcPr>
            <w:tcW w:w="3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86,646</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Depreciation, depletion and amortization</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33,919</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35,774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Stock based compensation</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1,028</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gridSpan w:val="2"/>
          </w:tcPr>
          <w:p>
            <w:pPr>
              <w:ind w:left="320"/>
              <w:spacing w:after="0" w:line="202" w:lineRule="exact"/>
              <w:rPr>
                <w:sz w:val="20"/>
                <w:szCs w:val="20"/>
                <w:color w:val="auto"/>
              </w:rPr>
            </w:pPr>
            <w:r>
              <w:rPr>
                <w:rFonts w:ascii="Times New Roman" w:cs="Times New Roman" w:eastAsia="Times New Roman" w:hAnsi="Times New Roman"/>
                <w:sz w:val="16"/>
                <w:szCs w:val="16"/>
                <w:color w:val="auto"/>
              </w:rPr>
              <w:t xml:space="preserve">Equity in loss (income) from unconsolidated joint ventures </w:t>
            </w:r>
            <w:r>
              <w:rPr>
                <w:rFonts w:ascii="Times New Roman" w:cs="Times New Roman" w:eastAsia="Times New Roman" w:hAnsi="Times New Roman"/>
                <w:sz w:val="23"/>
                <w:szCs w:val="23"/>
                <w:color w:val="auto"/>
                <w:vertAlign w:val="superscript"/>
              </w:rPr>
              <w:t>(b)</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(21,186)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Distribution of earnings from unconsolidated joint ventures</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12,780</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24,302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Deferred income tax</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(7,948)</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gridSpan w:val="2"/>
            <w:shd w:val="clear" w:color="auto" w:fill="CCEEFF"/>
          </w:tcPr>
          <w:p>
            <w:pPr>
              <w:ind w:left="320"/>
              <w:spacing w:after="0" w:line="202" w:lineRule="exact"/>
              <w:rPr>
                <w:sz w:val="20"/>
                <w:szCs w:val="20"/>
                <w:color w:val="auto"/>
              </w:rPr>
            </w:pPr>
            <w:r>
              <w:rPr>
                <w:rFonts w:ascii="Times New Roman" w:cs="Times New Roman" w:eastAsia="Times New Roman" w:hAnsi="Times New Roman"/>
                <w:sz w:val="16"/>
                <w:szCs w:val="16"/>
                <w:color w:val="auto"/>
              </w:rPr>
              <w:t xml:space="preserve">Cost of real estate sold </w:t>
            </w:r>
            <w:r>
              <w:rPr>
                <w:rFonts w:ascii="Times New Roman" w:cs="Times New Roman" w:eastAsia="Times New Roman" w:hAnsi="Times New Roman"/>
                <w:sz w:val="23"/>
                <w:szCs w:val="23"/>
                <w:color w:val="auto"/>
                <w:vertAlign w:val="superscript"/>
              </w:rPr>
              <w:t>(a)</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67,339</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78,709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Expenditures for and acquisition of real estate to be sold</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(40,611)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(69,806)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gridSpan w:val="2"/>
            <w:shd w:val="clear" w:color="auto" w:fill="CCEEFF"/>
          </w:tcPr>
          <w:p>
            <w:pPr>
              <w:ind w:left="320"/>
              <w:spacing w:after="0" w:line="202" w:lineRule="exact"/>
              <w:rPr>
                <w:sz w:val="20"/>
                <w:szCs w:val="20"/>
                <w:color w:val="auto"/>
              </w:rPr>
            </w:pPr>
            <w:r>
              <w:rPr>
                <w:rFonts w:ascii="Times New Roman" w:cs="Times New Roman" w:eastAsia="Times New Roman" w:hAnsi="Times New Roman"/>
                <w:sz w:val="16"/>
                <w:szCs w:val="16"/>
                <w:color w:val="auto"/>
              </w:rPr>
              <w:t xml:space="preserve">Land sale to unconsolidated joint venture </w:t>
            </w:r>
            <w:r>
              <w:rPr>
                <w:rFonts w:ascii="Times New Roman" w:cs="Times New Roman" w:eastAsia="Times New Roman" w:hAnsi="Times New Roman"/>
                <w:sz w:val="23"/>
                <w:szCs w:val="23"/>
                <w:color w:val="auto"/>
                <w:vertAlign w:val="superscript"/>
              </w:rPr>
              <w:t>(a)</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(31,438)</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Accretion income and other</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Loss (gain) on disposal of property and equipment</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Accounts receivable and other assets</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(2,036)</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Deferred revenue</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4,953</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Accounts payable and other liabilities</w:t>
            </w:r>
          </w:p>
        </w:tc>
        <w:tc>
          <w:tcPr>
            <w:tcW w:w="7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14,310</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143,856</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146,292</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Expenditures for operating property</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(23,090)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(16,302)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Expenditures for property and equipment</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(3,811)</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Proceeds from the disposition of assets</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Capital contributions to unconsolidated joint ventures</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(3,564)</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Maturities of assets held by special purpose entities</w:t>
            </w:r>
          </w:p>
        </w:tc>
        <w:tc>
          <w:tcPr>
            <w:tcW w:w="7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787</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(29,652)</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(17,292)</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Capital contributions from non-controlling interest</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Capital distributions to non-controlling interest</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(1,406)</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Repurchase of common stock, including excise tax</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(65,423)</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(25,069)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Payments for taxes withheld on vested restricted stock awards</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Dividends paid</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(27,415)</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(24,390)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Borrowings on debt</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67,832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Principal payments for debt</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(30,571)</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(106,462)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Principal payments for finance leases</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Debt issuance costs</w:t>
            </w:r>
          </w:p>
        </w:tc>
        <w:tc>
          <w:tcPr>
            <w:tcW w:w="7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(125,357)</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(91,766)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(decrease) increase in cash, cash equivalents and restricted cash</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(11,153)</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37,234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beginning of the period</w:t>
            </w:r>
          </w:p>
        </w:tc>
        <w:tc>
          <w:tcPr>
            <w:tcW w:w="7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136,511</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96,316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the period</w:t>
            </w:r>
          </w:p>
        </w:tc>
        <w:tc>
          <w:tcPr>
            <w:tcW w:w="7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125,358</w:t>
            </w:r>
          </w:p>
        </w:tc>
        <w:tc>
          <w:tcPr>
            <w:tcW w:w="2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133,550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20" w:type="dxa"/>
            <w:vAlign w:val="bottom"/>
            <w:tcBorders>
              <w:bottom w:val="single" w:sz="8" w:color="auto"/>
            </w:tcBorders>
          </w:tcPr>
          <w:p>
            <w:pPr>
              <w:spacing w:after="0"/>
              <w:rPr>
                <w:sz w:val="4"/>
                <w:szCs w:val="4"/>
                <w:color w:val="auto"/>
              </w:rPr>
            </w:pPr>
          </w:p>
        </w:tc>
        <w:tc>
          <w:tcPr>
            <w:tcW w:w="2220" w:type="dxa"/>
            <w:vAlign w:val="bottom"/>
            <w:tcBorders>
              <w:bottom w:val="single" w:sz="8" w:color="auto"/>
            </w:tcBorders>
          </w:tcPr>
          <w:p>
            <w:pPr>
              <w:spacing w:after="0"/>
              <w:rPr>
                <w:sz w:val="4"/>
                <w:szCs w:val="4"/>
                <w:color w:val="auto"/>
              </w:rPr>
            </w:pPr>
          </w:p>
        </w:tc>
        <w:tc>
          <w:tcPr>
            <w:tcW w:w="38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380" w:right="159" w:hanging="330"/>
        <w:spacing w:after="0" w:line="227" w:lineRule="auto"/>
        <w:tabs>
          <w:tab w:leader="none" w:pos="3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 xml:space="preserve">The nine months ended September 30, 2026, include revenue of $31.4 million for the initial net present value of additional land sold to the Latitude Margaritaville Watersound joint venture and $9.6 million of cost of revenue. See Note 4. </w:t>
      </w:r>
      <w:r>
        <w:rPr>
          <w:rFonts w:ascii="Times New Roman" w:cs="Times New Roman" w:eastAsia="Times New Roman" w:hAnsi="Times New Roman"/>
          <w:sz w:val="15"/>
          <w:szCs w:val="15"/>
          <w:i w:val="1"/>
          <w:iCs w:val="1"/>
          <w:color w:val="auto"/>
        </w:rPr>
        <w:t>Joint Ventures</w:t>
      </w:r>
      <w:r>
        <w:rPr>
          <w:rFonts w:ascii="Times New Roman" w:cs="Times New Roman" w:eastAsia="Times New Roman" w:hAnsi="Times New Roman"/>
          <w:sz w:val="15"/>
          <w:szCs w:val="15"/>
          <w:color w:val="auto"/>
        </w:rPr>
        <w:t xml:space="preserve"> and Note 18. </w:t>
      </w:r>
      <w:r>
        <w:rPr>
          <w:rFonts w:ascii="Times New Roman" w:cs="Times New Roman" w:eastAsia="Times New Roman" w:hAnsi="Times New Roman"/>
          <w:sz w:val="15"/>
          <w:szCs w:val="15"/>
          <w:i w:val="1"/>
          <w:iCs w:val="1"/>
          <w:color w:val="auto"/>
        </w:rPr>
        <w:t>Related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Party Transactions </w:t>
      </w:r>
      <w:r>
        <w:rPr>
          <w:rFonts w:ascii="Times New Roman" w:cs="Times New Roman" w:eastAsia="Times New Roman" w:hAnsi="Times New Roman"/>
          <w:sz w:val="15"/>
          <w:szCs w:val="15"/>
          <w:color w:val="auto"/>
        </w:rPr>
        <w:t>for additional information.</w:t>
      </w:r>
    </w:p>
    <w:p>
      <w:pPr>
        <w:spacing w:after="0" w:line="1" w:lineRule="exact"/>
        <w:rPr>
          <w:rFonts w:ascii="Times New Roman" w:cs="Times New Roman" w:eastAsia="Times New Roman" w:hAnsi="Times New Roman"/>
          <w:sz w:val="16"/>
          <w:szCs w:val="16"/>
          <w:color w:val="auto"/>
        </w:rPr>
      </w:pPr>
    </w:p>
    <w:p>
      <w:pPr>
        <w:ind w:left="380" w:right="259" w:hanging="330"/>
        <w:spacing w:after="0" w:line="228" w:lineRule="auto"/>
        <w:tabs>
          <w:tab w:leader="none" w:pos="3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 xml:space="preserve">The nine months ended September 30, 2026, include intra-entity profit elimination, based on the Company’s ownership interest, of $10.9 million related to an additional land sale to the Latitude Margaritaville Watersound joint venture, a pro-rata portion of which will be recognized as each home on the land is sold by the joint venture. See Note 4. </w:t>
      </w:r>
      <w:r>
        <w:rPr>
          <w:rFonts w:ascii="Times New Roman" w:cs="Times New Roman" w:eastAsia="Times New Roman" w:hAnsi="Times New Roman"/>
          <w:sz w:val="15"/>
          <w:szCs w:val="15"/>
          <w:i w:val="1"/>
          <w:iCs w:val="1"/>
          <w:color w:val="auto"/>
        </w:rPr>
        <w:t>Joint Ventures</w:t>
      </w:r>
      <w:r>
        <w:rPr>
          <w:rFonts w:ascii="Times New Roman" w:cs="Times New Roman" w:eastAsia="Times New Roman" w:hAnsi="Times New Roman"/>
          <w:sz w:val="15"/>
          <w:szCs w:val="15"/>
          <w:color w:val="auto"/>
        </w:rPr>
        <w:t xml:space="preserve">, Note 15. </w:t>
      </w:r>
      <w:r>
        <w:rPr>
          <w:rFonts w:ascii="Times New Roman" w:cs="Times New Roman" w:eastAsia="Times New Roman" w:hAnsi="Times New Roman"/>
          <w:sz w:val="15"/>
          <w:szCs w:val="15"/>
          <w:i w:val="1"/>
          <w:iCs w:val="1"/>
          <w:color w:val="auto"/>
        </w:rPr>
        <w:t>Other (Expense) Income, Net</w:t>
      </w:r>
      <w:r>
        <w:rPr>
          <w:rFonts w:ascii="Times New Roman" w:cs="Times New Roman" w:eastAsia="Times New Roman" w:hAnsi="Times New Roman"/>
          <w:sz w:val="15"/>
          <w:szCs w:val="15"/>
          <w:color w:val="auto"/>
        </w:rPr>
        <w:t xml:space="preserve"> and Note 18. </w:t>
      </w:r>
      <w:r>
        <w:rPr>
          <w:rFonts w:ascii="Times New Roman" w:cs="Times New Roman" w:eastAsia="Times New Roman" w:hAnsi="Times New Roman"/>
          <w:sz w:val="15"/>
          <w:szCs w:val="15"/>
          <w:i w:val="1"/>
          <w:iCs w:val="1"/>
          <w:color w:val="auto"/>
        </w:rPr>
        <w:t>Related Party Transactions</w:t>
      </w:r>
      <w:r>
        <w:rPr>
          <w:rFonts w:ascii="Times New Roman" w:cs="Times New Roman" w:eastAsia="Times New Roman" w:hAnsi="Times New Roman"/>
          <w:sz w:val="15"/>
          <w:szCs w:val="15"/>
          <w:color w:val="auto"/>
        </w:rPr>
        <w:t xml:space="preserve"> for additional information.</w:t>
      </w:r>
    </w:p>
    <w:p>
      <w:pPr>
        <w:spacing w:after="0" w:line="113"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ST. JOE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7" w:lineRule="exact"/>
        <w:rPr>
          <w:sz w:val="20"/>
          <w:szCs w:val="20"/>
          <w:color w:val="auto"/>
        </w:rPr>
      </w:pPr>
    </w:p>
    <w:p>
      <w:pPr>
        <w:jc w:val="both"/>
        <w:ind w:left="60" w:right="779"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condensed consolidated balance sheets that sum to the total of the amounts shown in the condensed consolidated statements of cash flows.</w:t>
      </w:r>
    </w:p>
    <w:p>
      <w:pPr>
        <w:spacing w:after="0" w:line="31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20" w:type="dxa"/>
            <w:vAlign w:val="bottom"/>
            <w:gridSpan w:val="2"/>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720" w:type="dxa"/>
            <w:vAlign w:val="bottom"/>
            <w:gridSpan w:val="2"/>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gridSpan w:val="4"/>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2"/>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117,856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Restricted cash included in accounts receivable and other assets</w:t>
            </w:r>
          </w:p>
        </w:tc>
        <w:tc>
          <w:tcPr>
            <w:tcW w:w="3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7,502</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2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Total cash, cash equivalents and restricted cash shown in the accompanying</w:t>
            </w:r>
          </w:p>
        </w:tc>
        <w:tc>
          <w:tcPr>
            <w:tcW w:w="720" w:type="dxa"/>
            <w:vAlign w:val="bottom"/>
            <w:gridSpan w:val="2"/>
            <w:vMerge w:val="restart"/>
            <w:shd w:val="clear" w:color="auto" w:fill="CCEEFF"/>
          </w:tcPr>
          <w:p>
            <w:pPr>
              <w:jc w:val="right"/>
              <w:ind w:right="202"/>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125,358</w:t>
            </w:r>
          </w:p>
        </w:tc>
        <w:tc>
          <w:tcPr>
            <w:tcW w:w="3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133,550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tc>
        <w:tc>
          <w:tcPr>
            <w:tcW w:w="720" w:type="dxa"/>
            <w:vAlign w:val="bottom"/>
            <w:gridSpan w:val="2"/>
            <w:vMerge w:val="continue"/>
            <w:shd w:val="clear" w:color="auto" w:fill="CCEEFF"/>
          </w:tcPr>
          <w:p>
            <w:pPr>
              <w:spacing w:after="0"/>
              <w:rPr>
                <w:sz w:val="19"/>
                <w:szCs w:val="19"/>
                <w:color w:val="auto"/>
              </w:rPr>
            </w:pPr>
          </w:p>
        </w:tc>
        <w:tc>
          <w:tcPr>
            <w:tcW w:w="740" w:type="dxa"/>
            <w:vAlign w:val="bottom"/>
            <w:gridSpan w:val="3"/>
            <w:vMerge w:val="continue"/>
            <w:shd w:val="clear" w:color="auto" w:fill="CCEEFF"/>
          </w:tcPr>
          <w:p>
            <w:pPr>
              <w:spacing w:after="0"/>
              <w:rPr>
                <w:sz w:val="19"/>
                <w:szCs w:val="19"/>
                <w:color w:val="auto"/>
              </w:rPr>
            </w:pPr>
          </w:p>
        </w:tc>
        <w:tc>
          <w:tcPr>
            <w:tcW w:w="320" w:type="dxa"/>
            <w:vAlign w:val="bottom"/>
            <w:gridSpan w:val="2"/>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Borders>
              <w:top w:val="single" w:sz="8" w:color="CCEEFF"/>
            </w:tcBorders>
            <w:gridSpan w:val="2"/>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gridSpan w:val="3"/>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20" w:type="dxa"/>
            <w:vAlign w:val="bottom"/>
          </w:tcPr>
          <w:p>
            <w:pPr>
              <w:spacing w:after="0"/>
              <w:rPr>
                <w:sz w:val="24"/>
                <w:szCs w:val="24"/>
                <w:color w:val="auto"/>
              </w:rPr>
            </w:pPr>
          </w:p>
        </w:tc>
        <w:tc>
          <w:tcPr>
            <w:tcW w:w="8920" w:type="dxa"/>
            <w:vAlign w:val="bottom"/>
            <w:gridSpan w:val="14"/>
          </w:tcPr>
          <w:p>
            <w:pPr>
              <w:ind w:left="300"/>
              <w:spacing w:after="0"/>
              <w:rPr>
                <w:sz w:val="20"/>
                <w:szCs w:val="20"/>
                <w:color w:val="auto"/>
              </w:rPr>
            </w:pPr>
            <w:r>
              <w:rPr>
                <w:rFonts w:ascii="Times New Roman" w:cs="Times New Roman" w:eastAsia="Times New Roman" w:hAnsi="Times New Roman"/>
                <w:sz w:val="18"/>
                <w:szCs w:val="18"/>
                <w:color w:val="auto"/>
              </w:rPr>
              <w:t>Restricted cash includes amounts reserved as a requirement of financing, development for certain of the Company’s</w:t>
            </w:r>
          </w:p>
        </w:tc>
        <w:tc>
          <w:tcPr>
            <w:tcW w:w="0" w:type="dxa"/>
            <w:vAlign w:val="bottom"/>
          </w:tcPr>
          <w:p>
            <w:pPr>
              <w:spacing w:after="0"/>
              <w:rPr>
                <w:sz w:val="1"/>
                <w:szCs w:val="1"/>
                <w:color w:val="auto"/>
              </w:rPr>
            </w:pPr>
          </w:p>
        </w:tc>
      </w:tr>
      <w:tr>
        <w:trPr>
          <w:trHeight w:val="234"/>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projects or long-term mitigation bank management.</w:t>
            </w: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gridSpan w:val="9"/>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gridSpan w:val="8"/>
          </w:tcPr>
          <w:p>
            <w:pPr>
              <w:jc w:val="center"/>
              <w:ind w:right="4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2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paid during the period for:</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net of interest rate swap</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22,287</w:t>
            </w:r>
          </w:p>
        </w:tc>
        <w:tc>
          <w:tcPr>
            <w:tcW w:w="40" w:type="dxa"/>
            <w:vAlign w:val="bottom"/>
          </w:tcPr>
          <w:p>
            <w:pPr>
              <w:spacing w:after="0"/>
              <w:rPr>
                <w:sz w:val="18"/>
                <w:szCs w:val="18"/>
                <w:color w:val="auto"/>
              </w:rPr>
            </w:pPr>
          </w:p>
        </w:tc>
        <w:tc>
          <w:tcPr>
            <w:tcW w:w="3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Federal income taxes, net</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24,202</w:t>
            </w:r>
          </w:p>
        </w:tc>
        <w:tc>
          <w:tcPr>
            <w:tcW w:w="4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State income taxes, net</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7,300</w:t>
            </w:r>
          </w:p>
        </w:tc>
        <w:tc>
          <w:tcPr>
            <w:tcW w:w="40" w:type="dxa"/>
            <w:vAlign w:val="bottom"/>
          </w:tcPr>
          <w:p>
            <w:pPr>
              <w:spacing w:after="0"/>
              <w:rPr>
                <w:sz w:val="18"/>
                <w:szCs w:val="18"/>
                <w:color w:val="auto"/>
              </w:rPr>
            </w:pPr>
          </w:p>
        </w:tc>
        <w:tc>
          <w:tcPr>
            <w:tcW w:w="3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740" w:type="dxa"/>
            <w:vAlign w:val="bottom"/>
            <w:gridSpan w:val="3"/>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Right-of-use assets obtained in exchange for new or modified finance lease liabilities, net of</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terminations</w:t>
            </w:r>
          </w:p>
        </w:tc>
        <w:tc>
          <w:tcPr>
            <w:tcW w:w="3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40" w:type="dxa"/>
            <w:vAlign w:val="bottom"/>
            <w:shd w:val="clear" w:color="auto" w:fill="CCEEFF"/>
          </w:tcPr>
          <w:p>
            <w:pPr>
              <w:spacing w:after="0"/>
              <w:rPr>
                <w:sz w:val="20"/>
                <w:szCs w:val="20"/>
                <w:color w:val="auto"/>
              </w:rPr>
            </w:pPr>
          </w:p>
        </w:tc>
        <w:tc>
          <w:tcPr>
            <w:tcW w:w="3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740" w:type="dxa"/>
            <w:vAlign w:val="bottom"/>
            <w:gridSpan w:val="3"/>
          </w:tcPr>
          <w:p>
            <w:pPr>
              <w:ind w:left="80"/>
              <w:spacing w:after="0" w:line="198" w:lineRule="exact"/>
              <w:rPr>
                <w:sz w:val="20"/>
                <w:szCs w:val="20"/>
                <w:color w:val="auto"/>
              </w:rPr>
            </w:pPr>
            <w:r>
              <w:rPr>
                <w:rFonts w:ascii="Times New Roman" w:cs="Times New Roman" w:eastAsia="Times New Roman" w:hAnsi="Times New Roman"/>
                <w:sz w:val="18"/>
                <w:szCs w:val="18"/>
                <w:color w:val="auto"/>
              </w:rPr>
              <w:t>Right-of-use assets obtained in exchange for new or modified operating lease liabilities, net</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of terminations</w:t>
            </w: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Increase (decrease) in Community Development District debt, net</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4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Transfers of expenditures for operating property to property and equipment</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40" w:type="dxa"/>
            <w:vAlign w:val="bottom"/>
          </w:tcPr>
          <w:p>
            <w:pPr>
              <w:spacing w:after="0"/>
              <w:rPr>
                <w:sz w:val="18"/>
                <w:szCs w:val="18"/>
                <w:color w:val="auto"/>
              </w:rPr>
            </w:pPr>
          </w:p>
        </w:tc>
        <w:tc>
          <w:tcPr>
            <w:tcW w:w="3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740" w:type="dxa"/>
            <w:vAlign w:val="bottom"/>
            <w:gridSpan w:val="3"/>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Increase (decrease) in expenditures for operating properties and property and equipment</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financed through accounts payable</w:t>
            </w:r>
          </w:p>
        </w:tc>
        <w:tc>
          <w:tcPr>
            <w:tcW w:w="3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40" w:type="dxa"/>
            <w:vAlign w:val="bottom"/>
            <w:shd w:val="clear" w:color="auto" w:fill="CCEEFF"/>
          </w:tcPr>
          <w:p>
            <w:pPr>
              <w:spacing w:after="0"/>
              <w:rPr>
                <w:sz w:val="20"/>
                <w:szCs w:val="20"/>
                <w:color w:val="auto"/>
              </w:rPr>
            </w:pPr>
          </w:p>
        </w:tc>
        <w:tc>
          <w:tcPr>
            <w:tcW w:w="3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Unrealized gain (loss) on cash flow hedges</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40" w:type="dxa"/>
            <w:vAlign w:val="bottom"/>
          </w:tcPr>
          <w:p>
            <w:pPr>
              <w:spacing w:after="0"/>
              <w:rPr>
                <w:sz w:val="18"/>
                <w:szCs w:val="18"/>
                <w:color w:val="auto"/>
              </w:rPr>
            </w:pPr>
          </w:p>
        </w:tc>
        <w:tc>
          <w:tcPr>
            <w:tcW w:w="3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Excise tax payable on repurchase of common stock</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4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Issuance of restricted stock, net of forfeitures</w:t>
            </w: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1,856</w:t>
            </w:r>
          </w:p>
        </w:tc>
        <w:tc>
          <w:tcPr>
            <w:tcW w:w="40" w:type="dxa"/>
            <w:vAlign w:val="bottom"/>
          </w:tcPr>
          <w:p>
            <w:pPr>
              <w:spacing w:after="0"/>
              <w:rPr>
                <w:sz w:val="20"/>
                <w:szCs w:val="20"/>
                <w:color w:val="auto"/>
              </w:rPr>
            </w:pPr>
          </w:p>
        </w:tc>
        <w:tc>
          <w:tcPr>
            <w:tcW w:w="3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ST. JOE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(Dollars in thousands, unless otherwise 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Nature of Operations</w:t>
      </w:r>
    </w:p>
    <w:p>
      <w:pPr>
        <w:spacing w:after="0" w:line="229" w:lineRule="exact"/>
        <w:rPr>
          <w:sz w:val="20"/>
          <w:szCs w:val="20"/>
          <w:color w:val="auto"/>
        </w:rPr>
      </w:pPr>
    </w:p>
    <w:p>
      <w:pPr>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St. Joe Company together with its consolidated subsidiaries (“St. Joe” or the “Company”) is a diversified Florida real estate development, asset management and operating company with all of its real estate assets and operations in Northwest Florida. Approximately 87% of the Company’s real estate is located in Florida’s Bay, Gulf, and Walton counties. Approximately 90% of the Company’s real estate land holdings are located within fifteen miles of the Gulf of America, formerly known as the Gulf of Mexico (the “Gulf”).</w:t>
      </w:r>
    </w:p>
    <w:p>
      <w:pPr>
        <w:spacing w:after="0" w:line="183" w:lineRule="exact"/>
        <w:rPr>
          <w:sz w:val="20"/>
          <w:szCs w:val="20"/>
          <w:color w:val="auto"/>
        </w:rPr>
      </w:pPr>
    </w:p>
    <w:p>
      <w:pPr>
        <w:ind w:left="60" w:right="559" w:firstLine="324"/>
        <w:spacing w:after="0" w:line="282" w:lineRule="auto"/>
        <w:rPr>
          <w:sz w:val="20"/>
          <w:szCs w:val="20"/>
          <w:color w:val="auto"/>
        </w:rPr>
      </w:pPr>
      <w:r>
        <w:rPr>
          <w:rFonts w:ascii="Times New Roman" w:cs="Times New Roman" w:eastAsia="Times New Roman" w:hAnsi="Times New Roman"/>
          <w:sz w:val="18"/>
          <w:szCs w:val="18"/>
          <w:color w:val="auto"/>
        </w:rPr>
        <w:t xml:space="preserve">The Company conducts primarily all of its business in the following three reportable segments: 1) residential, 2) hospitality and 3) commercial. See Note 16.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xml:space="preserve"> for additional information</w:t>
      </w:r>
      <w:r>
        <w:rPr>
          <w:rFonts w:ascii="Times New Roman" w:cs="Times New Roman" w:eastAsia="Times New Roman" w:hAnsi="Times New Roman"/>
          <w:sz w:val="18"/>
          <w:szCs w:val="18"/>
          <w:i w:val="1"/>
          <w:iCs w:val="1"/>
          <w:color w:val="auto"/>
        </w:rPr>
        <w: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229"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have been prepared pursuant to the rules and regulations of the Securities and Exchange Commission (the “SEC”) for reporting on Form 10-Q. Accordingly, certain information and footnotes required by United States generally accepted accounting principles (“GAAP”) for complete financial statements are not included herein. The unaudited interim condensed consolidated financial statements include the accounts of the Company and all of its majority-owned and controlled subsidiaries, voting interest entities where the Company has a majority voting interest or control and variable interest entities where the Company deems itself the primary beneficiary. Investments in JVs in which the Company is not the primary beneficiary, or a voting interest entity where the Company does not have a majority voting interest or control, but has significant influence are unconsolidated and accounted for by the equity method of accounting. All significant intercompany transactions and balances have been eliminated in consolidation. The December 31, 2025 condensed consolidated balance sheet amounts have been derived from the Company’s December 31, 2025 audited consolidated financial statements. Certain prior period amounts in the accompanying condensed consolidated financial statements have been reclassified to conform to the current year presentation. The reclassifications had no effect on the Company’s previously reported total assets and liabilities, equity or net income. Operating results for the nine months ended September 30, 2026 are not necessarily indicative of the results that may be expected for the full year ending December 31, 2026.</w:t>
      </w:r>
    </w:p>
    <w:p>
      <w:pPr>
        <w:spacing w:after="0" w:line="196"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 xml:space="preserve">A variable interest entity (“VIE”) is an entity in which a controlling financial interest may be achieved through arrangements that do not involve voting interests. A VIE is required to be consolidated by its primary beneficiary, which is the entity that possesses the power to direct the activities of the VIE that most significantly impact the VIE’s economic performance and has the obligation to absorb losses or the right to receive benefits from the VIE that are significant to the VIE. The Company consolidates VIEs when it is the primary beneficiary of the VIE. The Company continues to evaluate whether it is the primary beneficiary as needed when assessing reconsideration events. See Note 4. </w:t>
      </w:r>
      <w:r>
        <w:rPr>
          <w:rFonts w:ascii="Times New Roman" w:cs="Times New Roman" w:eastAsia="Times New Roman" w:hAnsi="Times New Roman"/>
          <w:sz w:val="18"/>
          <w:szCs w:val="18"/>
          <w:i w:val="1"/>
          <w:iCs w:val="1"/>
          <w:color w:val="auto"/>
        </w:rPr>
        <w:t>Joint Ventures</w:t>
      </w:r>
      <w:r>
        <w:rPr>
          <w:rFonts w:ascii="Times New Roman" w:cs="Times New Roman" w:eastAsia="Times New Roman" w:hAnsi="Times New Roman"/>
          <w:sz w:val="18"/>
          <w:szCs w:val="18"/>
          <w:color w:val="auto"/>
        </w:rPr>
        <w:t xml:space="preserve"> for additional information.</w:t>
      </w:r>
    </w:p>
    <w:p>
      <w:pPr>
        <w:spacing w:after="0" w:line="189"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The unaudited interim condensed consolidated financial statements reflect all normal recurring adjustments that in the opinion of management are necessary for fair presentation of the information contained herein. The unaudited interim condensed consolidated financial statements should be read in conjunction with the consolidated financial statements and notes included in the Company’s Annual Report on Form 10-K for the year ended December 31, 2025. The Company adheres to the same accounting policies in preparation of its unaudited interim condensed consolidated financial statements as the Company’s December 31, 2025 annual financial statements, except for any recently adopted accounting pronouncements. As required under GAAP, interim accounting for certain expenses, including income taxes, are based on full year assumptions. For interim financial reporting purposes, income taxes are recorded based upon estimated annual income tax rates.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Risks and Uncertainties</w:t>
      </w:r>
    </w:p>
    <w:p>
      <w:pPr>
        <w:spacing w:after="0" w:line="229" w:lineRule="exact"/>
        <w:rPr>
          <w:sz w:val="20"/>
          <w:szCs w:val="20"/>
          <w:color w:val="auto"/>
        </w:rPr>
      </w:pPr>
    </w:p>
    <w:p>
      <w:pPr>
        <w:ind w:left="60" w:right="299" w:firstLine="324"/>
        <w:spacing w:after="0" w:line="282" w:lineRule="auto"/>
        <w:rPr>
          <w:sz w:val="20"/>
          <w:szCs w:val="20"/>
          <w:color w:val="auto"/>
        </w:rPr>
      </w:pPr>
      <w:r>
        <w:rPr>
          <w:rFonts w:ascii="Times New Roman" w:cs="Times New Roman" w:eastAsia="Times New Roman" w:hAnsi="Times New Roman"/>
          <w:sz w:val="18"/>
          <w:szCs w:val="18"/>
          <w:color w:val="auto"/>
        </w:rPr>
        <w:t>All of the Company’s real estate assets are concentrated in Northwest Florida. Uncertain economic conditions could have an adverse impact on the Company’s operations and asset values.</w:t>
      </w:r>
    </w:p>
    <w:p>
      <w:pPr>
        <w:spacing w:after="0" w:line="162"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While macroeconomic factors such as uncertainty over tariffs, continued inflation, geopolitical conflicts, rising interest rates, elevated fuel costs and higher insurance costs for consumers and overall consumer confidence, among other things, continued to produce economic headwinds and impacted buyer sentiment in many parts of the country, the Company’s segments continued to generate positive financial results through the first nine months of 2026. The Company believes this is primarily due to the continued growth of Northwest Florida as a result of net migration, which the Company attributes to the region’s high quality of life, natural beauty and outstanding amenities.</w:t>
      </w:r>
    </w:p>
    <w:p>
      <w:pPr>
        <w:spacing w:after="0" w:line="187"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Rising interest rates, market conditions in home states, and higher insurance costs have negatively impacted or delayed the ability of some buyers to obtain financing or sell their existing homes in their home states. The negative impact has been partially offset by the net migration into the Company’s markets and the number of cash buyers. In addition, the Company has not experienced an increase in cancellation rates as homebuilders have continued to perform on their contractual obligations with the Company.</w:t>
      </w:r>
    </w:p>
    <w:p>
      <w:pPr>
        <w:spacing w:after="0" w:line="183"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The Company’s operations may be affected by seasonal fluctuations. The revenues and earnings from the Company’s business segments may vary significantly from period to period. Homebuilders tend to buy multiple homesites in sporadic transactions. In addition, homesite prices vary significantly by community, which further impacts period over period results. Therefore, there may be reporting periods in which the Company has no, or significantly less, revenue from real estate sales. The Company may also choose to operate rather than lease assets, lease rather than sell assets, or sell improved rather than unimproved assets that may delay revenue and profits.</w:t>
      </w:r>
    </w:p>
    <w:p>
      <w:pPr>
        <w:spacing w:after="0" w:line="187"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Hospitality revenues are typically higher in the second and third quarters, and vary depending on the timing of holidays and school breaks. Commercial and hospitality real estate sales tend to be non-recurring. Projects depend on uncertain demand. Extraordinary events such as hurricanes may dramatically change demand and pricing for products and services.</w:t>
      </w:r>
    </w:p>
    <w:p>
      <w:pPr>
        <w:spacing w:after="0" w:line="180"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Given the Company’s diverse portfolio of residential holdings, the mix of sales and pricing from different communities may impact revenue and margins period over period.</w:t>
      </w:r>
    </w:p>
    <w:p>
      <w:pPr>
        <w:spacing w:after="0" w:line="162"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a concentration of credit risk consist of cash, cash equivalents, receivables and investments held by special purpose entity or entities (“SPE”). The Company deposits and invests cash with local, regional and national financial institutions, and as of September 30, 2026, these balances exceeded the amount of F.D.I.C. insurance provided on such deposits. In addition, as of September 30, 2026, the Company had $63.8 million invested in short-term U.S. Treasury Bills and $1.9 million invested in U.S. Treasury Money Market Funds classified as cash and cash equivalents.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229"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 xml:space="preserve">Basic earnings per share is calculated by dividing net income attributable to the Company by the basic weighted average number of common shares outstanding for the period. Diluted earnings per share is calculated by dividing net income attributable to the Company by the weighted average number of shares of common stock outstanding for the period, including potential dilutive common shares. The treasury stock method is used to determine the effect on diluted earnings. For the nine months ended September 30, 2026 and 2025, the Company had 62,655 and 60,217, respectively, unvested shares of restricted stock. For the three months ended September 30, 2026 and 2025, 41,873 and 42,877, respectively, potentially dilutive restricted stock units were excluded from the calculation of diluted income per share and for the nine months ended September 30, 2026 and 2025, 42,907 and 48,136, respectively, potentially dilutive restricted stock units were excluded from the calculation of diluted income per share since the effect would have been anti-dilutive based on the application of the treasury stock method. See Note 13.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xml:space="preserve"> for additional information related to the issuance of common stock for employee compensation.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computation of basic and diluted earnings per share are as follows:</w:t>
      </w:r>
    </w:p>
    <w:p>
      <w:pPr>
        <w:spacing w:after="0" w:line="28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120" w:type="dxa"/>
            <w:vAlign w:val="bottom"/>
          </w:tcPr>
          <w:p>
            <w:pPr>
              <w:spacing w:after="0"/>
              <w:rPr>
                <w:sz w:val="15"/>
                <w:szCs w:val="15"/>
                <w:color w:val="auto"/>
              </w:rPr>
            </w:pPr>
          </w:p>
        </w:tc>
        <w:tc>
          <w:tcPr>
            <w:tcW w:w="242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5"/>
                <w:szCs w:val="15"/>
                <w:color w:val="auto"/>
              </w:rPr>
            </w:pPr>
          </w:p>
        </w:tc>
        <w:tc>
          <w:tcPr>
            <w:tcW w:w="2260" w:type="dxa"/>
            <w:vAlign w:val="bottom"/>
            <w:gridSpan w:val="4"/>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83"/>
        </w:trPr>
        <w:tc>
          <w:tcPr>
            <w:tcW w:w="412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4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60" w:type="dxa"/>
            <w:vAlign w:val="bottom"/>
            <w:gridSpan w:val="9"/>
          </w:tcPr>
          <w:p>
            <w:pPr>
              <w:jc w:val="right"/>
              <w:spacing w:after="0"/>
              <w:rPr>
                <w:sz w:val="20"/>
                <w:szCs w:val="20"/>
                <w:color w:val="auto"/>
              </w:rPr>
            </w:pPr>
            <w:r>
              <w:rPr>
                <w:rFonts w:ascii="Times New Roman" w:cs="Times New Roman" w:eastAsia="Times New Roman" w:hAnsi="Times New Roman"/>
                <w:sz w:val="14"/>
                <w:szCs w:val="14"/>
                <w:i w:val="1"/>
                <w:iCs w:val="1"/>
                <w:color w:val="auto"/>
              </w:rPr>
              <w:t>(Dollars in thousands except per share amounts)</w:t>
            </w:r>
          </w:p>
        </w:tc>
        <w:tc>
          <w:tcPr>
            <w:tcW w:w="920" w:type="dxa"/>
            <w:vAlign w:val="bottom"/>
          </w:tcPr>
          <w:p>
            <w:pPr>
              <w:spacing w:after="0"/>
              <w:rPr>
                <w:sz w:val="17"/>
                <w:szCs w:val="17"/>
                <w:color w:val="auto"/>
              </w:rPr>
            </w:pPr>
          </w:p>
        </w:tc>
      </w:tr>
      <w:tr>
        <w:trPr>
          <w:trHeight w:val="21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56"/>
        </w:trPr>
        <w:tc>
          <w:tcPr>
            <w:tcW w:w="41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Net income attributable to the Company</w:t>
            </w: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36,924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38,707</w:t>
            </w: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91,332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85,693</w:t>
            </w:r>
          </w:p>
        </w:tc>
      </w:tr>
      <w:tr>
        <w:trPr>
          <w:trHeight w:val="197"/>
        </w:trPr>
        <w:tc>
          <w:tcPr>
            <w:tcW w:w="4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6"/>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4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56,735,090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57,841,815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57,123,147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58,046,234</w:t>
            </w:r>
          </w:p>
        </w:tc>
      </w:tr>
      <w:tr>
        <w:trPr>
          <w:trHeight w:val="216"/>
        </w:trPr>
        <w:tc>
          <w:tcPr>
            <w:tcW w:w="41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Incremental shares from restricted stock</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20,782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17,340</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19,748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12,081</w:t>
            </w:r>
          </w:p>
        </w:tc>
      </w:tr>
      <w:tr>
        <w:trPr>
          <w:trHeight w:val="209"/>
        </w:trPr>
        <w:tc>
          <w:tcPr>
            <w:tcW w:w="41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56,755,872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57,859,155</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57,142,895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58,058,315</w:t>
            </w:r>
          </w:p>
        </w:tc>
      </w:tr>
      <w:tr>
        <w:trPr>
          <w:trHeight w:val="20"/>
        </w:trPr>
        <w:tc>
          <w:tcPr>
            <w:tcW w:w="4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97"/>
        </w:trPr>
        <w:tc>
          <w:tcPr>
            <w:tcW w:w="4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share attributable to the Company</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56"/>
        </w:trPr>
        <w:tc>
          <w:tcPr>
            <w:tcW w:w="41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Basic income per share</w:t>
            </w: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196"/>
        </w:trPr>
        <w:tc>
          <w:tcPr>
            <w:tcW w:w="4120" w:type="dxa"/>
            <w:vAlign w:val="bottom"/>
            <w:tcBorders>
              <w:bottom w:val="single" w:sz="8" w:color="CCEEFF"/>
            </w:tcBorders>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auto"/>
              </w:rPr>
              <w:t>Diluted income per share</w:t>
            </w:r>
          </w:p>
        </w:tc>
        <w:tc>
          <w:tcPr>
            <w:tcW w:w="200" w:type="dxa"/>
            <w:vAlign w:val="bottom"/>
            <w:tcBorders>
              <w:bottom w:val="single" w:sz="8" w:color="auto"/>
            </w:tcBorders>
            <w:shd w:val="clear" w:color="auto" w:fill="CCEEFF"/>
          </w:tcPr>
          <w:p>
            <w:pPr>
              <w:jc w:val="right"/>
              <w:ind w:right="15"/>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0.65</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0.67</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1.48</w:t>
            </w:r>
          </w:p>
        </w:tc>
      </w:tr>
      <w:tr>
        <w:trPr>
          <w:trHeight w:val="20"/>
        </w:trPr>
        <w:tc>
          <w:tcPr>
            <w:tcW w:w="4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9" w:lineRule="exact"/>
        <w:rPr>
          <w:sz w:val="20"/>
          <w:szCs w:val="20"/>
          <w:color w:val="auto"/>
        </w:rPr>
      </w:pPr>
    </w:p>
    <w:p>
      <w:pPr>
        <w:ind w:left="60" w:right="279" w:firstLine="324"/>
        <w:spacing w:after="0" w:line="266" w:lineRule="auto"/>
        <w:rPr>
          <w:sz w:val="20"/>
          <w:szCs w:val="20"/>
          <w:color w:val="auto"/>
        </w:rPr>
      </w:pPr>
      <w:r>
        <w:rPr>
          <w:rFonts w:ascii="Times New Roman" w:cs="Times New Roman" w:eastAsia="Times New Roman" w:hAnsi="Times New Roman"/>
          <w:sz w:val="18"/>
          <w:szCs w:val="18"/>
          <w:color w:val="auto"/>
        </w:rPr>
        <w:t>There have been no recently adopted accounting pronouncements, which would have a material effect on the Company’s financial condition, results of operations and cash flows other than those disclosed in the Company’s Annual Report on Form 10-K for the year ended December 31, 2025.</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Income Statement – Reporting Comprehensive Income – Expense Disaggregation Disclosures</w:t>
      </w:r>
    </w:p>
    <w:p>
      <w:pPr>
        <w:spacing w:after="0" w:line="225"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 xml:space="preserve">In November 2024, the Financial Accounting Standards Board (“FASB”) issued ASU 2024-03, </w:t>
      </w:r>
      <w:r>
        <w:rPr>
          <w:rFonts w:ascii="Times New Roman" w:cs="Times New Roman" w:eastAsia="Times New Roman" w:hAnsi="Times New Roman"/>
          <w:sz w:val="18"/>
          <w:szCs w:val="18"/>
          <w:i w:val="1"/>
          <w:iCs w:val="1"/>
          <w:color w:val="auto"/>
        </w:rPr>
        <w:t>Income Statement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Reporting Comprehensive Income – Expense Disaggregation Disclosures (Subtopic 220-40): Disaggregation of Income Statement Expenses </w:t>
      </w:r>
      <w:r>
        <w:rPr>
          <w:rFonts w:ascii="Times New Roman" w:cs="Times New Roman" w:eastAsia="Times New Roman" w:hAnsi="Times New Roman"/>
          <w:sz w:val="18"/>
          <w:szCs w:val="18"/>
          <w:color w:val="auto"/>
        </w:rPr>
        <w:t>(“ASU 2024-03”) that requires additional disclosure in the notes to the financial statements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information about specific costs and expense categories, including purchases of inventory, employee compensation, depreciation, intangible asset amortization and selling expenses, as well as qualitative descriptions for certain other expenses. In January 2025, the FASB issued ASU 2025-01, </w:t>
      </w:r>
      <w:r>
        <w:rPr>
          <w:rFonts w:ascii="Times New Roman" w:cs="Times New Roman" w:eastAsia="Times New Roman" w:hAnsi="Times New Roman"/>
          <w:sz w:val="18"/>
          <w:szCs w:val="18"/>
          <w:i w:val="1"/>
          <w:iCs w:val="1"/>
          <w:color w:val="auto"/>
        </w:rPr>
        <w:t>Income Statement - Reporting Comprehensive Income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Expense Disaggregation Disclosures (Subtopic 220-40): Clarifying the Effective Date </w:t>
      </w:r>
      <w:r>
        <w:rPr>
          <w:rFonts w:ascii="Times New Roman" w:cs="Times New Roman" w:eastAsia="Times New Roman" w:hAnsi="Times New Roman"/>
          <w:sz w:val="18"/>
          <w:szCs w:val="18"/>
          <w:color w:val="auto"/>
        </w:rPr>
        <w:t>(“ASU 2025-01”) that clarifies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date of ASU 2024-03. This guidance will be effective for annual reporting periods beginning after December 15, 2026, and for interim reporting periods within annual reporting periods beginning after December 15, 2027, with early adoption permitted. The guidance should be applied either prospectively for periods after the effective date or retrospectively to all prior periods presented. The Company is currently evaluating the impact that the adoption of this guidance will have on its financial condition, results of operations, cash flows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Investment in Real Estate, Net</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Investment in real estate, net, excluding unconsolidated JVs, by property type and segment includes the following:</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31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 w:type="dxa"/>
            <w:vAlign w:val="bottom"/>
          </w:tcPr>
          <w:p>
            <w:pPr>
              <w:spacing w:after="0"/>
              <w:rPr>
                <w:sz w:val="13"/>
                <w:szCs w:val="13"/>
                <w:color w:val="auto"/>
              </w:rPr>
            </w:pPr>
          </w:p>
        </w:tc>
        <w:tc>
          <w:tcPr>
            <w:tcW w:w="12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 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540" w:type="dxa"/>
            <w:vAlign w:val="bottom"/>
            <w:tcBorders>
              <w:bottom w:val="single" w:sz="8" w:color="CCEEFF"/>
            </w:tcBorders>
          </w:tcPr>
          <w:p>
            <w:pPr>
              <w:spacing w:after="0"/>
              <w:rPr>
                <w:sz w:val="15"/>
                <w:szCs w:val="15"/>
                <w:color w:val="auto"/>
              </w:rPr>
            </w:pPr>
          </w:p>
        </w:tc>
        <w:tc>
          <w:tcPr>
            <w:tcW w:w="22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Development property:</w:t>
            </w:r>
          </w:p>
        </w:tc>
        <w:tc>
          <w:tcPr>
            <w:tcW w:w="2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Residential</w:t>
            </w:r>
          </w:p>
        </w:tc>
        <w:tc>
          <w:tcPr>
            <w:tcW w:w="24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139,683</w:t>
            </w:r>
          </w:p>
        </w:tc>
        <w:tc>
          <w:tcPr>
            <w:tcW w:w="380" w:type="dxa"/>
            <w:vAlign w:val="bottom"/>
            <w:gridSpan w:val="4"/>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Hospitality</w:t>
            </w:r>
          </w:p>
        </w:tc>
        <w:tc>
          <w:tcPr>
            <w:tcW w:w="2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13,525</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Commercial</w:t>
            </w:r>
          </w:p>
        </w:tc>
        <w:tc>
          <w:tcPr>
            <w:tcW w:w="2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96,964</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2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8,952</w:t>
            </w: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development property</w:t>
            </w:r>
          </w:p>
        </w:tc>
        <w:tc>
          <w:tcPr>
            <w:tcW w:w="2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259,124</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257,145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property:</w:t>
            </w:r>
          </w:p>
        </w:tc>
        <w:tc>
          <w:tcPr>
            <w:tcW w:w="2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gridSpan w:val="4"/>
          </w:tcPr>
          <w:p>
            <w:pPr>
              <w:jc w:val="right"/>
              <w:ind w:right="244"/>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Residential</w:t>
            </w:r>
          </w:p>
        </w:tc>
        <w:tc>
          <w:tcPr>
            <w:tcW w:w="2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6,613</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Hospitality</w:t>
            </w:r>
          </w:p>
        </w:tc>
        <w:tc>
          <w:tcPr>
            <w:tcW w:w="2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444,488</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445,295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Commercial</w:t>
            </w:r>
          </w:p>
        </w:tc>
        <w:tc>
          <w:tcPr>
            <w:tcW w:w="2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448,455</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459,601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2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3,549</w:t>
            </w: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Total operating property</w:t>
            </w:r>
          </w:p>
        </w:tc>
        <w:tc>
          <w:tcPr>
            <w:tcW w:w="2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903,105</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914,730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179,601</w:t>
            </w: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167,017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Total operating property, net</w:t>
            </w:r>
          </w:p>
        </w:tc>
        <w:tc>
          <w:tcPr>
            <w:tcW w:w="2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723,504</w:t>
            </w: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747,713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Investment in real estate, net</w:t>
            </w:r>
          </w:p>
        </w:tc>
        <w:tc>
          <w:tcPr>
            <w:tcW w:w="222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982,628</w:t>
            </w:r>
          </w:p>
        </w:tc>
        <w:tc>
          <w:tcPr>
            <w:tcW w:w="4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1,004,858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79" w:firstLine="324"/>
        <w:spacing w:after="0" w:line="282" w:lineRule="auto"/>
        <w:rPr>
          <w:sz w:val="20"/>
          <w:szCs w:val="20"/>
          <w:color w:val="auto"/>
        </w:rPr>
      </w:pPr>
      <w:r>
        <w:rPr>
          <w:rFonts w:ascii="Times New Roman" w:cs="Times New Roman" w:eastAsia="Times New Roman" w:hAnsi="Times New Roman"/>
          <w:sz w:val="18"/>
          <w:szCs w:val="18"/>
          <w:color w:val="auto"/>
        </w:rPr>
        <w:t>Investment in real estate, net is carried at cost, net of depreciation and timber depletion, unless circumstances indicate that the carrying value of the assets may not be recoverable.</w:t>
      </w:r>
    </w:p>
    <w:p>
      <w:pPr>
        <w:spacing w:after="0" w:line="162"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Development property consists of land the Company is developing or intends to develop for sale, lease or future operations and includes direct costs associated with the land, as well as development, construction and indirect costs. Residential development property includes existing and planned residential homesites and related infrastructure, as well as completed townhomes. Hospitality development property consists of land, as well as development costs related to improvements to existing properties and design costs for other hospitality assets. Commercial development property primarily consists of land and construction and development costs for planned commercial, multi-family and industrial uses. Other development property includes mitigation banks and construction and development costs of a building for the Company’s real estate brokerage business, title insurance agency and insurance agency businesses. Development property in the hospitality and commercial segments will be reclassified as operating property as it is placed into service.</w:t>
      </w:r>
    </w:p>
    <w:p>
      <w:pPr>
        <w:spacing w:after="0" w:line="188" w:lineRule="exact"/>
        <w:rPr>
          <w:sz w:val="20"/>
          <w:szCs w:val="20"/>
          <w:color w:val="auto"/>
        </w:rPr>
      </w:pPr>
    </w:p>
    <w:p>
      <w:pPr>
        <w:ind w:left="60" w:right="79" w:firstLine="324"/>
        <w:spacing w:after="0" w:line="273" w:lineRule="auto"/>
        <w:rPr>
          <w:sz w:val="20"/>
          <w:szCs w:val="20"/>
          <w:color w:val="auto"/>
        </w:rPr>
      </w:pPr>
      <w:r>
        <w:rPr>
          <w:rFonts w:ascii="Times New Roman" w:cs="Times New Roman" w:eastAsia="Times New Roman" w:hAnsi="Times New Roman"/>
          <w:sz w:val="17"/>
          <w:szCs w:val="17"/>
          <w:color w:val="auto"/>
        </w:rPr>
        <w:t>Operating property includes property that the Company uses for operations and activities. Residential operating property consists primarily of residential utility assets. Hospitality operating property primarily consists of existing hotels, resorts, clubs, marinas and other operations. Commercial operating property includes property used for retail, office, self-storage, light industrial, multi-family, commercial rental and timber purposes. Other operating property includes property used in the Company’s real estate brokerage business, title insurance agency and insurance agency businesses. Operating property may be sold in the future as part of the Company’s principal real estate business. As of September 30, 2026 and December 31, 2025, operating property, net related to operating leases was $341.2 million and $355.1 million, respectively.</w:t>
      </w:r>
    </w:p>
    <w:p>
      <w:pPr>
        <w:spacing w:after="0" w:line="1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Joint Ventures</w:t>
      </w:r>
    </w:p>
    <w:p>
      <w:pPr>
        <w:spacing w:after="0" w:line="229" w:lineRule="exact"/>
        <w:rPr>
          <w:sz w:val="20"/>
          <w:szCs w:val="20"/>
          <w:color w:val="auto"/>
        </w:rPr>
      </w:pPr>
    </w:p>
    <w:p>
      <w:pPr>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Company enters into JVs, from time to time, for the purpose of developing real estate and other business activities in which the Company may or may not have a controlling financial interest. GAAP requires consolidation of voting interest entities where the Company has a majority voting interest or control and VIEs in which an enterprise has a controlling financial interest and is the primary beneficiary. A controlling financial interest will have both of the following characteristics: (i) the power to direct the VIE activities that most significantly impact economic performance and (ii) the obligation to absorb losses or the right to receive benefits from the VIE that could potentially be significant to the VIE. The Company examines specific criteria and uses judgment when determining whether the Company is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primary beneficiary and must consolidate a VIE. The Company continues to evaluate whether it is the primary beneficiary as needed when assessing reconsideration events. Investments in JVs in which the Company is not the primary beneficiary, or a voting interest entity where the Company does not have a majority voting interest or control, but has significant influence are unconsolidated and accounted for by the equity method of accounting.</w:t>
      </w:r>
    </w:p>
    <w:p>
      <w:pPr>
        <w:spacing w:after="0" w:line="180" w:lineRule="exact"/>
        <w:rPr>
          <w:sz w:val="20"/>
          <w:szCs w:val="20"/>
          <w:color w:val="auto"/>
        </w:rPr>
      </w:pPr>
    </w:p>
    <w:p>
      <w:pPr>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 timing of cash flows for additional required capital contributions related to the Company’s JVs varies by agreement. Some of the Company’s consolidated and unconsolidated JVs have entered into financing agreements where the Company or its JV partners have provided guarantees. See Note 8. </w:t>
      </w:r>
      <w:r>
        <w:rPr>
          <w:rFonts w:ascii="Times New Roman" w:cs="Times New Roman" w:eastAsia="Times New Roman" w:hAnsi="Times New Roman"/>
          <w:sz w:val="18"/>
          <w:szCs w:val="18"/>
          <w:i w:val="1"/>
          <w:iCs w:val="1"/>
          <w:color w:val="auto"/>
        </w:rPr>
        <w:t>Debt, Net</w:t>
      </w:r>
      <w:r>
        <w:rPr>
          <w:rFonts w:ascii="Times New Roman" w:cs="Times New Roman" w:eastAsia="Times New Roman" w:hAnsi="Times New Roman"/>
          <w:sz w:val="18"/>
          <w:szCs w:val="18"/>
          <w:color w:val="auto"/>
        </w:rPr>
        <w:t xml:space="preserve"> and Note 17. </w:t>
      </w:r>
      <w:r>
        <w:rPr>
          <w:rFonts w:ascii="Times New Roman" w:cs="Times New Roman" w:eastAsia="Times New Roman" w:hAnsi="Times New Roman"/>
          <w:sz w:val="18"/>
          <w:szCs w:val="18"/>
          <w:i w:val="1"/>
          <w:iCs w:val="1"/>
          <w:color w:val="auto"/>
        </w:rPr>
        <w:t>Commitments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Contingencies </w:t>
      </w:r>
      <w:r>
        <w:rPr>
          <w:rFonts w:ascii="Times New Roman" w:cs="Times New Roman" w:eastAsia="Times New Roman" w:hAnsi="Times New Roman"/>
          <w:sz w:val="18"/>
          <w:szCs w:val="18"/>
          <w:color w:val="auto"/>
        </w:rPr>
        <w:t>for additional information. The Company provides land, mitigation bank credits, impact and other fees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services to certain unconsolidated JVs and incurs expenses for leasing management services from the Company’s unconsolidated Watersound Management, LLC (“Watersound Management JV”), see Note 18.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xml:space="preserve"> for additional information.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Consolidated Joint Ventures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Mexico Beach Crossings JV</w:t>
      </w:r>
    </w:p>
    <w:p>
      <w:pPr>
        <w:spacing w:after="0" w:line="227"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Mexico Beach Crossings JV was formed in 2022, when the Company entered into a JV agreement to develop, manage and lease a 216-unit multi-family community in Mexico Beach, Florida. As of September 30, 2026 and December 31, 2025, the Company owned a 75.0% interest in the consolidated JV. The Company’s unconsolidated Watersound Management JV is responsible for the day-to-day activities of the community. The Company approves all major decisions, including project development, annual budgets and financing. The Company determined Mexico Beach Crossings JV is a voting interest entity as of September 30, 2026 and December 31, 2025.</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The Lodge 30A JV</w:t>
      </w:r>
    </w:p>
    <w:p>
      <w:pPr>
        <w:spacing w:after="0" w:line="227" w:lineRule="exact"/>
        <w:rPr>
          <w:sz w:val="20"/>
          <w:szCs w:val="20"/>
          <w:color w:val="auto"/>
        </w:rPr>
      </w:pPr>
    </w:p>
    <w:p>
      <w:pPr>
        <w:ind w:left="60" w:right="179" w:firstLine="324"/>
        <w:spacing w:after="0" w:line="256" w:lineRule="auto"/>
        <w:rPr>
          <w:sz w:val="20"/>
          <w:szCs w:val="20"/>
          <w:color w:val="auto"/>
        </w:rPr>
      </w:pPr>
      <w:r>
        <w:rPr>
          <w:rFonts w:ascii="Times New Roman" w:cs="Times New Roman" w:eastAsia="Times New Roman" w:hAnsi="Times New Roman"/>
          <w:sz w:val="18"/>
          <w:szCs w:val="18"/>
          <w:color w:val="auto"/>
        </w:rPr>
        <w:t>The Lodge 30A JV was formed in 2020, when the Company entered into a JV agreement to develop and operate an 85-room boutique hotel on Scenic County Highway 30A in Seagrove Beach, Florida. As of September 30, 2026 and December 31, 2025, the Company owned a 52.8% interest in the consolidated JV. A wholly-owned subsidiary of the Company manages the day-to-day operations of the hotel. The Company approves all major decisions, including project development, annual budgets and financing. The Company determined The Lodge 30A JV is a VIE and that the Company is the VIE’s primary beneficiary as of September 30, 2026 and December 31, 2025.</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Pier Park Resort Hotel JV</w:t>
      </w:r>
    </w:p>
    <w:p>
      <w:pPr>
        <w:spacing w:after="0" w:line="227" w:lineRule="exact"/>
        <w:rPr>
          <w:sz w:val="20"/>
          <w:szCs w:val="20"/>
          <w:color w:val="auto"/>
        </w:rPr>
      </w:pPr>
    </w:p>
    <w:p>
      <w:pPr>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Pier Park Resort Hotel JV was formed in 2020, when the Company entered into a JV agreement to develop and operate a 255-room Embassy Suites by Hilton hotel in the Pier Park area of Panama City Beach, Florida. As of September 30, 2026 and December 31, 2025, the Company owned a 70.0% interest in the consolidated JV. A wholly-owned subsidiary of the Company manages the day-to-day operations of the hotel. The Company has significant involvement in the project design and development, annual budgets and financing. The Company determined Pier Park Resort Hotel JV is a VIE and that the Company is the VIE’s primary beneficiary as of September 30, 2026 and December 31, 2025.</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Pier Park Crossings Phase II JV</w:t>
      </w:r>
    </w:p>
    <w:p>
      <w:pPr>
        <w:spacing w:after="0" w:line="227"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Pier Park Crossings Phase II JV was formed in 2019, when the Company entered into a JV agreement to develop, manage and lease a 120-unit multi-family community in the Pier Park area of Panama City Beach, Florida. As of September 30, 2026 and December 31, 2025, the Company owned a 75.0% interest in the consolidated JV. The Company’s unconsolidated Watersound Management JV is responsible for the day-to-day activities of the community. The Company approves all major decisions, including project development, annual budgets and financing. The Company determined Pier Park Crossings Phase II JV is a VIE and that the Company is the VIE’s primary beneficiary as of September 30, 2026 and December 31, 2025.</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Watercrest JV</w:t>
      </w:r>
    </w:p>
    <w:p>
      <w:pPr>
        <w:spacing w:after="0" w:line="227"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Watercrest JV was formed in 2019, when the Company entered into a JV agreement to develop and operate a 107-unit senior living community in Santa Rosa Beach, Florida. In September 2025, the Watercrest JV sold its senior living community property to a third-party and ceased operating activities. As of September 30, 2026 and December 31, 2025, the Company owned an 87.0% interest in the consolidated JV.</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Watersound Origins Crossings JV</w:t>
      </w:r>
    </w:p>
    <w:p>
      <w:pPr>
        <w:spacing w:after="0" w:line="227"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Watersound Origins Crossings JV was formed in 2019, when the Company entered into a JV agreement to develop, manage and lease a 217-unit multi-family community near the entrance to the Watersound Origins residential community. As of September 30, 2026 and December 31, 2025, the Company owned a 75.0% interest in the consolidated JV. The Company’s unconsolidated Watersound Management JV is responsible for the day-to-day activities of the community. The Company approves all major decisions, including project development, annual budgets and financing. The Company determined Watersound Origins Crossings JV is a VIE and that the Company is the VIE’s primary beneficiary as of September 30, 2026 and December 31, 2025.</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Pier Park Crossings JV</w:t>
      </w:r>
    </w:p>
    <w:p>
      <w:pPr>
        <w:spacing w:after="0" w:line="227" w:lineRule="exact"/>
        <w:rPr>
          <w:sz w:val="20"/>
          <w:szCs w:val="20"/>
          <w:color w:val="auto"/>
        </w:rPr>
      </w:pPr>
    </w:p>
    <w:p>
      <w:pPr>
        <w:ind w:left="60" w:right="199" w:firstLine="324"/>
        <w:spacing w:after="0" w:line="255" w:lineRule="auto"/>
        <w:rPr>
          <w:sz w:val="20"/>
          <w:szCs w:val="20"/>
          <w:color w:val="auto"/>
        </w:rPr>
      </w:pPr>
      <w:r>
        <w:rPr>
          <w:rFonts w:ascii="Times New Roman" w:cs="Times New Roman" w:eastAsia="Times New Roman" w:hAnsi="Times New Roman"/>
          <w:sz w:val="18"/>
          <w:szCs w:val="18"/>
          <w:color w:val="auto"/>
        </w:rPr>
        <w:t>Pier Park Crossings JV was formed in 2017, when the Company entered into a JV agreement to develop, manage and lease a 240-unit multi-family community in the Pier Park area of Panama City Beach, Florida. As of September 30, 2026 and December 31, 2025, the Company owned a 75.0% interest in the consolidated JV. The Company’s unconsolidated Watersound Management JV is responsible for the day-to-day activities of the community. The Company approves all major decisions, including project development, annual budgets and financing. The Company determined Pier Park Crossings JV is a VIE and that the Company is the VIE’s primary beneficiary as of September 30, 2026 and December 31, 2025.</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Pier Park North JV</w:t>
      </w:r>
    </w:p>
    <w:p>
      <w:pPr>
        <w:spacing w:after="0" w:line="227"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During 2012, the Company entered into a JV agreement with a partner to develop a retail center at Pier Park North. As of September 30, 2026 and December 31, 2025, the Company owned a 90.0% interest in the consolidated JV. A wholly-owned subsidiary of the Company’s JV partner is responsible for the day-to-day activities of the retail center. The Company approves all major decisions, including project development, annual budgets and financing. The Company determined Pier Park North JV is a VIE and that the Company is the VIE’s primary beneficiary as of September 30, 2026 and December 31, 2025.</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Unconsolidated Joint Ventures</w:t>
      </w:r>
    </w:p>
    <w:p>
      <w:pPr>
        <w:spacing w:after="0" w:line="229" w:lineRule="exact"/>
        <w:rPr>
          <w:sz w:val="20"/>
          <w:szCs w:val="20"/>
          <w:color w:val="auto"/>
        </w:rPr>
      </w:pPr>
    </w:p>
    <w:p>
      <w:pPr>
        <w:jc w:val="both"/>
        <w:ind w:left="60" w:right="599" w:firstLine="324"/>
        <w:spacing w:after="0" w:line="266" w:lineRule="auto"/>
        <w:rPr>
          <w:sz w:val="20"/>
          <w:szCs w:val="20"/>
          <w:color w:val="auto"/>
        </w:rPr>
      </w:pPr>
      <w:r>
        <w:rPr>
          <w:rFonts w:ascii="Times New Roman" w:cs="Times New Roman" w:eastAsia="Times New Roman" w:hAnsi="Times New Roman"/>
          <w:sz w:val="18"/>
          <w:szCs w:val="18"/>
          <w:color w:val="auto"/>
        </w:rPr>
        <w:t>Investment in unconsolidated joint ventures includes the Company’s investment accounted for using the equity method. The following table presents details of the Company’s investment in unconsolidated joint ventures and total outstanding debt of unconsolidated JVs: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2280" w:type="dxa"/>
            <w:vAlign w:val="bottom"/>
            <w:gridSpan w:val="4"/>
          </w:tcPr>
          <w:p>
            <w:pPr>
              <w:ind w:left="11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240" w:type="dxa"/>
            <w:vAlign w:val="bottom"/>
            <w:tcBorders>
              <w:bottom w:val="single" w:sz="8" w:color="CCEEFF"/>
            </w:tcBorders>
          </w:tcPr>
          <w:p>
            <w:pPr>
              <w:spacing w:after="0"/>
              <w:rPr>
                <w:sz w:val="15"/>
                <w:szCs w:val="15"/>
                <w:color w:val="auto"/>
              </w:rPr>
            </w:pPr>
          </w:p>
        </w:tc>
        <w:tc>
          <w:tcPr>
            <w:tcW w:w="3400" w:type="dxa"/>
            <w:vAlign w:val="bottom"/>
            <w:tcBorders>
              <w:bottom w:val="single" w:sz="8" w:color="CCEEFF"/>
            </w:tcBorders>
          </w:tcPr>
          <w:p>
            <w:pPr>
              <w:spacing w:after="0"/>
              <w:rPr>
                <w:sz w:val="15"/>
                <w:szCs w:val="15"/>
                <w:color w:val="auto"/>
              </w:rPr>
            </w:pPr>
          </w:p>
        </w:tc>
        <w:tc>
          <w:tcPr>
            <w:tcW w:w="12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 in unconsolidated joint ventures</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2"/>
          </w:tcPr>
          <w:p>
            <w:pPr>
              <w:ind w:left="120"/>
              <w:spacing w:after="0" w:line="216" w:lineRule="exact"/>
              <w:rPr>
                <w:sz w:val="20"/>
                <w:szCs w:val="20"/>
                <w:color w:val="auto"/>
              </w:rPr>
            </w:pPr>
            <w:r>
              <w:rPr>
                <w:rFonts w:ascii="Times New Roman" w:cs="Times New Roman" w:eastAsia="Times New Roman" w:hAnsi="Times New Roman"/>
                <w:sz w:val="17"/>
                <w:szCs w:val="17"/>
                <w:color w:val="auto"/>
              </w:rPr>
              <w:t xml:space="preserve">Latitude Margaritaville Watersound JV </w:t>
            </w:r>
            <w:r>
              <w:rPr>
                <w:rFonts w:ascii="Times New Roman" w:cs="Times New Roman" w:eastAsia="Times New Roman" w:hAnsi="Times New Roman"/>
                <w:sz w:val="25"/>
                <w:szCs w:val="25"/>
                <w:color w:val="auto"/>
                <w:vertAlign w:val="superscript"/>
              </w:rPr>
              <w:t>(a)</w:t>
            </w:r>
          </w:p>
        </w:tc>
        <w:tc>
          <w:tcPr>
            <w:tcW w:w="14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75,539</w:t>
            </w:r>
          </w:p>
        </w:tc>
        <w:tc>
          <w:tcPr>
            <w:tcW w:w="80" w:type="dxa"/>
            <w:vAlign w:val="bottom"/>
          </w:tcPr>
          <w:p>
            <w:pPr>
              <w:spacing w:after="0"/>
              <w:rPr>
                <w:sz w:val="18"/>
                <w:szCs w:val="18"/>
                <w:color w:val="auto"/>
              </w:rPr>
            </w:pP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Watersound Fountains Independent Living JV</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2"/>
          </w:tcPr>
          <w:p>
            <w:pPr>
              <w:ind w:left="120"/>
              <w:spacing w:after="0" w:line="216" w:lineRule="exact"/>
              <w:rPr>
                <w:sz w:val="20"/>
                <w:szCs w:val="20"/>
                <w:color w:val="auto"/>
              </w:rPr>
            </w:pPr>
            <w:r>
              <w:rPr>
                <w:rFonts w:ascii="Times New Roman" w:cs="Times New Roman" w:eastAsia="Times New Roman" w:hAnsi="Times New Roman"/>
                <w:sz w:val="17"/>
                <w:szCs w:val="17"/>
                <w:color w:val="auto"/>
              </w:rPr>
              <w:t xml:space="preserve">Pier Park TPS JV </w:t>
            </w:r>
            <w:r>
              <w:rPr>
                <w:rFonts w:ascii="Times New Roman" w:cs="Times New Roman" w:eastAsia="Times New Roman" w:hAnsi="Times New Roman"/>
                <w:sz w:val="25"/>
                <w:szCs w:val="25"/>
                <w:color w:val="auto"/>
                <w:vertAlign w:val="superscript"/>
              </w:rPr>
              <w:t>(b)</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Pier Park RI JV</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Busy Bee JV</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Electric Cart Watersound JV</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Watersound Management JV</w:t>
            </w:r>
          </w:p>
        </w:tc>
        <w:tc>
          <w:tcPr>
            <w:tcW w:w="12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investment in unconsolidated joint ventures</w:t>
            </w:r>
          </w:p>
        </w:tc>
        <w:tc>
          <w:tcPr>
            <w:tcW w:w="12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89,148</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66,052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97"/>
        </w:trPr>
        <w:tc>
          <w:tcPr>
            <w:tcW w:w="224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debt principal of unconsolidated JVs</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2"/>
          </w:tcPr>
          <w:p>
            <w:pPr>
              <w:ind w:left="120"/>
              <w:spacing w:after="0" w:line="216" w:lineRule="exact"/>
              <w:rPr>
                <w:sz w:val="20"/>
                <w:szCs w:val="20"/>
                <w:color w:val="auto"/>
              </w:rPr>
            </w:pPr>
            <w:r>
              <w:rPr>
                <w:rFonts w:ascii="Times New Roman" w:cs="Times New Roman" w:eastAsia="Times New Roman" w:hAnsi="Times New Roman"/>
                <w:sz w:val="17"/>
                <w:szCs w:val="17"/>
                <w:color w:val="auto"/>
              </w:rPr>
              <w:t xml:space="preserve">Latitude Margaritaville Watersound JV </w:t>
            </w:r>
            <w:r>
              <w:rPr>
                <w:rFonts w:ascii="Times New Roman" w:cs="Times New Roman" w:eastAsia="Times New Roman" w:hAnsi="Times New Roman"/>
                <w:sz w:val="25"/>
                <w:szCs w:val="25"/>
                <w:color w:val="auto"/>
                <w:vertAlign w:val="superscript"/>
              </w:rPr>
              <w:t>(c)</w:t>
            </w:r>
          </w:p>
        </w:tc>
        <w:tc>
          <w:tcPr>
            <w:tcW w:w="14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ind w:left="120"/>
              <w:spacing w:after="0" w:line="216" w:lineRule="exact"/>
              <w:rPr>
                <w:sz w:val="20"/>
                <w:szCs w:val="20"/>
                <w:color w:val="auto"/>
              </w:rPr>
            </w:pPr>
            <w:r>
              <w:rPr>
                <w:rFonts w:ascii="Times New Roman" w:cs="Times New Roman" w:eastAsia="Times New Roman" w:hAnsi="Times New Roman"/>
                <w:sz w:val="17"/>
                <w:szCs w:val="17"/>
                <w:color w:val="auto"/>
              </w:rPr>
              <w:t xml:space="preserve">Watersound Fountains Independent Living JV </w:t>
            </w:r>
            <w:r>
              <w:rPr>
                <w:rFonts w:ascii="Times New Roman" w:cs="Times New Roman" w:eastAsia="Times New Roman" w:hAnsi="Times New Roman"/>
                <w:sz w:val="25"/>
                <w:szCs w:val="25"/>
                <w:color w:val="auto"/>
                <w:vertAlign w:val="superscript"/>
              </w:rPr>
              <w:t>(c)</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41,129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2"/>
          </w:tcPr>
          <w:p>
            <w:pPr>
              <w:ind w:left="120"/>
              <w:spacing w:after="0" w:line="216" w:lineRule="exact"/>
              <w:rPr>
                <w:sz w:val="20"/>
                <w:szCs w:val="20"/>
                <w:color w:val="auto"/>
              </w:rPr>
            </w:pPr>
            <w:r>
              <w:rPr>
                <w:rFonts w:ascii="Times New Roman" w:cs="Times New Roman" w:eastAsia="Times New Roman" w:hAnsi="Times New Roman"/>
                <w:sz w:val="17"/>
                <w:szCs w:val="17"/>
                <w:color w:val="auto"/>
              </w:rPr>
              <w:t xml:space="preserve">Pier Park TPS JV </w:t>
            </w:r>
            <w:r>
              <w:rPr>
                <w:rFonts w:ascii="Times New Roman" w:cs="Times New Roman" w:eastAsia="Times New Roman" w:hAnsi="Times New Roman"/>
                <w:sz w:val="25"/>
                <w:szCs w:val="25"/>
                <w:color w:val="auto"/>
                <w:vertAlign w:val="superscript"/>
              </w:rPr>
              <w:t>(c)</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Pier Park RI JV</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Busy Bee JV</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ind w:left="120"/>
              <w:spacing w:after="0" w:line="216" w:lineRule="exact"/>
              <w:rPr>
                <w:sz w:val="20"/>
                <w:szCs w:val="20"/>
                <w:color w:val="auto"/>
              </w:rPr>
            </w:pPr>
            <w:r>
              <w:rPr>
                <w:rFonts w:ascii="Times New Roman" w:cs="Times New Roman" w:eastAsia="Times New Roman" w:hAnsi="Times New Roman"/>
                <w:sz w:val="17"/>
                <w:szCs w:val="17"/>
                <w:color w:val="auto"/>
              </w:rPr>
              <w:t xml:space="preserve">Electric Cart Watersound JV </w:t>
            </w:r>
            <w:r>
              <w:rPr>
                <w:rFonts w:ascii="Times New Roman" w:cs="Times New Roman" w:eastAsia="Times New Roman" w:hAnsi="Times New Roman"/>
                <w:sz w:val="25"/>
                <w:szCs w:val="25"/>
                <w:color w:val="auto"/>
                <w:vertAlign w:val="superscript"/>
              </w:rPr>
              <w:t>(c)</w:t>
            </w:r>
          </w:p>
        </w:tc>
        <w:tc>
          <w:tcPr>
            <w:tcW w:w="12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 outstanding debt principal of unconsolidated JVs</w:t>
            </w:r>
          </w:p>
        </w:tc>
        <w:tc>
          <w:tcPr>
            <w:tcW w:w="12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77,377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79,696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3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380" w:right="119" w:hanging="330"/>
        <w:spacing w:after="0" w:line="265" w:lineRule="auto"/>
        <w:tabs>
          <w:tab w:leader="none" w:pos="3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As of September 30, 2026, the Company’s investment in unconsolidated joint ventures includes $31.4 million for the initial net present value of additional land sold to the Latitude Margaritaville Watersound joint venture, which will be paid to the Company as each home on the land is sold by the JV. As of September 30, 2026 and December 31, 2025, the Company’s investment in unconsolidated joint ventures also includes intra-entity profit elimination, based on its ownership interest, of $11.4 million and $0.5 million, respectively, related to additional land sales to the JV, a pro-rata portion of which will be recognized as each home on the land is sold by the JV. See Note 15. </w:t>
      </w:r>
      <w:r>
        <w:rPr>
          <w:rFonts w:ascii="Times New Roman" w:cs="Times New Roman" w:eastAsia="Times New Roman" w:hAnsi="Times New Roman"/>
          <w:sz w:val="16"/>
          <w:szCs w:val="16"/>
          <w:i w:val="1"/>
          <w:iCs w:val="1"/>
          <w:color w:val="auto"/>
        </w:rPr>
        <w:t>Other (Expense) Income, Net</w:t>
      </w:r>
      <w:r>
        <w:rPr>
          <w:rFonts w:ascii="Times New Roman" w:cs="Times New Roman" w:eastAsia="Times New Roman" w:hAnsi="Times New Roman"/>
          <w:sz w:val="16"/>
          <w:szCs w:val="16"/>
          <w:color w:val="auto"/>
        </w:rPr>
        <w:t xml:space="preserve"> for additional information.</w:t>
      </w:r>
    </w:p>
    <w:p>
      <w:pPr>
        <w:spacing w:after="0" w:line="3" w:lineRule="exact"/>
        <w:rPr>
          <w:rFonts w:ascii="Times New Roman" w:cs="Times New Roman" w:eastAsia="Times New Roman" w:hAnsi="Times New Roman"/>
          <w:sz w:val="16"/>
          <w:szCs w:val="16"/>
          <w:color w:val="auto"/>
        </w:rPr>
      </w:pPr>
    </w:p>
    <w:p>
      <w:pPr>
        <w:ind w:left="380" w:right="79" w:hanging="330"/>
        <w:spacing w:after="0" w:line="264" w:lineRule="auto"/>
        <w:tabs>
          <w:tab w:leader="none" w:pos="3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2025, the Company’s investment in the unconsolidated joint venture was below zero due to cash distributions and non-cash depreciation and amortization expense. As of December 31, 2025, the Company’s investment in the unconsolidated joint venture is included within accounts payable and other liabilities on the condensed consolidated balance sheets. During the nine months ended September 30, 2026, the Company and JV partner each made capital contributions of $1.1 million related to financing and operations of the JV.</w:t>
      </w:r>
    </w:p>
    <w:p>
      <w:pPr>
        <w:ind w:left="380" w:hanging="330"/>
        <w:spacing w:after="0"/>
        <w:tabs>
          <w:tab w:leader="none" w:pos="3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See Note 17. </w:t>
      </w:r>
      <w:r>
        <w:rPr>
          <w:rFonts w:ascii="Times New Roman" w:cs="Times New Roman" w:eastAsia="Times New Roman" w:hAnsi="Times New Roman"/>
          <w:sz w:val="16"/>
          <w:szCs w:val="16"/>
          <w:i w:val="1"/>
          <w:iCs w:val="1"/>
          <w:color w:val="auto"/>
        </w:rPr>
        <w:t>Commitments and Contingencies</w:t>
      </w:r>
      <w:r>
        <w:rPr>
          <w:rFonts w:ascii="Times New Roman" w:cs="Times New Roman" w:eastAsia="Times New Roman" w:hAnsi="Times New Roman"/>
          <w:sz w:val="16"/>
          <w:szCs w:val="16"/>
          <w:color w:val="auto"/>
        </w:rPr>
        <w:t xml:space="preserve"> for additional information related to outstanding debt.</w:t>
      </w:r>
    </w:p>
    <w:p>
      <w:pPr>
        <w:spacing w:after="0" w:line="222"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 xml:space="preserve">The Company had approximately $20.5 million in cumulative undistributed earnings from its unconsolidated JVs included within investment in unconsolidated joint ventures as of September 30, 2026. During the nine months ended September 30, 2026 and 2025, the Company received distributions from unconsolidated JVs totaling $12.8 million and $24.3 million, respectively. During the nine months ended September 30, 2026 and 2025, the Company made capital contributions to certain unconsolidated JVs totaling $3.6 million and $2.9 million, respectively, related to operations and financing of certain of its unconsolidated JVs. During the nine months ended September 30, 2026, the Company sold additional land to the Latitude Margaritaville Watersound JV with a contractual value of $50.4 million, which will be paid to the Company as each home on the land is sold by the JV. The initial net present value of the land sale of $31.4 million is included in investment in unconsolidated joint ventures on the condensed consolidated balance sheets. The Company’s maximum exposure to loss due to involvement with the unconsolidated JVs as of September 30, 2026 was $139.7 million, which includes the carrying amounts of the investments, guarantees and other receivables. See Note 17. </w:t>
      </w:r>
      <w:r>
        <w:rPr>
          <w:rFonts w:ascii="Times New Roman" w:cs="Times New Roman" w:eastAsia="Times New Roman" w:hAnsi="Times New Roman"/>
          <w:sz w:val="18"/>
          <w:szCs w:val="18"/>
          <w:i w:val="1"/>
          <w:iCs w:val="1"/>
          <w:color w:val="auto"/>
        </w:rPr>
        <w:t>Commitments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Contingencies </w:t>
      </w:r>
      <w:r>
        <w:rPr>
          <w:rFonts w:ascii="Times New Roman" w:cs="Times New Roman" w:eastAsia="Times New Roman" w:hAnsi="Times New Roman"/>
          <w:sz w:val="18"/>
          <w:szCs w:val="18"/>
          <w:color w:val="auto"/>
        </w:rPr>
        <w:t>for additional information related to debt guaranteed by the Company with respect to its involvement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unconsolidated JVs.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presents details of the Company’s equity in (loss) income from unconsolidated JVs: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520" w:type="dxa"/>
            <w:vAlign w:val="bottom"/>
            <w:gridSpan w:val="3"/>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224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5"/>
                <w:szCs w:val="15"/>
                <w:color w:val="auto"/>
              </w:rPr>
            </w:pPr>
          </w:p>
        </w:tc>
        <w:tc>
          <w:tcPr>
            <w:tcW w:w="1520" w:type="dxa"/>
            <w:vAlign w:val="bottom"/>
            <w:gridSpan w:val="3"/>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209"/>
        </w:trPr>
        <w:tc>
          <w:tcPr>
            <w:tcW w:w="2240" w:type="dxa"/>
            <w:vAlign w:val="bottom"/>
            <w:tcBorders>
              <w:bottom w:val="single" w:sz="8" w:color="CCEEFF"/>
            </w:tcBorders>
          </w:tcPr>
          <w:p>
            <w:pPr>
              <w:spacing w:after="0"/>
              <w:rPr>
                <w:sz w:val="18"/>
                <w:szCs w:val="18"/>
                <w:color w:val="auto"/>
              </w:rPr>
            </w:pPr>
          </w:p>
        </w:tc>
        <w:tc>
          <w:tcPr>
            <w:tcW w:w="33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Equity in income (loss) from unconsolidated joint ventures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5580" w:type="dxa"/>
            <w:vAlign w:val="bottom"/>
            <w:gridSpan w:val="2"/>
          </w:tcPr>
          <w:p>
            <w:pPr>
              <w:ind w:left="120"/>
              <w:spacing w:after="0" w:line="216" w:lineRule="exact"/>
              <w:rPr>
                <w:sz w:val="20"/>
                <w:szCs w:val="20"/>
                <w:color w:val="auto"/>
              </w:rPr>
            </w:pPr>
            <w:r>
              <w:rPr>
                <w:rFonts w:ascii="Times New Roman" w:cs="Times New Roman" w:eastAsia="Times New Roman" w:hAnsi="Times New Roman"/>
                <w:sz w:val="17"/>
                <w:szCs w:val="17"/>
                <w:color w:val="auto"/>
              </w:rPr>
              <w:t xml:space="preserve">Latitude Margaritaville Watersound JV </w:t>
            </w:r>
            <w:r>
              <w:rPr>
                <w:rFonts w:ascii="Times New Roman" w:cs="Times New Roman" w:eastAsia="Times New Roman" w:hAnsi="Times New Roman"/>
                <w:sz w:val="25"/>
                <w:szCs w:val="25"/>
                <w:color w:val="auto"/>
                <w:vertAlign w:val="superscript"/>
              </w:rPr>
              <w:t>(a)</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13,571</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$ 26,004</w:t>
            </w:r>
          </w:p>
        </w:tc>
      </w:tr>
      <w:tr>
        <w:trPr>
          <w:trHeight w:val="216"/>
        </w:trPr>
        <w:tc>
          <w:tcPr>
            <w:tcW w:w="5580" w:type="dxa"/>
            <w:vAlign w:val="bottom"/>
            <w:gridSpan w:val="2"/>
            <w:shd w:val="clear" w:color="auto" w:fill="CCEEFF"/>
          </w:tcPr>
          <w:p>
            <w:pPr>
              <w:ind w:left="120"/>
              <w:spacing w:after="0" w:line="216" w:lineRule="exact"/>
              <w:rPr>
                <w:sz w:val="20"/>
                <w:szCs w:val="20"/>
                <w:color w:val="auto"/>
              </w:rPr>
            </w:pPr>
            <w:r>
              <w:rPr>
                <w:rFonts w:ascii="Times New Roman" w:cs="Times New Roman" w:eastAsia="Times New Roman" w:hAnsi="Times New Roman"/>
                <w:sz w:val="17"/>
                <w:szCs w:val="17"/>
                <w:color w:val="auto"/>
              </w:rPr>
              <w:t xml:space="preserve">Watersound Fountains Independent Living JV </w:t>
            </w:r>
            <w:r>
              <w:rPr>
                <w:rFonts w:ascii="Times New Roman" w:cs="Times New Roman" w:eastAsia="Times New Roman" w:hAnsi="Times New Roman"/>
                <w:sz w:val="25"/>
                <w:szCs w:val="25"/>
                <w:color w:val="auto"/>
                <w:vertAlign w:val="superscript"/>
              </w:rPr>
              <w:t>(b)</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(916)</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(1,079)</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(2,695)</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w:t>
            </w:r>
          </w:p>
        </w:tc>
      </w:tr>
      <w:tr>
        <w:trPr>
          <w:trHeight w:val="216"/>
        </w:trPr>
        <w:tc>
          <w:tcPr>
            <w:tcW w:w="5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Pier Park TPS JV</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5580" w:type="dxa"/>
            <w:vAlign w:val="bottom"/>
            <w:gridSpan w:val="2"/>
            <w:shd w:val="clear" w:color="auto" w:fill="CCEEFF"/>
          </w:tcPr>
          <w:p>
            <w:pPr>
              <w:ind w:left="120"/>
              <w:spacing w:after="0" w:line="216" w:lineRule="exact"/>
              <w:rPr>
                <w:sz w:val="20"/>
                <w:szCs w:val="20"/>
                <w:color w:val="auto"/>
              </w:rPr>
            </w:pPr>
            <w:r>
              <w:rPr>
                <w:rFonts w:ascii="Times New Roman" w:cs="Times New Roman" w:eastAsia="Times New Roman" w:hAnsi="Times New Roman"/>
                <w:sz w:val="17"/>
                <w:szCs w:val="17"/>
                <w:color w:val="auto"/>
              </w:rPr>
              <w:t xml:space="preserve">Pier Park RI JV </w:t>
            </w:r>
            <w:r>
              <w:rPr>
                <w:rFonts w:ascii="Times New Roman" w:cs="Times New Roman" w:eastAsia="Times New Roman" w:hAnsi="Times New Roman"/>
                <w:sz w:val="25"/>
                <w:szCs w:val="25"/>
                <w:color w:val="auto"/>
                <w:vertAlign w:val="superscript"/>
              </w:rPr>
              <w:t>(c)</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(386)</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(607)</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w:t>
            </w:r>
          </w:p>
        </w:tc>
      </w:tr>
      <w:tr>
        <w:trPr>
          <w:trHeight w:val="216"/>
        </w:trPr>
        <w:tc>
          <w:tcPr>
            <w:tcW w:w="5580" w:type="dxa"/>
            <w:vAlign w:val="bottom"/>
            <w:gridSpan w:val="2"/>
          </w:tcPr>
          <w:p>
            <w:pPr>
              <w:ind w:left="120"/>
              <w:spacing w:after="0" w:line="216" w:lineRule="exact"/>
              <w:rPr>
                <w:sz w:val="20"/>
                <w:szCs w:val="20"/>
                <w:color w:val="auto"/>
              </w:rPr>
            </w:pPr>
            <w:r>
              <w:rPr>
                <w:rFonts w:ascii="Times New Roman" w:cs="Times New Roman" w:eastAsia="Times New Roman" w:hAnsi="Times New Roman"/>
                <w:sz w:val="17"/>
                <w:szCs w:val="17"/>
                <w:color w:val="auto"/>
              </w:rPr>
              <w:t xml:space="preserve">Busy Bee JV </w:t>
            </w:r>
            <w:r>
              <w:rPr>
                <w:rFonts w:ascii="Times New Roman" w:cs="Times New Roman" w:eastAsia="Times New Roman" w:hAnsi="Times New Roman"/>
                <w:sz w:val="25"/>
                <w:szCs w:val="25"/>
                <w:color w:val="auto"/>
                <w:vertAlign w:val="superscript"/>
              </w:rPr>
              <w:t>(d)</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5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Electric Cart Watersound JV</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5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Watersound Management JV</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5580" w:type="dxa"/>
            <w:vAlign w:val="bottom"/>
            <w:gridSpan w:val="2"/>
            <w:shd w:val="clear" w:color="auto" w:fill="CCEEFF"/>
          </w:tcPr>
          <w:p>
            <w:pPr>
              <w:ind w:left="120"/>
              <w:spacing w:after="0" w:line="216" w:lineRule="exact"/>
              <w:rPr>
                <w:sz w:val="20"/>
                <w:szCs w:val="20"/>
                <w:color w:val="auto"/>
              </w:rPr>
            </w:pPr>
            <w:r>
              <w:rPr>
                <w:rFonts w:ascii="Times New Roman" w:cs="Times New Roman" w:eastAsia="Times New Roman" w:hAnsi="Times New Roman"/>
                <w:sz w:val="17"/>
                <w:szCs w:val="17"/>
                <w:color w:val="auto"/>
              </w:rPr>
              <w:t xml:space="preserve">Intra-entity profit elimination </w:t>
            </w:r>
            <w:r>
              <w:rPr>
                <w:rFonts w:ascii="Times New Roman" w:cs="Times New Roman" w:eastAsia="Times New Roman" w:hAnsi="Times New Roman"/>
                <w:sz w:val="25"/>
                <w:szCs w:val="25"/>
                <w:color w:val="auto"/>
                <w:vertAlign w:val="superscript"/>
              </w:rPr>
              <w:t>(e)</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(10,919)</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(10,919)</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equity in (loss) income from unconsolidated joint ventures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(8,217)</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3,480</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(218)</w:t>
            </w:r>
          </w:p>
        </w:tc>
        <w:tc>
          <w:tcPr>
            <w:tcW w:w="16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$ 21,186</w:t>
            </w:r>
          </w:p>
        </w:tc>
      </w:tr>
      <w:tr>
        <w:trPr>
          <w:trHeight w:val="20"/>
        </w:trPr>
        <w:tc>
          <w:tcPr>
            <w:tcW w:w="22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3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r>
    </w:tbl>
    <w:p>
      <w:pPr>
        <w:spacing w:after="0" w:line="81" w:lineRule="exact"/>
        <w:rPr>
          <w:sz w:val="20"/>
          <w:szCs w:val="20"/>
          <w:color w:val="auto"/>
        </w:rPr>
      </w:pPr>
    </w:p>
    <w:p>
      <w:pPr>
        <w:ind w:left="380" w:right="419" w:hanging="330"/>
        <w:spacing w:after="0" w:line="267" w:lineRule="auto"/>
        <w:tabs>
          <w:tab w:leader="none" w:pos="3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three months ended September 30, 2026 and 2025, the Latitude Margaritaville Watersound JV completed 67 and 82 home sale transactions, respectively. During the nine months ended September 30, 2026 and 2025, the Latitude Margaritaville Watersound JV completed 236 and 411 home sale transactions, respectively.</w:t>
      </w:r>
    </w:p>
    <w:p>
      <w:pPr>
        <w:spacing w:after="0" w:line="1" w:lineRule="exact"/>
        <w:rPr>
          <w:rFonts w:ascii="Times New Roman" w:cs="Times New Roman" w:eastAsia="Times New Roman" w:hAnsi="Times New Roman"/>
          <w:sz w:val="16"/>
          <w:szCs w:val="16"/>
          <w:color w:val="auto"/>
        </w:rPr>
      </w:pPr>
    </w:p>
    <w:p>
      <w:pPr>
        <w:ind w:left="380" w:hanging="330"/>
        <w:spacing w:after="0"/>
        <w:tabs>
          <w:tab w:leader="none" w:pos="3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community is under lease-up.</w:t>
      </w:r>
    </w:p>
    <w:p>
      <w:pPr>
        <w:spacing w:after="0" w:line="18" w:lineRule="exact"/>
        <w:rPr>
          <w:rFonts w:ascii="Times New Roman" w:cs="Times New Roman" w:eastAsia="Times New Roman" w:hAnsi="Times New Roman"/>
          <w:sz w:val="16"/>
          <w:szCs w:val="16"/>
          <w:color w:val="auto"/>
        </w:rPr>
      </w:pPr>
    </w:p>
    <w:p>
      <w:pPr>
        <w:ind w:left="380" w:hanging="330"/>
        <w:spacing w:after="0"/>
        <w:tabs>
          <w:tab w:leader="none" w:pos="3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nine months ended September 30, 2025, include start-up, depreciation and interest expenses for the project.</w:t>
      </w:r>
    </w:p>
    <w:p>
      <w:pPr>
        <w:spacing w:after="0" w:line="18" w:lineRule="exact"/>
        <w:rPr>
          <w:rFonts w:ascii="Times New Roman" w:cs="Times New Roman" w:eastAsia="Times New Roman" w:hAnsi="Times New Roman"/>
          <w:sz w:val="16"/>
          <w:szCs w:val="16"/>
          <w:color w:val="auto"/>
        </w:rPr>
      </w:pPr>
    </w:p>
    <w:p>
      <w:pPr>
        <w:ind w:left="380" w:hanging="330"/>
        <w:spacing w:after="0"/>
        <w:tabs>
          <w:tab w:leader="none" w:pos="3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changes in the fair value of derivatives related to interest rate swaps entered into by the Busy Bee JV.</w:t>
      </w:r>
    </w:p>
    <w:p>
      <w:pPr>
        <w:spacing w:after="0" w:line="18" w:lineRule="exact"/>
        <w:rPr>
          <w:rFonts w:ascii="Times New Roman" w:cs="Times New Roman" w:eastAsia="Times New Roman" w:hAnsi="Times New Roman"/>
          <w:sz w:val="16"/>
          <w:szCs w:val="16"/>
          <w:color w:val="auto"/>
        </w:rPr>
      </w:pPr>
    </w:p>
    <w:p>
      <w:pPr>
        <w:ind w:left="380" w:right="79" w:hanging="330"/>
        <w:spacing w:after="0" w:line="272" w:lineRule="auto"/>
        <w:tabs>
          <w:tab w:leader="none" w:pos="3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Includes intra-entity profit elimination, based on the Company’s ownership interest, of $10.9 million during each of the three and nine months ended September 30, 2026, related to an additional land sale to the Latitude Margaritaville Watersound JV, a pro-rata portion of which will be recognized as each home on the land is sold by the JV. See Note 15. </w:t>
      </w:r>
      <w:r>
        <w:rPr>
          <w:rFonts w:ascii="Times New Roman" w:cs="Times New Roman" w:eastAsia="Times New Roman" w:hAnsi="Times New Roman"/>
          <w:sz w:val="16"/>
          <w:szCs w:val="16"/>
          <w:i w:val="1"/>
          <w:iCs w:val="1"/>
          <w:color w:val="auto"/>
        </w:rPr>
        <w:t>Other (Expense) Income, Net</w:t>
      </w:r>
      <w:r>
        <w:rPr>
          <w:rFonts w:ascii="Times New Roman" w:cs="Times New Roman" w:eastAsia="Times New Roman" w:hAnsi="Times New Roman"/>
          <w:sz w:val="16"/>
          <w:szCs w:val="16"/>
          <w:color w:val="auto"/>
        </w:rPr>
        <w:t xml:space="preserve"> and Note 18. </w:t>
      </w:r>
      <w:r>
        <w:rPr>
          <w:rFonts w:ascii="Times New Roman" w:cs="Times New Roman" w:eastAsia="Times New Roman" w:hAnsi="Times New Roman"/>
          <w:sz w:val="16"/>
          <w:szCs w:val="16"/>
          <w:i w:val="1"/>
          <w:iCs w:val="1"/>
          <w:color w:val="auto"/>
        </w:rPr>
        <w:t>Related Party Transactions</w:t>
      </w:r>
      <w:r>
        <w:rPr>
          <w:rFonts w:ascii="Times New Roman" w:cs="Times New Roman" w:eastAsia="Times New Roman" w:hAnsi="Times New Roman"/>
          <w:sz w:val="16"/>
          <w:szCs w:val="16"/>
          <w:color w:val="auto"/>
        </w:rPr>
        <w:t xml:space="preserve"> for additional information.</w:t>
      </w:r>
    </w:p>
    <w:p>
      <w:pPr>
        <w:spacing w:after="0" w:line="16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Summarized balance sheets for the Company’s unconsolidated JVs are as follows:</w:t>
      </w:r>
    </w:p>
    <w:p>
      <w:pPr>
        <w:spacing w:after="0" w:line="240"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1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3"/>
                <w:szCs w:val="13"/>
                <w:b w:val="1"/>
                <w:bCs w:val="1"/>
                <w:color w:val="auto"/>
              </w:rPr>
              <w:t>September 30, 2026</w:t>
            </w: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1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3"/>
          </w:tcPr>
          <w:p>
            <w:pPr>
              <w:jc w:val="center"/>
              <w:ind w:right="80"/>
              <w:spacing w:after="0" w:line="126" w:lineRule="exact"/>
              <w:rPr>
                <w:sz w:val="20"/>
                <w:szCs w:val="20"/>
                <w:color w:val="auto"/>
              </w:rPr>
            </w:pPr>
            <w:r>
              <w:rPr>
                <w:rFonts w:ascii="Times New Roman" w:cs="Times New Roman" w:eastAsia="Times New Roman" w:hAnsi="Times New Roman"/>
                <w:sz w:val="13"/>
                <w:szCs w:val="13"/>
                <w:b w:val="1"/>
                <w:bCs w:val="1"/>
                <w:color w:val="auto"/>
              </w:rPr>
              <w:t>Watersound</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Latitude</w:t>
            </w:r>
          </w:p>
        </w:tc>
        <w:tc>
          <w:tcPr>
            <w:tcW w:w="80" w:type="dxa"/>
            <w:vAlign w:val="bottom"/>
          </w:tcPr>
          <w:p>
            <w:pPr>
              <w:spacing w:after="0"/>
              <w:rPr>
                <w:sz w:val="12"/>
                <w:szCs w:val="12"/>
                <w:color w:val="auto"/>
              </w:rPr>
            </w:pP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Fountains</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1060" w:type="dxa"/>
            <w:vAlign w:val="bottom"/>
            <w:gridSpan w:val="4"/>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Margaritaville</w:t>
            </w:r>
          </w:p>
        </w:tc>
        <w:tc>
          <w:tcPr>
            <w:tcW w:w="84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Independent</w:t>
            </w:r>
          </w:p>
        </w:tc>
        <w:tc>
          <w:tcPr>
            <w:tcW w:w="100" w:type="dxa"/>
            <w:vAlign w:val="bottom"/>
          </w:tcPr>
          <w:p>
            <w:pPr>
              <w:spacing w:after="0"/>
              <w:rPr>
                <w:sz w:val="12"/>
                <w:szCs w:val="12"/>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Pier Park</w:t>
            </w: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Pier Park RI</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Electric Cart</w:t>
            </w:r>
          </w:p>
        </w:tc>
        <w:tc>
          <w:tcPr>
            <w:tcW w:w="100" w:type="dxa"/>
            <w:vAlign w:val="bottom"/>
          </w:tcPr>
          <w:p>
            <w:pPr>
              <w:spacing w:after="0"/>
              <w:rPr>
                <w:sz w:val="12"/>
                <w:szCs w:val="12"/>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Watersound</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480" w:type="dxa"/>
            <w:vAlign w:val="bottom"/>
          </w:tcPr>
          <w:p>
            <w:pPr>
              <w:spacing w:after="0"/>
              <w:rPr>
                <w:sz w:val="14"/>
                <w:szCs w:val="1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Watersound JV</w:t>
            </w:r>
          </w:p>
        </w:tc>
        <w:tc>
          <w:tcPr>
            <w:tcW w:w="80" w:type="dxa"/>
            <w:vAlign w:val="bottom"/>
          </w:tcPr>
          <w:p>
            <w:pPr>
              <w:spacing w:after="0"/>
              <w:rPr>
                <w:sz w:val="14"/>
                <w:szCs w:val="14"/>
                <w:color w:val="auto"/>
              </w:rPr>
            </w:pP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Living JV</w:t>
            </w:r>
          </w:p>
        </w:tc>
        <w:tc>
          <w:tcPr>
            <w:tcW w:w="10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TPS JV</w:t>
            </w:r>
          </w:p>
        </w:tc>
        <w:tc>
          <w:tcPr>
            <w:tcW w:w="180" w:type="dxa"/>
            <w:vAlign w:val="bottom"/>
          </w:tcPr>
          <w:p>
            <w:pPr>
              <w:spacing w:after="0"/>
              <w:rPr>
                <w:sz w:val="14"/>
                <w:szCs w:val="14"/>
                <w:color w:val="auto"/>
              </w:rPr>
            </w:pPr>
          </w:p>
        </w:tc>
        <w:tc>
          <w:tcPr>
            <w:tcW w:w="68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JV</w:t>
            </w:r>
          </w:p>
        </w:tc>
        <w:tc>
          <w:tcPr>
            <w:tcW w:w="86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Busy Bee JV</w:t>
            </w:r>
          </w:p>
        </w:tc>
        <w:tc>
          <w:tcPr>
            <w:tcW w:w="108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Watersound JV</w:t>
            </w: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Management JV</w:t>
            </w:r>
          </w:p>
        </w:tc>
        <w:tc>
          <w:tcPr>
            <w:tcW w:w="140" w:type="dxa"/>
            <w:vAlign w:val="bottom"/>
          </w:tcPr>
          <w:p>
            <w:pPr>
              <w:spacing w:after="0"/>
              <w:rPr>
                <w:sz w:val="14"/>
                <w:szCs w:val="14"/>
                <w:color w:val="auto"/>
              </w:rPr>
            </w:pPr>
          </w:p>
        </w:tc>
        <w:tc>
          <w:tcPr>
            <w:tcW w:w="640" w:type="dxa"/>
            <w:vAlign w:val="bottom"/>
          </w:tcPr>
          <w:p>
            <w:pPr>
              <w:jc w:val="right"/>
              <w:ind w:right="161"/>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3"/>
        </w:trPr>
        <w:tc>
          <w:tcPr>
            <w:tcW w:w="1480" w:type="dxa"/>
            <w:vAlign w:val="bottom"/>
            <w:tcBorders>
              <w:top w:val="single" w:sz="8" w:color="CCEEFF"/>
            </w:tcBorders>
            <w:shd w:val="clear" w:color="auto" w:fill="CCEEFF"/>
          </w:tcPr>
          <w:p>
            <w:pPr>
              <w:ind w:left="20"/>
              <w:spacing w:after="0" w:line="183" w:lineRule="exact"/>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in real</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estate, net</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4"/>
          </w:tcPr>
          <w:p>
            <w:pPr>
              <w:jc w:val="right"/>
              <w:spacing w:after="0" w:line="217" w:lineRule="exact"/>
              <w:rPr>
                <w:sz w:val="20"/>
                <w:szCs w:val="20"/>
                <w:color w:val="auto"/>
              </w:rPr>
            </w:pPr>
            <w:r>
              <w:rPr>
                <w:rFonts w:ascii="Times New Roman" w:cs="Times New Roman" w:eastAsia="Times New Roman" w:hAnsi="Times New Roman"/>
                <w:sz w:val="16"/>
                <w:szCs w:val="16"/>
                <w:color w:val="auto"/>
              </w:rPr>
              <w:t xml:space="preserve">146,694 </w:t>
            </w:r>
            <w:r>
              <w:rPr>
                <w:rFonts w:ascii="Times New Roman" w:cs="Times New Roman" w:eastAsia="Times New Roman" w:hAnsi="Times New Roman"/>
                <w:sz w:val="24"/>
                <w:szCs w:val="24"/>
                <w:color w:val="auto"/>
                <w:vertAlign w:val="subscript"/>
              </w:rPr>
              <w:t>(a)</w:t>
            </w: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45,723</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11,145</w:t>
            </w:r>
          </w:p>
        </w:tc>
        <w:tc>
          <w:tcPr>
            <w:tcW w:w="1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28,765</w:t>
            </w:r>
          </w:p>
        </w:tc>
        <w:tc>
          <w:tcPr>
            <w:tcW w:w="80" w:type="dxa"/>
            <w:vAlign w:val="bottom"/>
          </w:tcPr>
          <w:p>
            <w:pPr>
              <w:spacing w:after="0"/>
              <w:rPr>
                <w:sz w:val="18"/>
                <w:szCs w:val="18"/>
                <w:color w:val="auto"/>
              </w:rPr>
            </w:pPr>
          </w:p>
        </w:tc>
        <w:tc>
          <w:tcPr>
            <w:tcW w:w="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7,258</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4,717</w:t>
            </w:r>
          </w:p>
        </w:tc>
        <w:tc>
          <w:tcPr>
            <w:tcW w:w="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244,302</w:t>
            </w:r>
          </w:p>
        </w:tc>
        <w:tc>
          <w:tcPr>
            <w:tcW w:w="0" w:type="dxa"/>
            <w:vAlign w:val="bottom"/>
          </w:tcPr>
          <w:p>
            <w:pPr>
              <w:spacing w:after="0"/>
              <w:rPr>
                <w:sz w:val="1"/>
                <w:szCs w:val="1"/>
                <w:color w:val="auto"/>
              </w:rPr>
            </w:pPr>
          </w:p>
        </w:tc>
      </w:tr>
      <w:tr>
        <w:trPr>
          <w:trHeight w:val="189"/>
        </w:trPr>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equivalents</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36,376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84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41,242</w:t>
            </w:r>
          </w:p>
        </w:tc>
        <w:tc>
          <w:tcPr>
            <w:tcW w:w="0" w:type="dxa"/>
            <w:vAlign w:val="bottom"/>
          </w:tcPr>
          <w:p>
            <w:pPr>
              <w:spacing w:after="0"/>
              <w:rPr>
                <w:sz w:val="1"/>
                <w:szCs w:val="1"/>
                <w:color w:val="auto"/>
              </w:rPr>
            </w:pPr>
          </w:p>
        </w:tc>
      </w:tr>
      <w:tr>
        <w:trPr>
          <w:trHeight w:val="189"/>
        </w:trPr>
        <w:tc>
          <w:tcPr>
            <w:tcW w:w="1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receivable</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and other assets</w:t>
            </w:r>
          </w:p>
        </w:tc>
        <w:tc>
          <w:tcPr>
            <w:tcW w:w="1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1,757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5,165</w:t>
            </w:r>
          </w:p>
        </w:tc>
        <w:tc>
          <w:tcPr>
            <w:tcW w:w="0" w:type="dxa"/>
            <w:vAlign w:val="bottom"/>
          </w:tcPr>
          <w:p>
            <w:pPr>
              <w:spacing w:after="0"/>
              <w:rPr>
                <w:sz w:val="1"/>
                <w:szCs w:val="1"/>
                <w:color w:val="auto"/>
              </w:rPr>
            </w:pPr>
          </w:p>
        </w:tc>
      </w:tr>
      <w:tr>
        <w:trPr>
          <w:trHeight w:val="199"/>
        </w:trPr>
        <w:tc>
          <w:tcPr>
            <w:tcW w:w="14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184,827</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46,692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12,359</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30,348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10,287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6,112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6"/>
                <w:szCs w:val="16"/>
                <w:b w:val="1"/>
                <w:bCs w:val="1"/>
                <w:color w:val="auto"/>
              </w:rPr>
              <w:t>84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290,709</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AND EQUITY</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Debt, net</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41,003</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10,657</w:t>
            </w:r>
          </w:p>
        </w:tc>
        <w:tc>
          <w:tcPr>
            <w:tcW w:w="14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16,034</w:t>
            </w:r>
          </w:p>
        </w:tc>
        <w:tc>
          <w:tcPr>
            <w:tcW w:w="80" w:type="dxa"/>
            <w:vAlign w:val="bottom"/>
          </w:tcPr>
          <w:p>
            <w:pPr>
              <w:spacing w:after="0"/>
              <w:rPr>
                <w:sz w:val="17"/>
                <w:szCs w:val="17"/>
                <w:color w:val="auto"/>
              </w:rPr>
            </w:pPr>
          </w:p>
        </w:tc>
        <w:tc>
          <w:tcPr>
            <w:tcW w:w="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4,761</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4,573</w:t>
            </w:r>
          </w:p>
        </w:tc>
        <w:tc>
          <w:tcPr>
            <w:tcW w:w="8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77,028</w:t>
            </w:r>
          </w:p>
        </w:tc>
        <w:tc>
          <w:tcPr>
            <w:tcW w:w="0" w:type="dxa"/>
            <w:vAlign w:val="bottom"/>
          </w:tcPr>
          <w:p>
            <w:pPr>
              <w:spacing w:after="0"/>
              <w:rPr>
                <w:sz w:val="1"/>
                <w:szCs w:val="1"/>
                <w:color w:val="auto"/>
              </w:rPr>
            </w:pPr>
          </w:p>
        </w:tc>
      </w:tr>
      <w:tr>
        <w:trPr>
          <w:trHeight w:val="189"/>
        </w:trPr>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payable</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and other liabilities</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35,212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37,436</w:t>
            </w:r>
          </w:p>
        </w:tc>
        <w:tc>
          <w:tcPr>
            <w:tcW w:w="0" w:type="dxa"/>
            <w:vAlign w:val="bottom"/>
          </w:tcPr>
          <w:p>
            <w:pPr>
              <w:spacing w:after="0"/>
              <w:rPr>
                <w:sz w:val="1"/>
                <w:szCs w:val="1"/>
                <w:color w:val="auto"/>
              </w:rPr>
            </w:pPr>
          </w:p>
        </w:tc>
      </w:tr>
      <w:tr>
        <w:trPr>
          <w:trHeight w:val="203"/>
        </w:trPr>
        <w:tc>
          <w:tcPr>
            <w:tcW w:w="1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149,615</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4,783</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1,443</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13,974</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4,966</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1,380</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6"/>
                <w:szCs w:val="16"/>
                <w:color w:val="auto"/>
              </w:rPr>
              <w:t>84</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176,245</w:t>
            </w:r>
          </w:p>
        </w:tc>
        <w:tc>
          <w:tcPr>
            <w:tcW w:w="0" w:type="dxa"/>
            <w:vAlign w:val="bottom"/>
          </w:tcPr>
          <w:p>
            <w:pPr>
              <w:spacing w:after="0"/>
              <w:rPr>
                <w:sz w:val="1"/>
                <w:szCs w:val="1"/>
                <w:color w:val="auto"/>
              </w:rPr>
            </w:pPr>
          </w:p>
        </w:tc>
      </w:tr>
      <w:tr>
        <w:trPr>
          <w:trHeight w:val="167"/>
        </w:trPr>
        <w:tc>
          <w:tcPr>
            <w:tcW w:w="1480" w:type="dxa"/>
            <w:vAlign w:val="bottom"/>
            <w:shd w:val="clear" w:color="auto" w:fill="CCEEFF"/>
          </w:tcPr>
          <w:p>
            <w:pPr>
              <w:ind w:left="120"/>
              <w:spacing w:after="0" w:line="167" w:lineRule="exact"/>
              <w:rPr>
                <w:sz w:val="20"/>
                <w:szCs w:val="20"/>
                <w:color w:val="auto"/>
              </w:rPr>
            </w:pPr>
            <w:r>
              <w:rPr>
                <w:rFonts w:ascii="Times New Roman" w:cs="Times New Roman" w:eastAsia="Times New Roman" w:hAnsi="Times New Roman"/>
                <w:sz w:val="16"/>
                <w:szCs w:val="16"/>
                <w:b w:val="1"/>
                <w:bCs w:val="1"/>
                <w:color w:val="auto"/>
              </w:rPr>
              <w:t>Total liabilities</w:t>
            </w:r>
          </w:p>
        </w:tc>
        <w:tc>
          <w:tcPr>
            <w:tcW w:w="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184,827</w:t>
            </w:r>
          </w:p>
        </w:tc>
        <w:tc>
          <w:tcPr>
            <w:tcW w:w="140" w:type="dxa"/>
            <w:vAlign w:val="bottom"/>
            <w:shd w:val="clear" w:color="auto" w:fill="CCEEFF"/>
          </w:tcPr>
          <w:p>
            <w:pPr>
              <w:spacing w:after="0"/>
              <w:rPr>
                <w:sz w:val="14"/>
                <w:szCs w:val="14"/>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46,692</w:t>
            </w:r>
          </w:p>
        </w:tc>
        <w:tc>
          <w:tcPr>
            <w:tcW w:w="8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12,359</w:t>
            </w:r>
          </w:p>
        </w:tc>
        <w:tc>
          <w:tcPr>
            <w:tcW w:w="14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30,348</w:t>
            </w:r>
          </w:p>
        </w:tc>
        <w:tc>
          <w:tcPr>
            <w:tcW w:w="8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10,287</w:t>
            </w:r>
          </w:p>
        </w:tc>
        <w:tc>
          <w:tcPr>
            <w:tcW w:w="8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6,112</w:t>
            </w:r>
          </w:p>
        </w:tc>
        <w:tc>
          <w:tcPr>
            <w:tcW w:w="8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vMerge w:val="restart"/>
            <w:shd w:val="clear" w:color="auto" w:fill="CCEEFF"/>
          </w:tcPr>
          <w:p>
            <w:pPr>
              <w:ind w:left="660"/>
              <w:spacing w:after="0"/>
              <w:rPr>
                <w:sz w:val="20"/>
                <w:szCs w:val="20"/>
                <w:color w:val="auto"/>
              </w:rPr>
            </w:pPr>
            <w:r>
              <w:rPr>
                <w:rFonts w:ascii="Times New Roman" w:cs="Times New Roman" w:eastAsia="Times New Roman" w:hAnsi="Times New Roman"/>
                <w:sz w:val="16"/>
                <w:szCs w:val="16"/>
                <w:b w:val="1"/>
                <w:bCs w:val="1"/>
                <w:color w:val="auto"/>
              </w:rPr>
              <w:t>84</w:t>
            </w:r>
          </w:p>
        </w:tc>
        <w:tc>
          <w:tcPr>
            <w:tcW w:w="8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290,709</w:t>
            </w:r>
          </w:p>
        </w:tc>
        <w:tc>
          <w:tcPr>
            <w:tcW w:w="0" w:type="dxa"/>
            <w:vAlign w:val="bottom"/>
          </w:tcPr>
          <w:p>
            <w:pPr>
              <w:spacing w:after="0"/>
              <w:rPr>
                <w:sz w:val="1"/>
                <w:szCs w:val="1"/>
                <w:color w:val="auto"/>
              </w:rPr>
            </w:pPr>
          </w:p>
        </w:tc>
      </w:tr>
      <w:tr>
        <w:trPr>
          <w:trHeight w:val="205"/>
        </w:trPr>
        <w:tc>
          <w:tcPr>
            <w:tcW w:w="14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and equity</w:t>
            </w: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780" w:type="dxa"/>
            <w:vAlign w:val="bottom"/>
            <w:tcBorders>
              <w:bottom w:val="single" w:sz="8" w:color="auto"/>
            </w:tcBorders>
            <w:gridSpan w:val="2"/>
            <w:vMerge w:val="continue"/>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vMerge w:val="continue"/>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vMerge w:val="continue"/>
            <w:shd w:val="clear" w:color="auto" w:fill="CCEEFF"/>
          </w:tcPr>
          <w:p>
            <w:pPr>
              <w:spacing w:after="0"/>
              <w:rPr>
                <w:sz w:val="17"/>
                <w:szCs w:val="17"/>
                <w:color w:val="auto"/>
              </w:rPr>
            </w:pPr>
          </w:p>
        </w:tc>
        <w:tc>
          <w:tcPr>
            <w:tcW w:w="6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vMerge w:val="continue"/>
            <w:shd w:val="clear" w:color="auto" w:fill="CCEEFF"/>
          </w:tcPr>
          <w:p>
            <w:pPr>
              <w:spacing w:after="0"/>
              <w:rPr>
                <w:sz w:val="17"/>
                <w:szCs w:val="17"/>
                <w:color w:val="auto"/>
              </w:rPr>
            </w:pPr>
          </w:p>
        </w:tc>
        <w:tc>
          <w:tcPr>
            <w:tcW w:w="6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4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380" w:right="539" w:hanging="330"/>
        <w:spacing w:after="0" w:line="298" w:lineRule="auto"/>
        <w:tabs>
          <w:tab w:leader="none" w:pos="3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 in real estate, net includes the initial land contributed to the Latitude Margaritaville Watersound JV in 2020 at the Company’s historical cost basis and additional completed infrastructure improvements.</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1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5"/>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1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3"/>
          </w:tcPr>
          <w:p>
            <w:pPr>
              <w:jc w:val="center"/>
              <w:ind w:right="80"/>
              <w:spacing w:after="0" w:line="126" w:lineRule="exact"/>
              <w:rPr>
                <w:sz w:val="20"/>
                <w:szCs w:val="20"/>
                <w:color w:val="auto"/>
              </w:rPr>
            </w:pPr>
            <w:r>
              <w:rPr>
                <w:rFonts w:ascii="Times New Roman" w:cs="Times New Roman" w:eastAsia="Times New Roman" w:hAnsi="Times New Roman"/>
                <w:sz w:val="13"/>
                <w:szCs w:val="13"/>
                <w:b w:val="1"/>
                <w:bCs w:val="1"/>
                <w:color w:val="auto"/>
              </w:rPr>
              <w:t>Watersound</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Latitude</w:t>
            </w:r>
          </w:p>
        </w:tc>
        <w:tc>
          <w:tcPr>
            <w:tcW w:w="80" w:type="dxa"/>
            <w:vAlign w:val="bottom"/>
          </w:tcPr>
          <w:p>
            <w:pPr>
              <w:spacing w:after="0"/>
              <w:rPr>
                <w:sz w:val="12"/>
                <w:szCs w:val="12"/>
                <w:color w:val="auto"/>
              </w:rPr>
            </w:pP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Fountains</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80" w:type="dxa"/>
            <w:vAlign w:val="bottom"/>
          </w:tcPr>
          <w:p>
            <w:pPr>
              <w:spacing w:after="0"/>
              <w:rPr>
                <w:sz w:val="12"/>
                <w:szCs w:val="12"/>
                <w:color w:val="auto"/>
              </w:rPr>
            </w:pPr>
          </w:p>
        </w:tc>
        <w:tc>
          <w:tcPr>
            <w:tcW w:w="1060" w:type="dxa"/>
            <w:vAlign w:val="bottom"/>
            <w:gridSpan w:val="4"/>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Margaritaville</w:t>
            </w:r>
          </w:p>
        </w:tc>
        <w:tc>
          <w:tcPr>
            <w:tcW w:w="84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Independent</w:t>
            </w:r>
          </w:p>
        </w:tc>
        <w:tc>
          <w:tcPr>
            <w:tcW w:w="100" w:type="dxa"/>
            <w:vAlign w:val="bottom"/>
          </w:tcPr>
          <w:p>
            <w:pPr>
              <w:spacing w:after="0"/>
              <w:rPr>
                <w:sz w:val="12"/>
                <w:szCs w:val="12"/>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Pier Park</w:t>
            </w: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Pier Park RI</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Electric Cart</w:t>
            </w:r>
          </w:p>
        </w:tc>
        <w:tc>
          <w:tcPr>
            <w:tcW w:w="100" w:type="dxa"/>
            <w:vAlign w:val="bottom"/>
          </w:tcPr>
          <w:p>
            <w:pPr>
              <w:spacing w:after="0"/>
              <w:rPr>
                <w:sz w:val="12"/>
                <w:szCs w:val="12"/>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Watersound</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480" w:type="dxa"/>
            <w:vAlign w:val="bottom"/>
          </w:tcPr>
          <w:p>
            <w:pPr>
              <w:spacing w:after="0"/>
              <w:rPr>
                <w:sz w:val="14"/>
                <w:szCs w:val="1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Watersound JV</w:t>
            </w:r>
          </w:p>
        </w:tc>
        <w:tc>
          <w:tcPr>
            <w:tcW w:w="80" w:type="dxa"/>
            <w:vAlign w:val="bottom"/>
          </w:tcPr>
          <w:p>
            <w:pPr>
              <w:spacing w:after="0"/>
              <w:rPr>
                <w:sz w:val="14"/>
                <w:szCs w:val="14"/>
                <w:color w:val="auto"/>
              </w:rPr>
            </w:pP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Living JV</w:t>
            </w:r>
          </w:p>
        </w:tc>
        <w:tc>
          <w:tcPr>
            <w:tcW w:w="10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TPS JV</w:t>
            </w:r>
          </w:p>
        </w:tc>
        <w:tc>
          <w:tcPr>
            <w:tcW w:w="180" w:type="dxa"/>
            <w:vAlign w:val="bottom"/>
          </w:tcPr>
          <w:p>
            <w:pPr>
              <w:spacing w:after="0"/>
              <w:rPr>
                <w:sz w:val="14"/>
                <w:szCs w:val="14"/>
                <w:color w:val="auto"/>
              </w:rPr>
            </w:pP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JV</w:t>
            </w: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Busy Bee JV</w:t>
            </w:r>
          </w:p>
        </w:tc>
        <w:tc>
          <w:tcPr>
            <w:tcW w:w="106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Watersound JV</w:t>
            </w: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Management JV</w:t>
            </w:r>
          </w:p>
        </w:tc>
        <w:tc>
          <w:tcPr>
            <w:tcW w:w="140" w:type="dxa"/>
            <w:vAlign w:val="bottom"/>
          </w:tcPr>
          <w:p>
            <w:pPr>
              <w:spacing w:after="0"/>
              <w:rPr>
                <w:sz w:val="14"/>
                <w:szCs w:val="14"/>
                <w:color w:val="auto"/>
              </w:rPr>
            </w:pPr>
          </w:p>
        </w:tc>
        <w:tc>
          <w:tcPr>
            <w:tcW w:w="640" w:type="dxa"/>
            <w:vAlign w:val="bottom"/>
          </w:tcPr>
          <w:p>
            <w:pPr>
              <w:jc w:val="right"/>
              <w:ind w:right="161"/>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3"/>
        </w:trPr>
        <w:tc>
          <w:tcPr>
            <w:tcW w:w="1480" w:type="dxa"/>
            <w:vAlign w:val="bottom"/>
            <w:tcBorders>
              <w:top w:val="single" w:sz="8" w:color="CCEEFF"/>
            </w:tcBorders>
            <w:shd w:val="clear" w:color="auto" w:fill="CCEEFF"/>
          </w:tcPr>
          <w:p>
            <w:pPr>
              <w:ind w:left="20"/>
              <w:spacing w:after="0" w:line="183" w:lineRule="exact"/>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in real</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estate, net</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4"/>
          </w:tcPr>
          <w:p>
            <w:pPr>
              <w:jc w:val="right"/>
              <w:spacing w:after="0" w:line="217" w:lineRule="exact"/>
              <w:rPr>
                <w:sz w:val="20"/>
                <w:szCs w:val="20"/>
                <w:color w:val="auto"/>
              </w:rPr>
            </w:pPr>
            <w:r>
              <w:rPr>
                <w:rFonts w:ascii="Times New Roman" w:cs="Times New Roman" w:eastAsia="Times New Roman" w:hAnsi="Times New Roman"/>
                <w:sz w:val="16"/>
                <w:szCs w:val="16"/>
                <w:color w:val="auto"/>
              </w:rPr>
              <w:t xml:space="preserve">108,617 </w:t>
            </w:r>
            <w:r>
              <w:rPr>
                <w:rFonts w:ascii="Times New Roman" w:cs="Times New Roman" w:eastAsia="Times New Roman" w:hAnsi="Times New Roman"/>
                <w:sz w:val="24"/>
                <w:szCs w:val="24"/>
                <w:color w:val="auto"/>
                <w:vertAlign w:val="subscript"/>
              </w:rPr>
              <w:t>(a)</w:t>
            </w: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47,929</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11,469</w:t>
            </w:r>
          </w:p>
        </w:tc>
        <w:tc>
          <w:tcPr>
            <w:tcW w:w="1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30,773</w:t>
            </w:r>
          </w:p>
        </w:tc>
        <w:tc>
          <w:tcPr>
            <w:tcW w:w="80" w:type="dxa"/>
            <w:vAlign w:val="bottom"/>
          </w:tcPr>
          <w:p>
            <w:pPr>
              <w:spacing w:after="0"/>
              <w:rPr>
                <w:sz w:val="18"/>
                <w:szCs w:val="18"/>
                <w:color w:val="auto"/>
              </w:rPr>
            </w:pPr>
          </w:p>
        </w:tc>
        <w:tc>
          <w:tcPr>
            <w:tcW w:w="180" w:type="dxa"/>
            <w:vAlign w:val="bottom"/>
          </w:tcPr>
          <w:p>
            <w:pPr>
              <w:jc w:val="center"/>
              <w:ind w:right="2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7,643</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4,904</w:t>
            </w:r>
          </w:p>
        </w:tc>
        <w:tc>
          <w:tcPr>
            <w:tcW w:w="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211,335</w:t>
            </w:r>
          </w:p>
        </w:tc>
        <w:tc>
          <w:tcPr>
            <w:tcW w:w="0" w:type="dxa"/>
            <w:vAlign w:val="bottom"/>
          </w:tcPr>
          <w:p>
            <w:pPr>
              <w:spacing w:after="0"/>
              <w:rPr>
                <w:sz w:val="1"/>
                <w:szCs w:val="1"/>
                <w:color w:val="auto"/>
              </w:rPr>
            </w:pPr>
          </w:p>
        </w:tc>
      </w:tr>
      <w:tr>
        <w:trPr>
          <w:trHeight w:val="189"/>
        </w:trPr>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equivalents</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11,121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13,791</w:t>
            </w:r>
          </w:p>
        </w:tc>
        <w:tc>
          <w:tcPr>
            <w:tcW w:w="0" w:type="dxa"/>
            <w:vAlign w:val="bottom"/>
          </w:tcPr>
          <w:p>
            <w:pPr>
              <w:spacing w:after="0"/>
              <w:rPr>
                <w:sz w:val="1"/>
                <w:szCs w:val="1"/>
                <w:color w:val="auto"/>
              </w:rPr>
            </w:pPr>
          </w:p>
        </w:tc>
      </w:tr>
      <w:tr>
        <w:trPr>
          <w:trHeight w:val="189"/>
        </w:trPr>
        <w:tc>
          <w:tcPr>
            <w:tcW w:w="1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receivable</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and other assets</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1,089</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1,701</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3,961</w:t>
            </w:r>
          </w:p>
        </w:tc>
        <w:tc>
          <w:tcPr>
            <w:tcW w:w="0" w:type="dxa"/>
            <w:vAlign w:val="bottom"/>
          </w:tcPr>
          <w:p>
            <w:pPr>
              <w:spacing w:after="0"/>
              <w:rPr>
                <w:sz w:val="1"/>
                <w:szCs w:val="1"/>
                <w:color w:val="auto"/>
              </w:rPr>
            </w:pPr>
          </w:p>
        </w:tc>
      </w:tr>
      <w:tr>
        <w:trPr>
          <w:trHeight w:val="199"/>
        </w:trPr>
        <w:tc>
          <w:tcPr>
            <w:tcW w:w="14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120,827</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48,419</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11,904</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31,269</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10,349</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6,145</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174</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229,087</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AND EQUITY</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Debt, net</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41,037</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12,802</w:t>
            </w:r>
          </w:p>
        </w:tc>
        <w:tc>
          <w:tcPr>
            <w:tcW w:w="16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15,965</w:t>
            </w:r>
          </w:p>
        </w:tc>
        <w:tc>
          <w:tcPr>
            <w:tcW w:w="80" w:type="dxa"/>
            <w:vAlign w:val="bottom"/>
          </w:tcPr>
          <w:p>
            <w:pPr>
              <w:spacing w:after="0"/>
              <w:rPr>
                <w:sz w:val="17"/>
                <w:szCs w:val="17"/>
                <w:color w:val="auto"/>
              </w:rPr>
            </w:pPr>
          </w:p>
        </w:tc>
        <w:tc>
          <w:tcPr>
            <w:tcW w:w="180" w:type="dxa"/>
            <w:vAlign w:val="bottom"/>
          </w:tcPr>
          <w:p>
            <w:pPr>
              <w:jc w:val="center"/>
              <w:ind w:right="2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5,025</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4,430</w:t>
            </w:r>
          </w:p>
        </w:tc>
        <w:tc>
          <w:tcPr>
            <w:tcW w:w="8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79,259</w:t>
            </w:r>
          </w:p>
        </w:tc>
        <w:tc>
          <w:tcPr>
            <w:tcW w:w="0" w:type="dxa"/>
            <w:vAlign w:val="bottom"/>
          </w:tcPr>
          <w:p>
            <w:pPr>
              <w:spacing w:after="0"/>
              <w:rPr>
                <w:sz w:val="1"/>
                <w:szCs w:val="1"/>
                <w:color w:val="auto"/>
              </w:rPr>
            </w:pPr>
          </w:p>
        </w:tc>
      </w:tr>
      <w:tr>
        <w:trPr>
          <w:trHeight w:val="189"/>
        </w:trPr>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payable</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and other liabilities</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30,670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32,914</w:t>
            </w:r>
          </w:p>
        </w:tc>
        <w:tc>
          <w:tcPr>
            <w:tcW w:w="0" w:type="dxa"/>
            <w:vAlign w:val="bottom"/>
          </w:tcPr>
          <w:p>
            <w:pPr>
              <w:spacing w:after="0"/>
              <w:rPr>
                <w:sz w:val="1"/>
                <w:szCs w:val="1"/>
                <w:color w:val="auto"/>
              </w:rPr>
            </w:pPr>
          </w:p>
        </w:tc>
      </w:tr>
      <w:tr>
        <w:trPr>
          <w:trHeight w:val="203"/>
        </w:trPr>
        <w:tc>
          <w:tcPr>
            <w:tcW w:w="1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(deficit)</w:t>
            </w:r>
          </w:p>
        </w:tc>
        <w:tc>
          <w:tcPr>
            <w:tcW w:w="14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90,157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ind w:left="180"/>
              <w:spacing w:after="0" w:line="202" w:lineRule="exact"/>
              <w:rPr>
                <w:sz w:val="20"/>
                <w:szCs w:val="20"/>
                <w:color w:val="auto"/>
              </w:rPr>
            </w:pPr>
            <w:r>
              <w:rPr>
                <w:rFonts w:ascii="Times New Roman" w:cs="Times New Roman" w:eastAsia="Times New Roman" w:hAnsi="Times New Roman"/>
                <w:sz w:val="16"/>
                <w:szCs w:val="16"/>
                <w:color w:val="auto"/>
                <w:w w:val="92"/>
              </w:rPr>
              <w:t>(1,079)</w:t>
            </w:r>
            <w:r>
              <w:rPr>
                <w:rFonts w:ascii="Times New Roman" w:cs="Times New Roman" w:eastAsia="Times New Roman" w:hAnsi="Times New Roman"/>
                <w:sz w:val="23"/>
                <w:szCs w:val="23"/>
                <w:color w:val="auto"/>
                <w:w w:val="92"/>
                <w:vertAlign w:val="subscript"/>
              </w:rPr>
              <w:t>(b)</w:t>
            </w: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14,983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116,914</w:t>
            </w:r>
          </w:p>
        </w:tc>
        <w:tc>
          <w:tcPr>
            <w:tcW w:w="0" w:type="dxa"/>
            <w:vAlign w:val="bottom"/>
          </w:tcPr>
          <w:p>
            <w:pPr>
              <w:spacing w:after="0"/>
              <w:rPr>
                <w:sz w:val="1"/>
                <w:szCs w:val="1"/>
                <w:color w:val="auto"/>
              </w:rPr>
            </w:pPr>
          </w:p>
        </w:tc>
      </w:tr>
      <w:tr>
        <w:trPr>
          <w:trHeight w:val="167"/>
        </w:trPr>
        <w:tc>
          <w:tcPr>
            <w:tcW w:w="1480" w:type="dxa"/>
            <w:vAlign w:val="bottom"/>
            <w:tcBorders>
              <w:top w:val="single" w:sz="8" w:color="CCEEFF"/>
            </w:tcBorders>
            <w:shd w:val="clear" w:color="auto" w:fill="CCEEFF"/>
          </w:tcPr>
          <w:p>
            <w:pPr>
              <w:ind w:left="120"/>
              <w:spacing w:after="0" w:line="167" w:lineRule="exact"/>
              <w:rPr>
                <w:sz w:val="20"/>
                <w:szCs w:val="20"/>
                <w:color w:val="auto"/>
              </w:rPr>
            </w:pPr>
            <w:r>
              <w:rPr>
                <w:rFonts w:ascii="Times New Roman" w:cs="Times New Roman" w:eastAsia="Times New Roman" w:hAnsi="Times New Roman"/>
                <w:sz w:val="16"/>
                <w:szCs w:val="16"/>
                <w:b w:val="1"/>
                <w:bCs w:val="1"/>
                <w:color w:val="auto"/>
              </w:rPr>
              <w:t>Total liabilities</w:t>
            </w:r>
          </w:p>
        </w:tc>
        <w:tc>
          <w:tcPr>
            <w:tcW w:w="14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Borders>
              <w:top w:val="single" w:sz="8" w:color="auto"/>
            </w:tcBorders>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120,827</w:t>
            </w: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48,419</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11,904</w:t>
            </w:r>
          </w:p>
        </w:tc>
        <w:tc>
          <w:tcPr>
            <w:tcW w:w="1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31,269</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vMerge w:val="restart"/>
            <w:shd w:val="clear" w:color="auto" w:fill="CCEEFF"/>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10,349</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6,145</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174</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229,087</w:t>
            </w:r>
          </w:p>
        </w:tc>
        <w:tc>
          <w:tcPr>
            <w:tcW w:w="0" w:type="dxa"/>
            <w:vAlign w:val="bottom"/>
          </w:tcPr>
          <w:p>
            <w:pPr>
              <w:spacing w:after="0"/>
              <w:rPr>
                <w:sz w:val="1"/>
                <w:szCs w:val="1"/>
                <w:color w:val="auto"/>
              </w:rPr>
            </w:pPr>
          </w:p>
        </w:tc>
      </w:tr>
      <w:tr>
        <w:trPr>
          <w:trHeight w:val="205"/>
        </w:trPr>
        <w:tc>
          <w:tcPr>
            <w:tcW w:w="14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and equity</w:t>
            </w: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780" w:type="dxa"/>
            <w:vAlign w:val="bottom"/>
            <w:tcBorders>
              <w:bottom w:val="single" w:sz="8" w:color="auto"/>
            </w:tcBorders>
            <w:gridSpan w:val="2"/>
            <w:vMerge w:val="continue"/>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vMerge w:val="continue"/>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vMerge w:val="continue"/>
            <w:shd w:val="clear" w:color="auto" w:fill="CCEEFF"/>
          </w:tcPr>
          <w:p>
            <w:pPr>
              <w:spacing w:after="0"/>
              <w:rPr>
                <w:sz w:val="17"/>
                <w:szCs w:val="17"/>
                <w:color w:val="auto"/>
              </w:rPr>
            </w:pPr>
          </w:p>
        </w:tc>
        <w:tc>
          <w:tcPr>
            <w:tcW w:w="6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vMerge w:val="continue"/>
            <w:shd w:val="clear" w:color="auto" w:fill="CCEEFF"/>
          </w:tcPr>
          <w:p>
            <w:pPr>
              <w:spacing w:after="0"/>
              <w:rPr>
                <w:sz w:val="17"/>
                <w:szCs w:val="17"/>
                <w:color w:val="auto"/>
              </w:rPr>
            </w:pPr>
          </w:p>
        </w:tc>
        <w:tc>
          <w:tcPr>
            <w:tcW w:w="6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4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380" w:right="819" w:hanging="330"/>
        <w:spacing w:after="0" w:line="269" w:lineRule="auto"/>
        <w:tabs>
          <w:tab w:leader="none" w:pos="3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 in real estate includes the initial land contributed to the Latitude Margaritaville Watersound JV in 2020 at the Company’s historical cost basis and additional completed infrastructure improvements.</w:t>
      </w:r>
    </w:p>
    <w:p>
      <w:pPr>
        <w:ind w:left="380" w:right="299" w:hanging="330"/>
        <w:spacing w:after="0" w:line="276" w:lineRule="auto"/>
        <w:tabs>
          <w:tab w:leader="none" w:pos="3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Deficit includes cash distributions and non-cash depreciation and amortization expense. As of December 31, 2025, the Company and JV partner each contributed assets valued at $3.1 million to the JV, which included land, cash and mitigation credits. As of December 31, 2025, cash of $2.9 million had been distributed to each the Company and JV partner over the past several years.</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Summarized statements of operations for the Company’s unconsolidated JVs are as follows:</w:t>
      </w:r>
    </w:p>
    <w:p>
      <w:pPr>
        <w:spacing w:after="0" w:line="240"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20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11"/>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Three Months Ended September 30, 2026</w:t>
            </w: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Latitude</w:t>
            </w:r>
          </w:p>
        </w:tc>
        <w:tc>
          <w:tcPr>
            <w:tcW w:w="80" w:type="dxa"/>
            <w:vAlign w:val="bottom"/>
          </w:tcPr>
          <w:p>
            <w:pPr>
              <w:spacing w:after="0"/>
              <w:rPr>
                <w:sz w:val="10"/>
                <w:szCs w:val="10"/>
                <w:color w:val="auto"/>
              </w:rPr>
            </w:pPr>
          </w:p>
        </w:tc>
        <w:tc>
          <w:tcPr>
            <w:tcW w:w="920" w:type="dxa"/>
            <w:vAlign w:val="bottom"/>
            <w:gridSpan w:val="2"/>
          </w:tcPr>
          <w:p>
            <w:pPr>
              <w:jc w:val="center"/>
              <w:ind w:right="200"/>
              <w:spacing w:after="0" w:line="126" w:lineRule="exact"/>
              <w:rPr>
                <w:sz w:val="20"/>
                <w:szCs w:val="20"/>
                <w:color w:val="auto"/>
              </w:rPr>
            </w:pPr>
            <w:r>
              <w:rPr>
                <w:rFonts w:ascii="Times New Roman" w:cs="Times New Roman" w:eastAsia="Times New Roman" w:hAnsi="Times New Roman"/>
                <w:sz w:val="13"/>
                <w:szCs w:val="13"/>
                <w:b w:val="1"/>
                <w:bCs w:val="1"/>
                <w:color w:val="auto"/>
              </w:rPr>
              <w:t>Watersound</w:t>
            </w: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center"/>
              <w:ind w:right="240"/>
              <w:spacing w:after="0" w:line="126" w:lineRule="exact"/>
              <w:rPr>
                <w:sz w:val="20"/>
                <w:szCs w:val="20"/>
                <w:color w:val="auto"/>
              </w:rPr>
            </w:pPr>
            <w:r>
              <w:rPr>
                <w:rFonts w:ascii="Times New Roman" w:cs="Times New Roman" w:eastAsia="Times New Roman" w:hAnsi="Times New Roman"/>
                <w:sz w:val="13"/>
                <w:szCs w:val="13"/>
                <w:b w:val="1"/>
                <w:bCs w:val="1"/>
                <w:color w:val="auto"/>
              </w:rPr>
              <w:t>Electric</w:t>
            </w: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Fountains</w:t>
            </w: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Cart</w:t>
            </w:r>
          </w:p>
        </w:tc>
        <w:tc>
          <w:tcPr>
            <w:tcW w:w="86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Watersound</w:t>
            </w: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80" w:type="dxa"/>
            <w:vAlign w:val="bottom"/>
          </w:tcPr>
          <w:p>
            <w:pPr>
              <w:spacing w:after="0"/>
              <w:rPr>
                <w:sz w:val="8"/>
                <w:szCs w:val="8"/>
                <w:color w:val="auto"/>
              </w:rPr>
            </w:pPr>
          </w:p>
        </w:tc>
        <w:tc>
          <w:tcPr>
            <w:tcW w:w="10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Margaritaville</w:t>
            </w:r>
          </w:p>
        </w:tc>
        <w:tc>
          <w:tcPr>
            <w:tcW w:w="8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6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80" w:type="dxa"/>
            <w:vAlign w:val="bottom"/>
          </w:tcPr>
          <w:p>
            <w:pPr>
              <w:spacing w:after="0"/>
              <w:rPr>
                <w:sz w:val="4"/>
                <w:szCs w:val="4"/>
                <w:color w:val="auto"/>
              </w:rPr>
            </w:pPr>
          </w:p>
        </w:tc>
        <w:tc>
          <w:tcPr>
            <w:tcW w:w="1040" w:type="dxa"/>
            <w:vAlign w:val="bottom"/>
            <w:gridSpan w:val="3"/>
            <w:vMerge w:val="continue"/>
          </w:tcPr>
          <w:p>
            <w:pPr>
              <w:spacing w:after="0"/>
              <w:rPr>
                <w:sz w:val="4"/>
                <w:szCs w:val="4"/>
                <w:color w:val="auto"/>
              </w:rPr>
            </w:pPr>
          </w:p>
        </w:tc>
        <w:tc>
          <w:tcPr>
            <w:tcW w:w="1000" w:type="dxa"/>
            <w:vAlign w:val="bottom"/>
            <w:gridSpan w:val="3"/>
            <w:vMerge w:val="restart"/>
          </w:tcPr>
          <w:p>
            <w:pPr>
              <w:jc w:val="center"/>
              <w:ind w:right="120"/>
              <w:spacing w:after="0" w:line="144" w:lineRule="exact"/>
              <w:rPr>
                <w:sz w:val="20"/>
                <w:szCs w:val="20"/>
                <w:color w:val="auto"/>
              </w:rPr>
            </w:pPr>
            <w:r>
              <w:rPr>
                <w:rFonts w:ascii="Times New Roman" w:cs="Times New Roman" w:eastAsia="Times New Roman" w:hAnsi="Times New Roman"/>
                <w:sz w:val="13"/>
                <w:szCs w:val="13"/>
                <w:b w:val="1"/>
                <w:bCs w:val="1"/>
                <w:color w:val="auto"/>
              </w:rPr>
              <w:t>Independent</w:t>
            </w:r>
          </w:p>
        </w:tc>
        <w:tc>
          <w:tcPr>
            <w:tcW w:w="740" w:type="dxa"/>
            <w:vAlign w:val="bottom"/>
            <w:gridSpan w:val="3"/>
            <w:vMerge w:val="restart"/>
          </w:tcPr>
          <w:p>
            <w:pPr>
              <w:jc w:val="center"/>
              <w:ind w:right="140"/>
              <w:spacing w:after="0" w:line="144" w:lineRule="exact"/>
              <w:rPr>
                <w:sz w:val="20"/>
                <w:szCs w:val="20"/>
                <w:color w:val="auto"/>
              </w:rPr>
            </w:pPr>
            <w:r>
              <w:rPr>
                <w:rFonts w:ascii="Times New Roman" w:cs="Times New Roman" w:eastAsia="Times New Roman" w:hAnsi="Times New Roman"/>
                <w:sz w:val="13"/>
                <w:szCs w:val="13"/>
                <w:b w:val="1"/>
                <w:bCs w:val="1"/>
                <w:color w:val="auto"/>
              </w:rPr>
              <w:t>Pier Park</w:t>
            </w:r>
          </w:p>
        </w:tc>
        <w:tc>
          <w:tcPr>
            <w:tcW w:w="720" w:type="dxa"/>
            <w:vAlign w:val="bottom"/>
            <w:gridSpan w:val="3"/>
            <w:vMerge w:val="restart"/>
          </w:tcPr>
          <w:p>
            <w:pPr>
              <w:ind w:left="20"/>
              <w:spacing w:after="0" w:line="144" w:lineRule="exact"/>
              <w:rPr>
                <w:sz w:val="20"/>
                <w:szCs w:val="20"/>
                <w:color w:val="auto"/>
              </w:rPr>
            </w:pPr>
            <w:r>
              <w:rPr>
                <w:rFonts w:ascii="Times New Roman" w:cs="Times New Roman" w:eastAsia="Times New Roman" w:hAnsi="Times New Roman"/>
                <w:sz w:val="13"/>
                <w:szCs w:val="13"/>
                <w:b w:val="1"/>
                <w:bCs w:val="1"/>
                <w:color w:val="auto"/>
              </w:rPr>
              <w:t>Pier Park</w:t>
            </w:r>
          </w:p>
        </w:tc>
        <w:tc>
          <w:tcPr>
            <w:tcW w:w="660" w:type="dxa"/>
            <w:vAlign w:val="bottom"/>
            <w:gridSpan w:val="2"/>
            <w:vMerge w:val="restart"/>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Busy Bee</w:t>
            </w:r>
          </w:p>
        </w:tc>
        <w:tc>
          <w:tcPr>
            <w:tcW w:w="120" w:type="dxa"/>
            <w:vAlign w:val="bottom"/>
          </w:tcPr>
          <w:p>
            <w:pPr>
              <w:spacing w:after="0"/>
              <w:rPr>
                <w:sz w:val="4"/>
                <w:szCs w:val="4"/>
                <w:color w:val="auto"/>
              </w:rPr>
            </w:pPr>
          </w:p>
        </w:tc>
        <w:tc>
          <w:tcPr>
            <w:tcW w:w="840" w:type="dxa"/>
            <w:vAlign w:val="bottom"/>
            <w:gridSpan w:val="3"/>
            <w:vMerge w:val="restart"/>
          </w:tcPr>
          <w:p>
            <w:pPr>
              <w:jc w:val="center"/>
              <w:ind w:right="120"/>
              <w:spacing w:after="0" w:line="144" w:lineRule="exact"/>
              <w:rPr>
                <w:sz w:val="20"/>
                <w:szCs w:val="20"/>
                <w:color w:val="auto"/>
              </w:rPr>
            </w:pPr>
            <w:r>
              <w:rPr>
                <w:rFonts w:ascii="Times New Roman" w:cs="Times New Roman" w:eastAsia="Times New Roman" w:hAnsi="Times New Roman"/>
                <w:sz w:val="13"/>
                <w:szCs w:val="13"/>
                <w:b w:val="1"/>
                <w:bCs w:val="1"/>
                <w:color w:val="auto"/>
              </w:rPr>
              <w:t>Watersound</w:t>
            </w:r>
          </w:p>
        </w:tc>
        <w:tc>
          <w:tcPr>
            <w:tcW w:w="860" w:type="dxa"/>
            <w:vAlign w:val="bottom"/>
            <w:gridSpan w:val="3"/>
            <w:vMerge w:val="restart"/>
          </w:tcPr>
          <w:p>
            <w:pPr>
              <w:spacing w:after="0" w:line="144" w:lineRule="exact"/>
              <w:rPr>
                <w:sz w:val="20"/>
                <w:szCs w:val="20"/>
                <w:color w:val="auto"/>
              </w:rPr>
            </w:pPr>
            <w:r>
              <w:rPr>
                <w:rFonts w:ascii="Times New Roman" w:cs="Times New Roman" w:eastAsia="Times New Roman" w:hAnsi="Times New Roman"/>
                <w:sz w:val="13"/>
                <w:szCs w:val="13"/>
                <w:b w:val="1"/>
                <w:bCs w:val="1"/>
                <w:color w:val="auto"/>
              </w:rPr>
              <w:t>Management</w:t>
            </w: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2080" w:type="dxa"/>
            <w:vAlign w:val="bottom"/>
          </w:tcPr>
          <w:p>
            <w:pPr>
              <w:spacing w:after="0"/>
              <w:rPr>
                <w:sz w:val="7"/>
                <w:szCs w:val="7"/>
                <w:color w:val="auto"/>
              </w:rPr>
            </w:pPr>
          </w:p>
        </w:tc>
        <w:tc>
          <w:tcPr>
            <w:tcW w:w="1040" w:type="dxa"/>
            <w:vAlign w:val="bottom"/>
            <w:gridSpan w:val="3"/>
            <w:vMerge w:val="restart"/>
          </w:tcPr>
          <w:p>
            <w:pPr>
              <w:jc w:val="center"/>
              <w:ind w:right="120"/>
              <w:spacing w:after="0" w:line="144" w:lineRule="exact"/>
              <w:rPr>
                <w:sz w:val="20"/>
                <w:szCs w:val="20"/>
                <w:color w:val="auto"/>
              </w:rPr>
            </w:pPr>
            <w:r>
              <w:rPr>
                <w:rFonts w:ascii="Times New Roman" w:cs="Times New Roman" w:eastAsia="Times New Roman" w:hAnsi="Times New Roman"/>
                <w:sz w:val="13"/>
                <w:szCs w:val="13"/>
                <w:b w:val="1"/>
                <w:bCs w:val="1"/>
                <w:color w:val="auto"/>
              </w:rPr>
              <w:t>Watersound JV</w:t>
            </w:r>
          </w:p>
        </w:tc>
        <w:tc>
          <w:tcPr>
            <w:tcW w:w="1000" w:type="dxa"/>
            <w:vAlign w:val="bottom"/>
            <w:gridSpan w:val="3"/>
            <w:vMerge w:val="continue"/>
          </w:tcPr>
          <w:p>
            <w:pPr>
              <w:spacing w:after="0"/>
              <w:rPr>
                <w:sz w:val="7"/>
                <w:szCs w:val="7"/>
                <w:color w:val="auto"/>
              </w:rPr>
            </w:pPr>
          </w:p>
        </w:tc>
        <w:tc>
          <w:tcPr>
            <w:tcW w:w="740" w:type="dxa"/>
            <w:vAlign w:val="bottom"/>
            <w:gridSpan w:val="3"/>
            <w:vMerge w:val="continue"/>
          </w:tcPr>
          <w:p>
            <w:pPr>
              <w:spacing w:after="0"/>
              <w:rPr>
                <w:sz w:val="7"/>
                <w:szCs w:val="7"/>
                <w:color w:val="auto"/>
              </w:rPr>
            </w:pPr>
          </w:p>
        </w:tc>
        <w:tc>
          <w:tcPr>
            <w:tcW w:w="720" w:type="dxa"/>
            <w:vAlign w:val="bottom"/>
            <w:gridSpan w:val="3"/>
            <w:vMerge w:val="continue"/>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gridSpan w:val="3"/>
            <w:vMerge w:val="continue"/>
          </w:tcPr>
          <w:p>
            <w:pPr>
              <w:spacing w:after="0"/>
              <w:rPr>
                <w:sz w:val="7"/>
                <w:szCs w:val="7"/>
                <w:color w:val="auto"/>
              </w:rPr>
            </w:pPr>
          </w:p>
        </w:tc>
        <w:tc>
          <w:tcPr>
            <w:tcW w:w="860" w:type="dxa"/>
            <w:vAlign w:val="bottom"/>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80" w:type="dxa"/>
            <w:vAlign w:val="bottom"/>
          </w:tcPr>
          <w:p>
            <w:pPr>
              <w:spacing w:after="0"/>
              <w:rPr>
                <w:sz w:val="4"/>
                <w:szCs w:val="4"/>
                <w:color w:val="auto"/>
              </w:rPr>
            </w:pPr>
          </w:p>
        </w:tc>
        <w:tc>
          <w:tcPr>
            <w:tcW w:w="1040" w:type="dxa"/>
            <w:vAlign w:val="bottom"/>
            <w:gridSpan w:val="3"/>
            <w:vMerge w:val="continue"/>
          </w:tcPr>
          <w:p>
            <w:pPr>
              <w:spacing w:after="0"/>
              <w:rPr>
                <w:sz w:val="4"/>
                <w:szCs w:val="4"/>
                <w:color w:val="auto"/>
              </w:rPr>
            </w:pPr>
          </w:p>
        </w:tc>
        <w:tc>
          <w:tcPr>
            <w:tcW w:w="1000" w:type="dxa"/>
            <w:vAlign w:val="bottom"/>
            <w:gridSpan w:val="3"/>
            <w:vMerge w:val="restart"/>
          </w:tcPr>
          <w:p>
            <w:pPr>
              <w:jc w:val="center"/>
              <w:ind w:right="120"/>
              <w:spacing w:after="0" w:line="170" w:lineRule="exact"/>
              <w:rPr>
                <w:sz w:val="20"/>
                <w:szCs w:val="20"/>
                <w:color w:val="auto"/>
              </w:rPr>
            </w:pPr>
            <w:r>
              <w:rPr>
                <w:rFonts w:ascii="Times New Roman" w:cs="Times New Roman" w:eastAsia="Times New Roman" w:hAnsi="Times New Roman"/>
                <w:sz w:val="13"/>
                <w:szCs w:val="13"/>
                <w:b w:val="1"/>
                <w:bCs w:val="1"/>
                <w:color w:val="auto"/>
                <w:w w:val="97"/>
              </w:rPr>
              <w:t xml:space="preserve">Living JV </w:t>
            </w:r>
            <w:r>
              <w:rPr>
                <w:rFonts w:ascii="Times New Roman" w:cs="Times New Roman" w:eastAsia="Times New Roman" w:hAnsi="Times New Roman"/>
                <w:sz w:val="19"/>
                <w:szCs w:val="19"/>
                <w:b w:val="1"/>
                <w:bCs w:val="1"/>
                <w:color w:val="auto"/>
                <w:w w:val="97"/>
                <w:vertAlign w:val="superscript"/>
              </w:rPr>
              <w:t>(b)</w:t>
            </w:r>
          </w:p>
        </w:tc>
        <w:tc>
          <w:tcPr>
            <w:tcW w:w="80" w:type="dxa"/>
            <w:vAlign w:val="bottom"/>
          </w:tcPr>
          <w:p>
            <w:pPr>
              <w:spacing w:after="0"/>
              <w:rPr>
                <w:sz w:val="4"/>
                <w:szCs w:val="4"/>
                <w:color w:val="auto"/>
              </w:rPr>
            </w:pPr>
          </w:p>
        </w:tc>
        <w:tc>
          <w:tcPr>
            <w:tcW w:w="6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TPS JV</w:t>
            </w:r>
          </w:p>
        </w:tc>
        <w:tc>
          <w:tcPr>
            <w:tcW w:w="100" w:type="dxa"/>
            <w:vAlign w:val="bottom"/>
          </w:tcPr>
          <w:p>
            <w:pPr>
              <w:spacing w:after="0"/>
              <w:rPr>
                <w:sz w:val="4"/>
                <w:szCs w:val="4"/>
                <w:color w:val="auto"/>
              </w:rPr>
            </w:pPr>
          </w:p>
        </w:tc>
        <w:tc>
          <w:tcPr>
            <w:tcW w:w="6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RI JV</w:t>
            </w:r>
          </w:p>
        </w:tc>
        <w:tc>
          <w:tcPr>
            <w:tcW w:w="160" w:type="dxa"/>
            <w:vAlign w:val="bottom"/>
          </w:tcPr>
          <w:p>
            <w:pPr>
              <w:spacing w:after="0"/>
              <w:rPr>
                <w:sz w:val="4"/>
                <w:szCs w:val="4"/>
                <w:color w:val="auto"/>
              </w:rPr>
            </w:pPr>
          </w:p>
        </w:tc>
        <w:tc>
          <w:tcPr>
            <w:tcW w:w="50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JV</w:t>
            </w: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JV</w:t>
            </w:r>
          </w:p>
        </w:tc>
        <w:tc>
          <w:tcPr>
            <w:tcW w:w="180" w:type="dxa"/>
            <w:vAlign w:val="bottom"/>
          </w:tcPr>
          <w:p>
            <w:pPr>
              <w:spacing w:after="0"/>
              <w:rPr>
                <w:sz w:val="4"/>
                <w:szCs w:val="4"/>
                <w:color w:val="auto"/>
              </w:rPr>
            </w:pP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JV</w:t>
            </w:r>
          </w:p>
        </w:tc>
        <w:tc>
          <w:tcPr>
            <w:tcW w:w="220" w:type="dxa"/>
            <w:vAlign w:val="bottom"/>
          </w:tcPr>
          <w:p>
            <w:pPr>
              <w:spacing w:after="0"/>
              <w:rPr>
                <w:sz w:val="4"/>
                <w:szCs w:val="4"/>
                <w:color w:val="auto"/>
              </w:rPr>
            </w:pPr>
          </w:p>
        </w:tc>
        <w:tc>
          <w:tcPr>
            <w:tcW w:w="620" w:type="dxa"/>
            <w:vAlign w:val="bottom"/>
            <w:vMerge w:val="restart"/>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16"/>
        </w:trPr>
        <w:tc>
          <w:tcPr>
            <w:tcW w:w="2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rPr>
              <w:t>(a)</w:t>
            </w:r>
          </w:p>
        </w:tc>
        <w:tc>
          <w:tcPr>
            <w:tcW w:w="100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2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1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40,679</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1,262</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1,210</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1,416</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4,960</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w:t>
            </w: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51,210</w:t>
            </w:r>
          </w:p>
        </w:tc>
        <w:tc>
          <w:tcPr>
            <w:tcW w:w="0" w:type="dxa"/>
            <w:vAlign w:val="bottom"/>
          </w:tcPr>
          <w:p>
            <w:pPr>
              <w:spacing w:after="0"/>
              <w:rPr>
                <w:sz w:val="1"/>
                <w:szCs w:val="1"/>
                <w:color w:val="auto"/>
              </w:rPr>
            </w:pPr>
          </w:p>
        </w:tc>
      </w:tr>
      <w:tr>
        <w:trPr>
          <w:trHeight w:val="193"/>
        </w:trPr>
        <w:tc>
          <w:tcPr>
            <w:tcW w:w="2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80" w:type="dxa"/>
            <w:vAlign w:val="bottom"/>
            <w:shd w:val="clear" w:color="auto" w:fill="CCEEFF"/>
          </w:tcPr>
          <w:p>
            <w:pPr>
              <w:ind w:left="120"/>
              <w:spacing w:after="0" w:line="205" w:lineRule="exact"/>
              <w:rPr>
                <w:sz w:val="20"/>
                <w:szCs w:val="20"/>
                <w:color w:val="auto"/>
              </w:rPr>
            </w:pPr>
            <w:r>
              <w:rPr>
                <w:rFonts w:ascii="Times New Roman" w:cs="Times New Roman" w:eastAsia="Times New Roman" w:hAnsi="Times New Roman"/>
                <w:sz w:val="16"/>
                <w:szCs w:val="16"/>
                <w:color w:val="auto"/>
              </w:rPr>
              <w:t xml:space="preserve">Cost of revenue </w:t>
            </w:r>
            <w:r>
              <w:rPr>
                <w:rFonts w:ascii="Times New Roman" w:cs="Times New Roman" w:eastAsia="Times New Roman" w:hAnsi="Times New Roman"/>
                <w:sz w:val="23"/>
                <w:szCs w:val="23"/>
                <w:color w:val="auto"/>
                <w:vertAlign w:val="superscript"/>
              </w:rPr>
              <w:t>(c)</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29,600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38,773</w:t>
            </w:r>
          </w:p>
        </w:tc>
        <w:tc>
          <w:tcPr>
            <w:tcW w:w="0" w:type="dxa"/>
            <w:vAlign w:val="bottom"/>
          </w:tcPr>
          <w:p>
            <w:pPr>
              <w:spacing w:after="0"/>
              <w:rPr>
                <w:sz w:val="1"/>
                <w:szCs w:val="1"/>
                <w:color w:val="auto"/>
              </w:rPr>
            </w:pPr>
          </w:p>
        </w:tc>
      </w:tr>
      <w:tr>
        <w:trPr>
          <w:trHeight w:val="175"/>
        </w:trPr>
        <w:tc>
          <w:tcPr>
            <w:tcW w:w="208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Other operating</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80" w:type="dxa"/>
            <w:vAlign w:val="bottom"/>
          </w:tcPr>
          <w:p>
            <w:pPr>
              <w:ind w:left="120"/>
              <w:spacing w:after="0" w:line="230" w:lineRule="exact"/>
              <w:rPr>
                <w:sz w:val="20"/>
                <w:szCs w:val="20"/>
                <w:color w:val="auto"/>
              </w:rPr>
            </w:pPr>
            <w:r>
              <w:rPr>
                <w:rFonts w:ascii="Times New Roman" w:cs="Times New Roman" w:eastAsia="Times New Roman" w:hAnsi="Times New Roman"/>
                <w:sz w:val="16"/>
                <w:szCs w:val="16"/>
                <w:color w:val="auto"/>
              </w:rPr>
              <w:t xml:space="preserve">expenses </w:t>
            </w:r>
            <w:r>
              <w:rPr>
                <w:rFonts w:ascii="Times New Roman" w:cs="Times New Roman" w:eastAsia="Times New Roman" w:hAnsi="Times New Roman"/>
                <w:sz w:val="24"/>
                <w:szCs w:val="24"/>
                <w:color w:val="auto"/>
                <w:vertAlign w:val="superscript"/>
              </w:rPr>
              <w:t>(c)</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3,688</w:t>
            </w: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Depreciation and</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ind w:left="120"/>
              <w:spacing w:after="0" w:line="230" w:lineRule="exact"/>
              <w:rPr>
                <w:sz w:val="20"/>
                <w:szCs w:val="20"/>
                <w:color w:val="auto"/>
              </w:rPr>
            </w:pPr>
            <w:r>
              <w:rPr>
                <w:rFonts w:ascii="Times New Roman" w:cs="Times New Roman" w:eastAsia="Times New Roman" w:hAnsi="Times New Roman"/>
                <w:sz w:val="16"/>
                <w:szCs w:val="16"/>
                <w:color w:val="auto"/>
              </w:rPr>
              <w:t xml:space="preserve">amortization </w:t>
            </w:r>
            <w:r>
              <w:rPr>
                <w:rFonts w:ascii="Times New Roman" w:cs="Times New Roman" w:eastAsia="Times New Roman" w:hAnsi="Times New Roman"/>
                <w:sz w:val="24"/>
                <w:szCs w:val="24"/>
                <w:color w:val="auto"/>
                <w:vertAlign w:val="superscript"/>
              </w:rPr>
              <w:t>(d)</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1,907</w:t>
            </w:r>
          </w:p>
        </w:tc>
        <w:tc>
          <w:tcPr>
            <w:tcW w:w="0" w:type="dxa"/>
            <w:vAlign w:val="bottom"/>
          </w:tcPr>
          <w:p>
            <w:pPr>
              <w:spacing w:after="0"/>
              <w:rPr>
                <w:sz w:val="1"/>
                <w:szCs w:val="1"/>
                <w:color w:val="auto"/>
              </w:rPr>
            </w:pPr>
          </w:p>
        </w:tc>
      </w:tr>
      <w:tr>
        <w:trPr>
          <w:trHeight w:val="196"/>
        </w:trPr>
        <w:tc>
          <w:tcPr>
            <w:tcW w:w="2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expenses</w:t>
            </w:r>
          </w:p>
        </w:tc>
        <w:tc>
          <w:tcPr>
            <w:tcW w:w="16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33,446</w:t>
            </w:r>
          </w:p>
        </w:tc>
        <w:tc>
          <w:tcPr>
            <w:tcW w:w="12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2,177</w:t>
            </w:r>
          </w:p>
        </w:tc>
        <w:tc>
          <w:tcPr>
            <w:tcW w:w="12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883</w:t>
            </w:r>
          </w:p>
        </w:tc>
        <w:tc>
          <w:tcPr>
            <w:tcW w:w="1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1,505</w:t>
            </w:r>
          </w:p>
        </w:tc>
        <w:tc>
          <w:tcPr>
            <w:tcW w:w="14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4,727</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938</w:t>
            </w:r>
          </w:p>
        </w:tc>
        <w:tc>
          <w:tcPr>
            <w:tcW w:w="14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692</w:t>
            </w:r>
          </w:p>
        </w:tc>
        <w:tc>
          <w:tcPr>
            <w:tcW w:w="1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44,368</w:t>
            </w:r>
          </w:p>
        </w:tc>
        <w:tc>
          <w:tcPr>
            <w:tcW w:w="0" w:type="dxa"/>
            <w:vAlign w:val="bottom"/>
          </w:tcPr>
          <w:p>
            <w:pPr>
              <w:spacing w:after="0"/>
              <w:rPr>
                <w:sz w:val="1"/>
                <w:szCs w:val="1"/>
                <w:color w:val="auto"/>
              </w:rPr>
            </w:pPr>
          </w:p>
        </w:tc>
      </w:tr>
      <w:tr>
        <w:trPr>
          <w:trHeight w:val="169"/>
        </w:trPr>
        <w:tc>
          <w:tcPr>
            <w:tcW w:w="2080" w:type="dxa"/>
            <w:vAlign w:val="bottom"/>
            <w:shd w:val="clear" w:color="auto" w:fill="CCEEFF"/>
          </w:tcPr>
          <w:p>
            <w:pPr>
              <w:ind w:left="340"/>
              <w:spacing w:after="0" w:line="169" w:lineRule="exact"/>
              <w:rPr>
                <w:sz w:val="20"/>
                <w:szCs w:val="20"/>
                <w:color w:val="auto"/>
              </w:rPr>
            </w:pPr>
            <w:r>
              <w:rPr>
                <w:rFonts w:ascii="Times New Roman" w:cs="Times New Roman" w:eastAsia="Times New Roman" w:hAnsi="Times New Roman"/>
                <w:sz w:val="16"/>
                <w:szCs w:val="16"/>
                <w:color w:val="auto"/>
              </w:rPr>
              <w:t>Operating income</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(loss)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(915)</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(89)</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6,842</w:t>
            </w:r>
          </w:p>
        </w:tc>
        <w:tc>
          <w:tcPr>
            <w:tcW w:w="0" w:type="dxa"/>
            <w:vAlign w:val="bottom"/>
          </w:tcPr>
          <w:p>
            <w:pPr>
              <w:spacing w:after="0"/>
              <w:rPr>
                <w:sz w:val="1"/>
                <w:szCs w:val="1"/>
                <w:color w:val="auto"/>
              </w:rPr>
            </w:pPr>
          </w:p>
        </w:tc>
      </w:tr>
      <w:tr>
        <w:trPr>
          <w:trHeight w:val="203"/>
        </w:trPr>
        <w:tc>
          <w:tcPr>
            <w:tcW w:w="2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(expense) income:</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Interest expense</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(622)</w:t>
            </w: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(262)</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(61)</w:t>
            </w: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(1,138)</w:t>
            </w:r>
          </w:p>
        </w:tc>
        <w:tc>
          <w:tcPr>
            <w:tcW w:w="0" w:type="dxa"/>
            <w:vAlign w:val="bottom"/>
          </w:tcPr>
          <w:p>
            <w:pPr>
              <w:spacing w:after="0"/>
              <w:rPr>
                <w:sz w:val="1"/>
                <w:szCs w:val="1"/>
                <w:color w:val="auto"/>
              </w:rPr>
            </w:pPr>
          </w:p>
        </w:tc>
      </w:tr>
      <w:tr>
        <w:trPr>
          <w:trHeight w:val="189"/>
        </w:trPr>
        <w:tc>
          <w:tcPr>
            <w:tcW w:w="20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(expense) income,</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w:t>
            </w: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(46)</w:t>
            </w:r>
          </w:p>
        </w:tc>
        <w:tc>
          <w:tcPr>
            <w:tcW w:w="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(132)</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w w:val="74"/>
              </w:rPr>
              <w:t>(e)</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169"/>
        </w:trPr>
        <w:tc>
          <w:tcPr>
            <w:tcW w:w="2080" w:type="dxa"/>
            <w:vAlign w:val="bottom"/>
            <w:tcBorders>
              <w:top w:val="single" w:sz="8" w:color="CCEEFF"/>
            </w:tcBorders>
            <w:shd w:val="clear" w:color="auto" w:fill="CCEEFF"/>
          </w:tcPr>
          <w:p>
            <w:pPr>
              <w:ind w:left="220"/>
              <w:spacing w:after="0" w:line="169" w:lineRule="exact"/>
              <w:rPr>
                <w:sz w:val="20"/>
                <w:szCs w:val="20"/>
                <w:color w:val="auto"/>
              </w:rPr>
            </w:pPr>
            <w:r>
              <w:rPr>
                <w:rFonts w:ascii="Times New Roman" w:cs="Times New Roman" w:eastAsia="Times New Roman" w:hAnsi="Times New Roman"/>
                <w:sz w:val="16"/>
                <w:szCs w:val="16"/>
                <w:color w:val="auto"/>
              </w:rPr>
              <w:t>Total other (expense)</w:t>
            </w:r>
          </w:p>
        </w:tc>
        <w:tc>
          <w:tcPr>
            <w:tcW w:w="16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net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(46)</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(754)</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(257)</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(56)</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(1,108)</w:t>
            </w:r>
          </w:p>
        </w:tc>
        <w:tc>
          <w:tcPr>
            <w:tcW w:w="0" w:type="dxa"/>
            <w:vAlign w:val="bottom"/>
          </w:tcPr>
          <w:p>
            <w:pPr>
              <w:spacing w:after="0"/>
              <w:rPr>
                <w:sz w:val="1"/>
                <w:szCs w:val="1"/>
                <w:color w:val="auto"/>
              </w:rPr>
            </w:pPr>
          </w:p>
        </w:tc>
      </w:tr>
      <w:tr>
        <w:trPr>
          <w:trHeight w:val="196"/>
        </w:trPr>
        <w:tc>
          <w:tcPr>
            <w:tcW w:w="20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7,187</w:t>
            </w:r>
          </w:p>
        </w:tc>
        <w:tc>
          <w:tcPr>
            <w:tcW w:w="1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(1,669)</w:t>
            </w:r>
          </w:p>
        </w:tc>
        <w:tc>
          <w:tcPr>
            <w:tcW w:w="1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172</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(346)</w:t>
            </w:r>
          </w:p>
        </w:tc>
        <w:tc>
          <w:tcPr>
            <w:tcW w:w="1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393</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(37)</w:t>
            </w:r>
          </w:p>
        </w:tc>
        <w:tc>
          <w:tcPr>
            <w:tcW w:w="14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5,734</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380" w:right="1379" w:hanging="330"/>
        <w:spacing w:after="0" w:line="269" w:lineRule="auto"/>
        <w:tabs>
          <w:tab w:leader="none" w:pos="3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Latitude Margaritaville Watersound JV completed 67 home sale transactions during the three months ended September 30, 2026.</w:t>
      </w:r>
    </w:p>
    <w:p>
      <w:pPr>
        <w:ind w:left="380" w:hanging="330"/>
        <w:spacing w:after="0"/>
        <w:tabs>
          <w:tab w:leader="none" w:pos="3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community is under lease-up.</w:t>
      </w:r>
    </w:p>
    <w:p>
      <w:pPr>
        <w:spacing w:after="0" w:line="18" w:lineRule="exact"/>
        <w:rPr>
          <w:rFonts w:ascii="Times New Roman" w:cs="Times New Roman" w:eastAsia="Times New Roman" w:hAnsi="Times New Roman"/>
          <w:sz w:val="16"/>
          <w:szCs w:val="16"/>
          <w:color w:val="auto"/>
        </w:rPr>
      </w:pPr>
    </w:p>
    <w:p>
      <w:pPr>
        <w:ind w:left="380" w:hanging="330"/>
        <w:spacing w:after="0"/>
        <w:tabs>
          <w:tab w:leader="none" w:pos="3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Excluding depreciation and amortization, shown separately above.</w:t>
      </w:r>
    </w:p>
    <w:p>
      <w:pPr>
        <w:spacing w:after="0" w:line="18" w:lineRule="exact"/>
        <w:rPr>
          <w:rFonts w:ascii="Times New Roman" w:cs="Times New Roman" w:eastAsia="Times New Roman" w:hAnsi="Times New Roman"/>
          <w:sz w:val="16"/>
          <w:szCs w:val="16"/>
          <w:color w:val="auto"/>
        </w:rPr>
      </w:pPr>
    </w:p>
    <w:p>
      <w:pPr>
        <w:ind w:left="380" w:hanging="330"/>
        <w:spacing w:after="0"/>
        <w:tabs>
          <w:tab w:leader="none" w:pos="3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Depreciation is a non-cash, GAAP expense, which is amortized over an asset’s useful life.</w:t>
      </w:r>
    </w:p>
    <w:p>
      <w:pPr>
        <w:spacing w:after="0" w:line="18" w:lineRule="exact"/>
        <w:rPr>
          <w:rFonts w:ascii="Times New Roman" w:cs="Times New Roman" w:eastAsia="Times New Roman" w:hAnsi="Times New Roman"/>
          <w:sz w:val="16"/>
          <w:szCs w:val="16"/>
          <w:color w:val="auto"/>
        </w:rPr>
      </w:pPr>
    </w:p>
    <w:p>
      <w:pPr>
        <w:ind w:left="380" w:hanging="330"/>
        <w:spacing w:after="0"/>
        <w:tabs>
          <w:tab w:leader="none" w:pos="3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changes in the fair value of derivatives related to interest rate swaps entered into by the Busy Bee JV.</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20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11"/>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Three Months Ended September 30, 2025</w:t>
            </w: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Latitude</w:t>
            </w:r>
          </w:p>
        </w:tc>
        <w:tc>
          <w:tcPr>
            <w:tcW w:w="80" w:type="dxa"/>
            <w:vAlign w:val="bottom"/>
          </w:tcPr>
          <w:p>
            <w:pPr>
              <w:spacing w:after="0"/>
              <w:rPr>
                <w:sz w:val="10"/>
                <w:szCs w:val="10"/>
                <w:color w:val="auto"/>
              </w:rPr>
            </w:pPr>
          </w:p>
        </w:tc>
        <w:tc>
          <w:tcPr>
            <w:tcW w:w="920" w:type="dxa"/>
            <w:vAlign w:val="bottom"/>
            <w:gridSpan w:val="2"/>
          </w:tcPr>
          <w:p>
            <w:pPr>
              <w:jc w:val="center"/>
              <w:ind w:right="200"/>
              <w:spacing w:after="0" w:line="126" w:lineRule="exact"/>
              <w:rPr>
                <w:sz w:val="20"/>
                <w:szCs w:val="20"/>
                <w:color w:val="auto"/>
              </w:rPr>
            </w:pPr>
            <w:r>
              <w:rPr>
                <w:rFonts w:ascii="Times New Roman" w:cs="Times New Roman" w:eastAsia="Times New Roman" w:hAnsi="Times New Roman"/>
                <w:sz w:val="13"/>
                <w:szCs w:val="13"/>
                <w:b w:val="1"/>
                <w:bCs w:val="1"/>
                <w:color w:val="auto"/>
              </w:rPr>
              <w:t>Watersound</w:t>
            </w: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center"/>
              <w:ind w:right="240"/>
              <w:spacing w:after="0" w:line="126" w:lineRule="exact"/>
              <w:rPr>
                <w:sz w:val="20"/>
                <w:szCs w:val="20"/>
                <w:color w:val="auto"/>
              </w:rPr>
            </w:pPr>
            <w:r>
              <w:rPr>
                <w:rFonts w:ascii="Times New Roman" w:cs="Times New Roman" w:eastAsia="Times New Roman" w:hAnsi="Times New Roman"/>
                <w:sz w:val="13"/>
                <w:szCs w:val="13"/>
                <w:b w:val="1"/>
                <w:bCs w:val="1"/>
                <w:color w:val="auto"/>
              </w:rPr>
              <w:t>Electric</w:t>
            </w: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Fountains</w:t>
            </w: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Cart</w:t>
            </w:r>
          </w:p>
        </w:tc>
        <w:tc>
          <w:tcPr>
            <w:tcW w:w="86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Watersound</w:t>
            </w:r>
          </w:p>
        </w:tc>
        <w:tc>
          <w:tcPr>
            <w:tcW w:w="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80" w:type="dxa"/>
            <w:vAlign w:val="bottom"/>
          </w:tcPr>
          <w:p>
            <w:pPr>
              <w:spacing w:after="0"/>
              <w:rPr>
                <w:sz w:val="8"/>
                <w:szCs w:val="8"/>
                <w:color w:val="auto"/>
              </w:rPr>
            </w:pPr>
          </w:p>
        </w:tc>
        <w:tc>
          <w:tcPr>
            <w:tcW w:w="10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Margaritaville</w:t>
            </w:r>
          </w:p>
        </w:tc>
        <w:tc>
          <w:tcPr>
            <w:tcW w:w="8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80" w:type="dxa"/>
            <w:vAlign w:val="bottom"/>
          </w:tcPr>
          <w:p>
            <w:pPr>
              <w:spacing w:after="0"/>
              <w:rPr>
                <w:sz w:val="4"/>
                <w:szCs w:val="4"/>
                <w:color w:val="auto"/>
              </w:rPr>
            </w:pPr>
          </w:p>
        </w:tc>
        <w:tc>
          <w:tcPr>
            <w:tcW w:w="1040" w:type="dxa"/>
            <w:vAlign w:val="bottom"/>
            <w:gridSpan w:val="3"/>
            <w:vMerge w:val="continue"/>
          </w:tcPr>
          <w:p>
            <w:pPr>
              <w:spacing w:after="0"/>
              <w:rPr>
                <w:sz w:val="4"/>
                <w:szCs w:val="4"/>
                <w:color w:val="auto"/>
              </w:rPr>
            </w:pPr>
          </w:p>
        </w:tc>
        <w:tc>
          <w:tcPr>
            <w:tcW w:w="1000" w:type="dxa"/>
            <w:vAlign w:val="bottom"/>
            <w:gridSpan w:val="3"/>
            <w:vMerge w:val="restart"/>
          </w:tcPr>
          <w:p>
            <w:pPr>
              <w:jc w:val="center"/>
              <w:ind w:right="120"/>
              <w:spacing w:after="0" w:line="144" w:lineRule="exact"/>
              <w:rPr>
                <w:sz w:val="20"/>
                <w:szCs w:val="20"/>
                <w:color w:val="auto"/>
              </w:rPr>
            </w:pPr>
            <w:r>
              <w:rPr>
                <w:rFonts w:ascii="Times New Roman" w:cs="Times New Roman" w:eastAsia="Times New Roman" w:hAnsi="Times New Roman"/>
                <w:sz w:val="13"/>
                <w:szCs w:val="13"/>
                <w:b w:val="1"/>
                <w:bCs w:val="1"/>
                <w:color w:val="auto"/>
              </w:rPr>
              <w:t>Independent</w:t>
            </w:r>
          </w:p>
        </w:tc>
        <w:tc>
          <w:tcPr>
            <w:tcW w:w="740" w:type="dxa"/>
            <w:vAlign w:val="bottom"/>
            <w:gridSpan w:val="3"/>
            <w:vMerge w:val="restart"/>
          </w:tcPr>
          <w:p>
            <w:pPr>
              <w:jc w:val="center"/>
              <w:ind w:right="140"/>
              <w:spacing w:after="0" w:line="144" w:lineRule="exact"/>
              <w:rPr>
                <w:sz w:val="20"/>
                <w:szCs w:val="20"/>
                <w:color w:val="auto"/>
              </w:rPr>
            </w:pPr>
            <w:r>
              <w:rPr>
                <w:rFonts w:ascii="Times New Roman" w:cs="Times New Roman" w:eastAsia="Times New Roman" w:hAnsi="Times New Roman"/>
                <w:sz w:val="13"/>
                <w:szCs w:val="13"/>
                <w:b w:val="1"/>
                <w:bCs w:val="1"/>
                <w:color w:val="auto"/>
              </w:rPr>
              <w:t>Pier Park</w:t>
            </w:r>
          </w:p>
        </w:tc>
        <w:tc>
          <w:tcPr>
            <w:tcW w:w="720" w:type="dxa"/>
            <w:vAlign w:val="bottom"/>
            <w:gridSpan w:val="3"/>
            <w:vMerge w:val="restart"/>
          </w:tcPr>
          <w:p>
            <w:pPr>
              <w:ind w:left="20"/>
              <w:spacing w:after="0" w:line="144" w:lineRule="exact"/>
              <w:rPr>
                <w:sz w:val="20"/>
                <w:szCs w:val="20"/>
                <w:color w:val="auto"/>
              </w:rPr>
            </w:pPr>
            <w:r>
              <w:rPr>
                <w:rFonts w:ascii="Times New Roman" w:cs="Times New Roman" w:eastAsia="Times New Roman" w:hAnsi="Times New Roman"/>
                <w:sz w:val="13"/>
                <w:szCs w:val="13"/>
                <w:b w:val="1"/>
                <w:bCs w:val="1"/>
                <w:color w:val="auto"/>
              </w:rPr>
              <w:t>Pier Park</w:t>
            </w:r>
          </w:p>
        </w:tc>
        <w:tc>
          <w:tcPr>
            <w:tcW w:w="780" w:type="dxa"/>
            <w:vAlign w:val="bottom"/>
            <w:gridSpan w:val="3"/>
            <w:vMerge w:val="restart"/>
          </w:tcPr>
          <w:p>
            <w:pPr>
              <w:jc w:val="center"/>
              <w:ind w:right="140"/>
              <w:spacing w:after="0" w:line="144" w:lineRule="exact"/>
              <w:rPr>
                <w:sz w:val="20"/>
                <w:szCs w:val="20"/>
                <w:color w:val="auto"/>
              </w:rPr>
            </w:pPr>
            <w:r>
              <w:rPr>
                <w:rFonts w:ascii="Times New Roman" w:cs="Times New Roman" w:eastAsia="Times New Roman" w:hAnsi="Times New Roman"/>
                <w:sz w:val="13"/>
                <w:szCs w:val="13"/>
                <w:b w:val="1"/>
                <w:bCs w:val="1"/>
                <w:color w:val="auto"/>
              </w:rPr>
              <w:t>Busy Bee</w:t>
            </w:r>
          </w:p>
        </w:tc>
        <w:tc>
          <w:tcPr>
            <w:tcW w:w="840" w:type="dxa"/>
            <w:vAlign w:val="bottom"/>
            <w:gridSpan w:val="3"/>
            <w:vMerge w:val="restart"/>
          </w:tcPr>
          <w:p>
            <w:pPr>
              <w:jc w:val="center"/>
              <w:ind w:right="120"/>
              <w:spacing w:after="0" w:line="144" w:lineRule="exact"/>
              <w:rPr>
                <w:sz w:val="20"/>
                <w:szCs w:val="20"/>
                <w:color w:val="auto"/>
              </w:rPr>
            </w:pPr>
            <w:r>
              <w:rPr>
                <w:rFonts w:ascii="Times New Roman" w:cs="Times New Roman" w:eastAsia="Times New Roman" w:hAnsi="Times New Roman"/>
                <w:sz w:val="13"/>
                <w:szCs w:val="13"/>
                <w:b w:val="1"/>
                <w:bCs w:val="1"/>
                <w:color w:val="auto"/>
              </w:rPr>
              <w:t>Watersound</w:t>
            </w:r>
          </w:p>
        </w:tc>
        <w:tc>
          <w:tcPr>
            <w:tcW w:w="860" w:type="dxa"/>
            <w:vAlign w:val="bottom"/>
            <w:gridSpan w:val="3"/>
            <w:vMerge w:val="restart"/>
          </w:tcPr>
          <w:p>
            <w:pPr>
              <w:spacing w:after="0" w:line="144" w:lineRule="exact"/>
              <w:rPr>
                <w:sz w:val="20"/>
                <w:szCs w:val="20"/>
                <w:color w:val="auto"/>
              </w:rPr>
            </w:pPr>
            <w:r>
              <w:rPr>
                <w:rFonts w:ascii="Times New Roman" w:cs="Times New Roman" w:eastAsia="Times New Roman" w:hAnsi="Times New Roman"/>
                <w:sz w:val="13"/>
                <w:szCs w:val="13"/>
                <w:b w:val="1"/>
                <w:bCs w:val="1"/>
                <w:color w:val="auto"/>
              </w:rPr>
              <w:t>Management</w:t>
            </w:r>
          </w:p>
        </w:tc>
        <w:tc>
          <w:tcPr>
            <w:tcW w:w="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2080" w:type="dxa"/>
            <w:vAlign w:val="bottom"/>
          </w:tcPr>
          <w:p>
            <w:pPr>
              <w:spacing w:after="0"/>
              <w:rPr>
                <w:sz w:val="7"/>
                <w:szCs w:val="7"/>
                <w:color w:val="auto"/>
              </w:rPr>
            </w:pPr>
          </w:p>
        </w:tc>
        <w:tc>
          <w:tcPr>
            <w:tcW w:w="1040" w:type="dxa"/>
            <w:vAlign w:val="bottom"/>
            <w:gridSpan w:val="3"/>
            <w:vMerge w:val="restart"/>
          </w:tcPr>
          <w:p>
            <w:pPr>
              <w:jc w:val="center"/>
              <w:ind w:right="120"/>
              <w:spacing w:after="0" w:line="144" w:lineRule="exact"/>
              <w:rPr>
                <w:sz w:val="20"/>
                <w:szCs w:val="20"/>
                <w:color w:val="auto"/>
              </w:rPr>
            </w:pPr>
            <w:r>
              <w:rPr>
                <w:rFonts w:ascii="Times New Roman" w:cs="Times New Roman" w:eastAsia="Times New Roman" w:hAnsi="Times New Roman"/>
                <w:sz w:val="13"/>
                <w:szCs w:val="13"/>
                <w:b w:val="1"/>
                <w:bCs w:val="1"/>
                <w:color w:val="auto"/>
              </w:rPr>
              <w:t>Watersound JV</w:t>
            </w:r>
          </w:p>
        </w:tc>
        <w:tc>
          <w:tcPr>
            <w:tcW w:w="1000" w:type="dxa"/>
            <w:vAlign w:val="bottom"/>
            <w:gridSpan w:val="3"/>
            <w:vMerge w:val="continue"/>
          </w:tcPr>
          <w:p>
            <w:pPr>
              <w:spacing w:after="0"/>
              <w:rPr>
                <w:sz w:val="7"/>
                <w:szCs w:val="7"/>
                <w:color w:val="auto"/>
              </w:rPr>
            </w:pPr>
          </w:p>
        </w:tc>
        <w:tc>
          <w:tcPr>
            <w:tcW w:w="740" w:type="dxa"/>
            <w:vAlign w:val="bottom"/>
            <w:gridSpan w:val="3"/>
            <w:vMerge w:val="continue"/>
          </w:tcPr>
          <w:p>
            <w:pPr>
              <w:spacing w:after="0"/>
              <w:rPr>
                <w:sz w:val="7"/>
                <w:szCs w:val="7"/>
                <w:color w:val="auto"/>
              </w:rPr>
            </w:pPr>
          </w:p>
        </w:tc>
        <w:tc>
          <w:tcPr>
            <w:tcW w:w="720" w:type="dxa"/>
            <w:vAlign w:val="bottom"/>
            <w:gridSpan w:val="3"/>
            <w:vMerge w:val="continue"/>
          </w:tcPr>
          <w:p>
            <w:pPr>
              <w:spacing w:after="0"/>
              <w:rPr>
                <w:sz w:val="7"/>
                <w:szCs w:val="7"/>
                <w:color w:val="auto"/>
              </w:rPr>
            </w:pPr>
          </w:p>
        </w:tc>
        <w:tc>
          <w:tcPr>
            <w:tcW w:w="780" w:type="dxa"/>
            <w:vAlign w:val="bottom"/>
            <w:gridSpan w:val="3"/>
            <w:vMerge w:val="continue"/>
          </w:tcPr>
          <w:p>
            <w:pPr>
              <w:spacing w:after="0"/>
              <w:rPr>
                <w:sz w:val="7"/>
                <w:szCs w:val="7"/>
                <w:color w:val="auto"/>
              </w:rPr>
            </w:pPr>
          </w:p>
        </w:tc>
        <w:tc>
          <w:tcPr>
            <w:tcW w:w="840" w:type="dxa"/>
            <w:vAlign w:val="bottom"/>
            <w:gridSpan w:val="3"/>
            <w:vMerge w:val="continue"/>
          </w:tcPr>
          <w:p>
            <w:pPr>
              <w:spacing w:after="0"/>
              <w:rPr>
                <w:sz w:val="7"/>
                <w:szCs w:val="7"/>
                <w:color w:val="auto"/>
              </w:rPr>
            </w:pPr>
          </w:p>
        </w:tc>
        <w:tc>
          <w:tcPr>
            <w:tcW w:w="8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80" w:type="dxa"/>
            <w:vAlign w:val="bottom"/>
          </w:tcPr>
          <w:p>
            <w:pPr>
              <w:spacing w:after="0"/>
              <w:rPr>
                <w:sz w:val="4"/>
                <w:szCs w:val="4"/>
                <w:color w:val="auto"/>
              </w:rPr>
            </w:pPr>
          </w:p>
        </w:tc>
        <w:tc>
          <w:tcPr>
            <w:tcW w:w="1040" w:type="dxa"/>
            <w:vAlign w:val="bottom"/>
            <w:gridSpan w:val="3"/>
            <w:vMerge w:val="continue"/>
          </w:tcPr>
          <w:p>
            <w:pPr>
              <w:spacing w:after="0"/>
              <w:rPr>
                <w:sz w:val="4"/>
                <w:szCs w:val="4"/>
                <w:color w:val="auto"/>
              </w:rPr>
            </w:pPr>
          </w:p>
        </w:tc>
        <w:tc>
          <w:tcPr>
            <w:tcW w:w="1000" w:type="dxa"/>
            <w:vAlign w:val="bottom"/>
            <w:gridSpan w:val="3"/>
            <w:vMerge w:val="restart"/>
          </w:tcPr>
          <w:p>
            <w:pPr>
              <w:jc w:val="center"/>
              <w:ind w:right="120"/>
              <w:spacing w:after="0" w:line="170" w:lineRule="exact"/>
              <w:rPr>
                <w:sz w:val="20"/>
                <w:szCs w:val="20"/>
                <w:color w:val="auto"/>
              </w:rPr>
            </w:pPr>
            <w:r>
              <w:rPr>
                <w:rFonts w:ascii="Times New Roman" w:cs="Times New Roman" w:eastAsia="Times New Roman" w:hAnsi="Times New Roman"/>
                <w:sz w:val="13"/>
                <w:szCs w:val="13"/>
                <w:b w:val="1"/>
                <w:bCs w:val="1"/>
                <w:color w:val="auto"/>
                <w:w w:val="97"/>
              </w:rPr>
              <w:t xml:space="preserve">Living JV </w:t>
            </w:r>
            <w:r>
              <w:rPr>
                <w:rFonts w:ascii="Times New Roman" w:cs="Times New Roman" w:eastAsia="Times New Roman" w:hAnsi="Times New Roman"/>
                <w:sz w:val="19"/>
                <w:szCs w:val="19"/>
                <w:b w:val="1"/>
                <w:bCs w:val="1"/>
                <w:color w:val="auto"/>
                <w:w w:val="97"/>
                <w:vertAlign w:val="superscript"/>
              </w:rPr>
              <w:t>(b)</w:t>
            </w:r>
          </w:p>
        </w:tc>
        <w:tc>
          <w:tcPr>
            <w:tcW w:w="80" w:type="dxa"/>
            <w:vAlign w:val="bottom"/>
          </w:tcPr>
          <w:p>
            <w:pPr>
              <w:spacing w:after="0"/>
              <w:rPr>
                <w:sz w:val="4"/>
                <w:szCs w:val="4"/>
                <w:color w:val="auto"/>
              </w:rPr>
            </w:pPr>
          </w:p>
        </w:tc>
        <w:tc>
          <w:tcPr>
            <w:tcW w:w="6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TPS JV</w:t>
            </w:r>
          </w:p>
        </w:tc>
        <w:tc>
          <w:tcPr>
            <w:tcW w:w="100" w:type="dxa"/>
            <w:vAlign w:val="bottom"/>
          </w:tcPr>
          <w:p>
            <w:pPr>
              <w:spacing w:after="0"/>
              <w:rPr>
                <w:sz w:val="4"/>
                <w:szCs w:val="4"/>
                <w:color w:val="auto"/>
              </w:rPr>
            </w:pPr>
          </w:p>
        </w:tc>
        <w:tc>
          <w:tcPr>
            <w:tcW w:w="6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RI JV</w:t>
            </w:r>
          </w:p>
        </w:tc>
        <w:tc>
          <w:tcPr>
            <w:tcW w:w="160" w:type="dxa"/>
            <w:vAlign w:val="bottom"/>
          </w:tcPr>
          <w:p>
            <w:pPr>
              <w:spacing w:after="0"/>
              <w:rPr>
                <w:sz w:val="4"/>
                <w:szCs w:val="4"/>
                <w:color w:val="auto"/>
              </w:rPr>
            </w:pPr>
          </w:p>
        </w:tc>
        <w:tc>
          <w:tcPr>
            <w:tcW w:w="6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JV</w:t>
            </w:r>
          </w:p>
        </w:tc>
        <w:tc>
          <w:tcPr>
            <w:tcW w:w="120" w:type="dxa"/>
            <w:vAlign w:val="bottom"/>
          </w:tcPr>
          <w:p>
            <w:pPr>
              <w:spacing w:after="0"/>
              <w:rPr>
                <w:sz w:val="4"/>
                <w:szCs w:val="4"/>
                <w:color w:val="auto"/>
              </w:rPr>
            </w:pPr>
          </w:p>
        </w:tc>
        <w:tc>
          <w:tcPr>
            <w:tcW w:w="7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JV</w:t>
            </w:r>
          </w:p>
        </w:tc>
        <w:tc>
          <w:tcPr>
            <w:tcW w:w="180" w:type="dxa"/>
            <w:vAlign w:val="bottom"/>
          </w:tcPr>
          <w:p>
            <w:pPr>
              <w:spacing w:after="0"/>
              <w:rPr>
                <w:sz w:val="4"/>
                <w:szCs w:val="4"/>
                <w:color w:val="auto"/>
              </w:rPr>
            </w:pP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JV</w:t>
            </w:r>
          </w:p>
        </w:tc>
        <w:tc>
          <w:tcPr>
            <w:tcW w:w="180" w:type="dxa"/>
            <w:vAlign w:val="bottom"/>
          </w:tcPr>
          <w:p>
            <w:pPr>
              <w:spacing w:after="0"/>
              <w:rPr>
                <w:sz w:val="4"/>
                <w:szCs w:val="4"/>
                <w:color w:val="auto"/>
              </w:rPr>
            </w:pPr>
          </w:p>
        </w:tc>
        <w:tc>
          <w:tcPr>
            <w:tcW w:w="66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16"/>
        </w:trPr>
        <w:tc>
          <w:tcPr>
            <w:tcW w:w="2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rPr>
              <w:t>(a)</w:t>
            </w:r>
          </w:p>
        </w:tc>
        <w:tc>
          <w:tcPr>
            <w:tcW w:w="100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2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1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48,078</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1,027</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1,216</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4,208</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w:t>
            </w: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56,973</w:t>
            </w:r>
          </w:p>
        </w:tc>
        <w:tc>
          <w:tcPr>
            <w:tcW w:w="0" w:type="dxa"/>
            <w:vAlign w:val="bottom"/>
          </w:tcPr>
          <w:p>
            <w:pPr>
              <w:spacing w:after="0"/>
              <w:rPr>
                <w:sz w:val="1"/>
                <w:szCs w:val="1"/>
                <w:color w:val="auto"/>
              </w:rPr>
            </w:pPr>
          </w:p>
        </w:tc>
      </w:tr>
      <w:tr>
        <w:trPr>
          <w:trHeight w:val="193"/>
        </w:trPr>
        <w:tc>
          <w:tcPr>
            <w:tcW w:w="2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80" w:type="dxa"/>
            <w:vAlign w:val="bottom"/>
            <w:shd w:val="clear" w:color="auto" w:fill="CCEEFF"/>
          </w:tcPr>
          <w:p>
            <w:pPr>
              <w:ind w:left="120"/>
              <w:spacing w:after="0" w:line="205" w:lineRule="exact"/>
              <w:rPr>
                <w:sz w:val="20"/>
                <w:szCs w:val="20"/>
                <w:color w:val="auto"/>
              </w:rPr>
            </w:pPr>
            <w:r>
              <w:rPr>
                <w:rFonts w:ascii="Times New Roman" w:cs="Times New Roman" w:eastAsia="Times New Roman" w:hAnsi="Times New Roman"/>
                <w:sz w:val="16"/>
                <w:szCs w:val="16"/>
                <w:color w:val="auto"/>
              </w:rPr>
              <w:t xml:space="preserve">Cost of revenue </w:t>
            </w:r>
            <w:r>
              <w:rPr>
                <w:rFonts w:ascii="Times New Roman" w:cs="Times New Roman" w:eastAsia="Times New Roman" w:hAnsi="Times New Roman"/>
                <w:sz w:val="23"/>
                <w:szCs w:val="23"/>
                <w:color w:val="auto"/>
                <w:vertAlign w:val="superscript"/>
              </w:rPr>
              <w:t>(c)</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34,216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42,421</w:t>
            </w:r>
          </w:p>
        </w:tc>
        <w:tc>
          <w:tcPr>
            <w:tcW w:w="0" w:type="dxa"/>
            <w:vAlign w:val="bottom"/>
          </w:tcPr>
          <w:p>
            <w:pPr>
              <w:spacing w:after="0"/>
              <w:rPr>
                <w:sz w:val="1"/>
                <w:szCs w:val="1"/>
                <w:color w:val="auto"/>
              </w:rPr>
            </w:pPr>
          </w:p>
        </w:tc>
      </w:tr>
      <w:tr>
        <w:trPr>
          <w:trHeight w:val="175"/>
        </w:trPr>
        <w:tc>
          <w:tcPr>
            <w:tcW w:w="208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Other operating</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80" w:type="dxa"/>
            <w:vAlign w:val="bottom"/>
          </w:tcPr>
          <w:p>
            <w:pPr>
              <w:ind w:left="120"/>
              <w:spacing w:after="0" w:line="230" w:lineRule="exact"/>
              <w:rPr>
                <w:sz w:val="20"/>
                <w:szCs w:val="20"/>
                <w:color w:val="auto"/>
              </w:rPr>
            </w:pPr>
            <w:r>
              <w:rPr>
                <w:rFonts w:ascii="Times New Roman" w:cs="Times New Roman" w:eastAsia="Times New Roman" w:hAnsi="Times New Roman"/>
                <w:sz w:val="16"/>
                <w:szCs w:val="16"/>
                <w:color w:val="auto"/>
              </w:rPr>
              <w:t xml:space="preserve">expenses </w:t>
            </w:r>
            <w:r>
              <w:rPr>
                <w:rFonts w:ascii="Times New Roman" w:cs="Times New Roman" w:eastAsia="Times New Roman" w:hAnsi="Times New Roman"/>
                <w:sz w:val="24"/>
                <w:szCs w:val="24"/>
                <w:color w:val="auto"/>
                <w:vertAlign w:val="superscript"/>
              </w:rPr>
              <w:t>(c)</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4,251</w:t>
            </w: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Depreciation and</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ind w:left="120"/>
              <w:spacing w:after="0" w:line="230" w:lineRule="exact"/>
              <w:rPr>
                <w:sz w:val="20"/>
                <w:szCs w:val="20"/>
                <w:color w:val="auto"/>
              </w:rPr>
            </w:pPr>
            <w:r>
              <w:rPr>
                <w:rFonts w:ascii="Times New Roman" w:cs="Times New Roman" w:eastAsia="Times New Roman" w:hAnsi="Times New Roman"/>
                <w:sz w:val="16"/>
                <w:szCs w:val="16"/>
                <w:color w:val="auto"/>
              </w:rPr>
              <w:t xml:space="preserve">amortization </w:t>
            </w:r>
            <w:r>
              <w:rPr>
                <w:rFonts w:ascii="Times New Roman" w:cs="Times New Roman" w:eastAsia="Times New Roman" w:hAnsi="Times New Roman"/>
                <w:sz w:val="24"/>
                <w:szCs w:val="24"/>
                <w:color w:val="auto"/>
                <w:vertAlign w:val="superscript"/>
              </w:rPr>
              <w:t>(d)</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1,951</w:t>
            </w:r>
          </w:p>
        </w:tc>
        <w:tc>
          <w:tcPr>
            <w:tcW w:w="0" w:type="dxa"/>
            <w:vAlign w:val="bottom"/>
          </w:tcPr>
          <w:p>
            <w:pPr>
              <w:spacing w:after="0"/>
              <w:rPr>
                <w:sz w:val="1"/>
                <w:szCs w:val="1"/>
                <w:color w:val="auto"/>
              </w:rPr>
            </w:pPr>
          </w:p>
        </w:tc>
      </w:tr>
      <w:tr>
        <w:trPr>
          <w:trHeight w:val="196"/>
        </w:trPr>
        <w:tc>
          <w:tcPr>
            <w:tcW w:w="2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expenses</w:t>
            </w:r>
          </w:p>
        </w:tc>
        <w:tc>
          <w:tcPr>
            <w:tcW w:w="16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38,664</w:t>
            </w:r>
          </w:p>
        </w:tc>
        <w:tc>
          <w:tcPr>
            <w:tcW w:w="12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2,004</w:t>
            </w:r>
          </w:p>
        </w:tc>
        <w:tc>
          <w:tcPr>
            <w:tcW w:w="12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852</w:t>
            </w:r>
          </w:p>
        </w:tc>
        <w:tc>
          <w:tcPr>
            <w:tcW w:w="1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1,553</w:t>
            </w:r>
          </w:p>
        </w:tc>
        <w:tc>
          <w:tcPr>
            <w:tcW w:w="14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4,013</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14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587</w:t>
            </w:r>
          </w:p>
        </w:tc>
        <w:tc>
          <w:tcPr>
            <w:tcW w:w="1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48,623</w:t>
            </w:r>
          </w:p>
        </w:tc>
        <w:tc>
          <w:tcPr>
            <w:tcW w:w="0" w:type="dxa"/>
            <w:vAlign w:val="bottom"/>
          </w:tcPr>
          <w:p>
            <w:pPr>
              <w:spacing w:after="0"/>
              <w:rPr>
                <w:sz w:val="1"/>
                <w:szCs w:val="1"/>
                <w:color w:val="auto"/>
              </w:rPr>
            </w:pPr>
          </w:p>
        </w:tc>
      </w:tr>
      <w:tr>
        <w:trPr>
          <w:trHeight w:val="169"/>
        </w:trPr>
        <w:tc>
          <w:tcPr>
            <w:tcW w:w="2080" w:type="dxa"/>
            <w:vAlign w:val="bottom"/>
            <w:shd w:val="clear" w:color="auto" w:fill="CCEEFF"/>
          </w:tcPr>
          <w:p>
            <w:pPr>
              <w:ind w:left="340"/>
              <w:spacing w:after="0" w:line="169" w:lineRule="exact"/>
              <w:rPr>
                <w:sz w:val="20"/>
                <w:szCs w:val="20"/>
                <w:color w:val="auto"/>
              </w:rPr>
            </w:pPr>
            <w:r>
              <w:rPr>
                <w:rFonts w:ascii="Times New Roman" w:cs="Times New Roman" w:eastAsia="Times New Roman" w:hAnsi="Times New Roman"/>
                <w:sz w:val="16"/>
                <w:szCs w:val="16"/>
                <w:color w:val="auto"/>
              </w:rPr>
              <w:t>Operating income</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(loss)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(1,184)</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(337)</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8,350</w:t>
            </w:r>
          </w:p>
        </w:tc>
        <w:tc>
          <w:tcPr>
            <w:tcW w:w="0" w:type="dxa"/>
            <w:vAlign w:val="bottom"/>
          </w:tcPr>
          <w:p>
            <w:pPr>
              <w:spacing w:after="0"/>
              <w:rPr>
                <w:sz w:val="1"/>
                <w:szCs w:val="1"/>
                <w:color w:val="auto"/>
              </w:rPr>
            </w:pPr>
          </w:p>
        </w:tc>
      </w:tr>
      <w:tr>
        <w:trPr>
          <w:trHeight w:val="190"/>
        </w:trPr>
        <w:tc>
          <w:tcPr>
            <w:tcW w:w="2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(expense) income:</w:t>
            </w:r>
          </w:p>
        </w:tc>
        <w:tc>
          <w:tcPr>
            <w:tcW w:w="1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Interest expense</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(698)</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(436)</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(72)</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(1,412)</w:t>
            </w:r>
          </w:p>
        </w:tc>
        <w:tc>
          <w:tcPr>
            <w:tcW w:w="0" w:type="dxa"/>
            <w:vAlign w:val="bottom"/>
          </w:tcPr>
          <w:p>
            <w:pPr>
              <w:spacing w:after="0"/>
              <w:rPr>
                <w:sz w:val="1"/>
                <w:szCs w:val="1"/>
                <w:color w:val="auto"/>
              </w:rPr>
            </w:pPr>
          </w:p>
        </w:tc>
      </w:tr>
      <w:tr>
        <w:trPr>
          <w:trHeight w:val="189"/>
        </w:trPr>
        <w:tc>
          <w:tcPr>
            <w:tcW w:w="20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income (expense),</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(153)</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20" w:type="dxa"/>
            <w:vAlign w:val="bottom"/>
            <w:gridSpan w:val="2"/>
          </w:tcPr>
          <w:p>
            <w:pPr>
              <w:ind w:left="220"/>
              <w:spacing w:after="0" w:line="217" w:lineRule="exact"/>
              <w:rPr>
                <w:sz w:val="20"/>
                <w:szCs w:val="20"/>
                <w:color w:val="auto"/>
              </w:rPr>
            </w:pPr>
            <w:r>
              <w:rPr>
                <w:rFonts w:ascii="Times New Roman" w:cs="Times New Roman" w:eastAsia="Times New Roman" w:hAnsi="Times New Roman"/>
                <w:sz w:val="16"/>
                <w:szCs w:val="16"/>
                <w:color w:val="auto"/>
                <w:w w:val="85"/>
              </w:rPr>
              <w:t>(36)</w:t>
            </w:r>
            <w:r>
              <w:rPr>
                <w:rFonts w:ascii="Times New Roman" w:cs="Times New Roman" w:eastAsia="Times New Roman" w:hAnsi="Times New Roman"/>
                <w:sz w:val="24"/>
                <w:szCs w:val="24"/>
                <w:color w:val="auto"/>
                <w:w w:val="85"/>
                <w:vertAlign w:val="subscript"/>
              </w:rPr>
              <w:t>(e)</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0" w:type="dxa"/>
            <w:vAlign w:val="bottom"/>
          </w:tcPr>
          <w:p>
            <w:pPr>
              <w:spacing w:after="0"/>
              <w:rPr>
                <w:sz w:val="1"/>
                <w:szCs w:val="1"/>
                <w:color w:val="auto"/>
              </w:rPr>
            </w:pPr>
          </w:p>
        </w:tc>
      </w:tr>
      <w:tr>
        <w:trPr>
          <w:trHeight w:val="169"/>
        </w:trPr>
        <w:tc>
          <w:tcPr>
            <w:tcW w:w="2080" w:type="dxa"/>
            <w:vAlign w:val="bottom"/>
            <w:tcBorders>
              <w:top w:val="single" w:sz="8" w:color="CCEEFF"/>
            </w:tcBorders>
            <w:shd w:val="clear" w:color="auto" w:fill="CCEEFF"/>
          </w:tcPr>
          <w:p>
            <w:pPr>
              <w:ind w:left="220"/>
              <w:spacing w:after="0" w:line="169" w:lineRule="exact"/>
              <w:rPr>
                <w:sz w:val="20"/>
                <w:szCs w:val="20"/>
                <w:color w:val="auto"/>
              </w:rPr>
            </w:pPr>
            <w:r>
              <w:rPr>
                <w:rFonts w:ascii="Times New Roman" w:cs="Times New Roman" w:eastAsia="Times New Roman" w:hAnsi="Times New Roman"/>
                <w:sz w:val="16"/>
                <w:szCs w:val="16"/>
                <w:color w:val="auto"/>
              </w:rPr>
              <w:t>Total other income</w:t>
            </w:r>
          </w:p>
        </w:tc>
        <w:tc>
          <w:tcPr>
            <w:tcW w:w="16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(expense), net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(851)</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(436)</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(66)</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(1,266)</w:t>
            </w:r>
          </w:p>
        </w:tc>
        <w:tc>
          <w:tcPr>
            <w:tcW w:w="0" w:type="dxa"/>
            <w:vAlign w:val="bottom"/>
          </w:tcPr>
          <w:p>
            <w:pPr>
              <w:spacing w:after="0"/>
              <w:rPr>
                <w:sz w:val="1"/>
                <w:szCs w:val="1"/>
                <w:color w:val="auto"/>
              </w:rPr>
            </w:pPr>
          </w:p>
        </w:tc>
      </w:tr>
      <w:tr>
        <w:trPr>
          <w:trHeight w:val="196"/>
        </w:trPr>
        <w:tc>
          <w:tcPr>
            <w:tcW w:w="20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9,740</w:t>
            </w:r>
          </w:p>
        </w:tc>
        <w:tc>
          <w:tcPr>
            <w:tcW w:w="1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(2,035)</w:t>
            </w:r>
          </w:p>
        </w:tc>
        <w:tc>
          <w:tcPr>
            <w:tcW w:w="1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(773)</w:t>
            </w:r>
          </w:p>
        </w:tc>
        <w:tc>
          <w:tcPr>
            <w:tcW w:w="1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125</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(47)</w:t>
            </w:r>
          </w:p>
        </w:tc>
        <w:tc>
          <w:tcPr>
            <w:tcW w:w="14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68</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7,084</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380" w:right="1379" w:hanging="330"/>
        <w:spacing w:after="0" w:line="269" w:lineRule="auto"/>
        <w:tabs>
          <w:tab w:leader="none" w:pos="3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Latitude Margaritaville Watersound JV completed 82 home sale transactions during the three months ended September 30, 2025.</w:t>
      </w:r>
    </w:p>
    <w:p>
      <w:pPr>
        <w:ind w:left="380" w:hanging="330"/>
        <w:spacing w:after="0"/>
        <w:tabs>
          <w:tab w:leader="none" w:pos="3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community is under lease-up.</w:t>
      </w:r>
    </w:p>
    <w:p>
      <w:pPr>
        <w:spacing w:after="0" w:line="18" w:lineRule="exact"/>
        <w:rPr>
          <w:rFonts w:ascii="Times New Roman" w:cs="Times New Roman" w:eastAsia="Times New Roman" w:hAnsi="Times New Roman"/>
          <w:sz w:val="16"/>
          <w:szCs w:val="16"/>
          <w:color w:val="auto"/>
        </w:rPr>
      </w:pPr>
    </w:p>
    <w:p>
      <w:pPr>
        <w:ind w:left="380" w:hanging="330"/>
        <w:spacing w:after="0"/>
        <w:tabs>
          <w:tab w:leader="none" w:pos="3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Excluding depreciation and amortization, shown separately above.</w:t>
      </w:r>
    </w:p>
    <w:p>
      <w:pPr>
        <w:spacing w:after="0" w:line="18" w:lineRule="exact"/>
        <w:rPr>
          <w:rFonts w:ascii="Times New Roman" w:cs="Times New Roman" w:eastAsia="Times New Roman" w:hAnsi="Times New Roman"/>
          <w:sz w:val="16"/>
          <w:szCs w:val="16"/>
          <w:color w:val="auto"/>
        </w:rPr>
      </w:pPr>
    </w:p>
    <w:p>
      <w:pPr>
        <w:ind w:left="380" w:hanging="330"/>
        <w:spacing w:after="0"/>
        <w:tabs>
          <w:tab w:leader="none" w:pos="3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Depreciation is a non-cash, GAAP expense, which is amortized over an asset’s useful life.</w:t>
      </w:r>
    </w:p>
    <w:p>
      <w:pPr>
        <w:spacing w:after="0" w:line="18" w:lineRule="exact"/>
        <w:rPr>
          <w:rFonts w:ascii="Times New Roman" w:cs="Times New Roman" w:eastAsia="Times New Roman" w:hAnsi="Times New Roman"/>
          <w:sz w:val="16"/>
          <w:szCs w:val="16"/>
          <w:color w:val="auto"/>
        </w:rPr>
      </w:pPr>
    </w:p>
    <w:p>
      <w:pPr>
        <w:ind w:left="380" w:hanging="330"/>
        <w:spacing w:after="0"/>
        <w:tabs>
          <w:tab w:leader="none" w:pos="3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changes in the fair value of derivatives related to interest rate swaps entered into by the Busy Bee JV.</w:t>
      </w:r>
    </w:p>
    <w:p>
      <w:pPr>
        <w:spacing w:after="0" w:line="237"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2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11"/>
          </w:tcPr>
          <w:p>
            <w:pPr>
              <w:ind w:left="140"/>
              <w:spacing w:after="0"/>
              <w:rPr>
                <w:sz w:val="20"/>
                <w:szCs w:val="20"/>
                <w:color w:val="auto"/>
              </w:rPr>
            </w:pPr>
            <w:r>
              <w:rPr>
                <w:rFonts w:ascii="Times New Roman" w:cs="Times New Roman" w:eastAsia="Times New Roman" w:hAnsi="Times New Roman"/>
                <w:sz w:val="13"/>
                <w:szCs w:val="13"/>
                <w:b w:val="1"/>
                <w:bCs w:val="1"/>
                <w:color w:val="auto"/>
              </w:rPr>
              <w:t>Nine Months Ended September 30, 2026</w:t>
            </w: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Latitude</w:t>
            </w:r>
          </w:p>
        </w:tc>
        <w:tc>
          <w:tcPr>
            <w:tcW w:w="980" w:type="dxa"/>
            <w:vAlign w:val="bottom"/>
            <w:gridSpan w:val="3"/>
          </w:tcPr>
          <w:p>
            <w:pPr>
              <w:jc w:val="center"/>
              <w:ind w:right="120"/>
              <w:spacing w:after="0" w:line="126" w:lineRule="exact"/>
              <w:rPr>
                <w:sz w:val="20"/>
                <w:szCs w:val="20"/>
                <w:color w:val="auto"/>
              </w:rPr>
            </w:pPr>
            <w:r>
              <w:rPr>
                <w:rFonts w:ascii="Times New Roman" w:cs="Times New Roman" w:eastAsia="Times New Roman" w:hAnsi="Times New Roman"/>
                <w:sz w:val="13"/>
                <w:szCs w:val="13"/>
                <w:b w:val="1"/>
                <w:bCs w:val="1"/>
                <w:color w:val="auto"/>
              </w:rPr>
              <w:t>Watersound</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center"/>
              <w:ind w:right="220"/>
              <w:spacing w:after="0" w:line="126" w:lineRule="exact"/>
              <w:rPr>
                <w:sz w:val="20"/>
                <w:szCs w:val="20"/>
                <w:color w:val="auto"/>
              </w:rPr>
            </w:pPr>
            <w:r>
              <w:rPr>
                <w:rFonts w:ascii="Times New Roman" w:cs="Times New Roman" w:eastAsia="Times New Roman" w:hAnsi="Times New Roman"/>
                <w:sz w:val="13"/>
                <w:szCs w:val="13"/>
                <w:b w:val="1"/>
                <w:bCs w:val="1"/>
                <w:color w:val="auto"/>
              </w:rPr>
              <w:t>Electric</w:t>
            </w: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Fountains</w:t>
            </w: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9"/>
              </w:rPr>
              <w:t>Cart</w:t>
            </w:r>
          </w:p>
        </w:tc>
        <w:tc>
          <w:tcPr>
            <w:tcW w:w="8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Watersound</w:t>
            </w: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100" w:type="dxa"/>
            <w:vAlign w:val="bottom"/>
          </w:tcPr>
          <w:p>
            <w:pPr>
              <w:spacing w:after="0"/>
              <w:rPr>
                <w:sz w:val="8"/>
                <w:szCs w:val="8"/>
                <w:color w:val="auto"/>
              </w:rPr>
            </w:pPr>
          </w:p>
        </w:tc>
        <w:tc>
          <w:tcPr>
            <w:tcW w:w="10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Margaritaville</w:t>
            </w:r>
          </w:p>
        </w:tc>
        <w:tc>
          <w:tcPr>
            <w:tcW w:w="12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80" w:type="dxa"/>
            <w:vAlign w:val="bottom"/>
            <w:gridSpan w:val="3"/>
            <w:vMerge w:val="continue"/>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100" w:type="dxa"/>
            <w:vAlign w:val="bottom"/>
          </w:tcPr>
          <w:p>
            <w:pPr>
              <w:spacing w:after="0"/>
              <w:rPr>
                <w:sz w:val="4"/>
                <w:szCs w:val="4"/>
                <w:color w:val="auto"/>
              </w:rPr>
            </w:pPr>
          </w:p>
        </w:tc>
        <w:tc>
          <w:tcPr>
            <w:tcW w:w="1040" w:type="dxa"/>
            <w:vAlign w:val="bottom"/>
            <w:gridSpan w:val="3"/>
            <w:vMerge w:val="continue"/>
          </w:tcPr>
          <w:p>
            <w:pPr>
              <w:spacing w:after="0"/>
              <w:rPr>
                <w:sz w:val="4"/>
                <w:szCs w:val="4"/>
                <w:color w:val="auto"/>
              </w:rPr>
            </w:pPr>
          </w:p>
        </w:tc>
        <w:tc>
          <w:tcPr>
            <w:tcW w:w="980" w:type="dxa"/>
            <w:vAlign w:val="bottom"/>
            <w:gridSpan w:val="3"/>
            <w:vMerge w:val="restart"/>
          </w:tcPr>
          <w:p>
            <w:pPr>
              <w:jc w:val="center"/>
              <w:ind w:right="120"/>
              <w:spacing w:after="0" w:line="144" w:lineRule="exact"/>
              <w:rPr>
                <w:sz w:val="20"/>
                <w:szCs w:val="20"/>
                <w:color w:val="auto"/>
              </w:rPr>
            </w:pPr>
            <w:r>
              <w:rPr>
                <w:rFonts w:ascii="Times New Roman" w:cs="Times New Roman" w:eastAsia="Times New Roman" w:hAnsi="Times New Roman"/>
                <w:sz w:val="13"/>
                <w:szCs w:val="13"/>
                <w:b w:val="1"/>
                <w:bCs w:val="1"/>
                <w:color w:val="auto"/>
              </w:rPr>
              <w:t>Independent</w:t>
            </w:r>
          </w:p>
        </w:tc>
        <w:tc>
          <w:tcPr>
            <w:tcW w:w="720" w:type="dxa"/>
            <w:vAlign w:val="bottom"/>
            <w:gridSpan w:val="3"/>
            <w:vMerge w:val="restart"/>
          </w:tcPr>
          <w:p>
            <w:pPr>
              <w:ind w:left="20"/>
              <w:spacing w:after="0" w:line="144" w:lineRule="exact"/>
              <w:rPr>
                <w:sz w:val="20"/>
                <w:szCs w:val="20"/>
                <w:color w:val="auto"/>
              </w:rPr>
            </w:pPr>
            <w:r>
              <w:rPr>
                <w:rFonts w:ascii="Times New Roman" w:cs="Times New Roman" w:eastAsia="Times New Roman" w:hAnsi="Times New Roman"/>
                <w:sz w:val="13"/>
                <w:szCs w:val="13"/>
                <w:b w:val="1"/>
                <w:bCs w:val="1"/>
                <w:color w:val="auto"/>
              </w:rPr>
              <w:t>Pier Park</w:t>
            </w:r>
          </w:p>
        </w:tc>
        <w:tc>
          <w:tcPr>
            <w:tcW w:w="760" w:type="dxa"/>
            <w:vAlign w:val="bottom"/>
            <w:gridSpan w:val="3"/>
            <w:vMerge w:val="restart"/>
          </w:tcPr>
          <w:p>
            <w:pPr>
              <w:jc w:val="center"/>
              <w:ind w:right="120"/>
              <w:spacing w:after="0" w:line="144" w:lineRule="exact"/>
              <w:rPr>
                <w:sz w:val="20"/>
                <w:szCs w:val="20"/>
                <w:color w:val="auto"/>
              </w:rPr>
            </w:pPr>
            <w:r>
              <w:rPr>
                <w:rFonts w:ascii="Times New Roman" w:cs="Times New Roman" w:eastAsia="Times New Roman" w:hAnsi="Times New Roman"/>
                <w:sz w:val="13"/>
                <w:szCs w:val="13"/>
                <w:b w:val="1"/>
                <w:bCs w:val="1"/>
                <w:color w:val="auto"/>
              </w:rPr>
              <w:t>Pier Park</w:t>
            </w:r>
          </w:p>
        </w:tc>
        <w:tc>
          <w:tcPr>
            <w:tcW w:w="660" w:type="dxa"/>
            <w:vAlign w:val="bottom"/>
            <w:gridSpan w:val="2"/>
            <w:vMerge w:val="restart"/>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Busy Bee</w:t>
            </w:r>
          </w:p>
        </w:tc>
        <w:tc>
          <w:tcPr>
            <w:tcW w:w="140" w:type="dxa"/>
            <w:vAlign w:val="bottom"/>
          </w:tcPr>
          <w:p>
            <w:pPr>
              <w:spacing w:after="0"/>
              <w:rPr>
                <w:sz w:val="4"/>
                <w:szCs w:val="4"/>
                <w:color w:val="auto"/>
              </w:rPr>
            </w:pPr>
          </w:p>
        </w:tc>
        <w:tc>
          <w:tcPr>
            <w:tcW w:w="820" w:type="dxa"/>
            <w:vAlign w:val="bottom"/>
            <w:gridSpan w:val="3"/>
            <w:vMerge w:val="restart"/>
          </w:tcPr>
          <w:p>
            <w:pPr>
              <w:jc w:val="center"/>
              <w:ind w:right="120"/>
              <w:spacing w:after="0" w:line="144" w:lineRule="exact"/>
              <w:rPr>
                <w:sz w:val="20"/>
                <w:szCs w:val="20"/>
                <w:color w:val="auto"/>
              </w:rPr>
            </w:pPr>
            <w:r>
              <w:rPr>
                <w:rFonts w:ascii="Times New Roman" w:cs="Times New Roman" w:eastAsia="Times New Roman" w:hAnsi="Times New Roman"/>
                <w:sz w:val="13"/>
                <w:szCs w:val="13"/>
                <w:b w:val="1"/>
                <w:bCs w:val="1"/>
                <w:color w:val="auto"/>
              </w:rPr>
              <w:t>Watersound</w:t>
            </w:r>
          </w:p>
        </w:tc>
        <w:tc>
          <w:tcPr>
            <w:tcW w:w="880" w:type="dxa"/>
            <w:vAlign w:val="bottom"/>
            <w:gridSpan w:val="3"/>
            <w:vMerge w:val="restart"/>
          </w:tcPr>
          <w:p>
            <w:pPr>
              <w:spacing w:after="0" w:line="144" w:lineRule="exact"/>
              <w:rPr>
                <w:sz w:val="20"/>
                <w:szCs w:val="20"/>
                <w:color w:val="auto"/>
              </w:rPr>
            </w:pPr>
            <w:r>
              <w:rPr>
                <w:rFonts w:ascii="Times New Roman" w:cs="Times New Roman" w:eastAsia="Times New Roman" w:hAnsi="Times New Roman"/>
                <w:sz w:val="13"/>
                <w:szCs w:val="13"/>
                <w:b w:val="1"/>
                <w:bCs w:val="1"/>
                <w:color w:val="auto"/>
              </w:rPr>
              <w:t>Management</w:t>
            </w: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2100" w:type="dxa"/>
            <w:vAlign w:val="bottom"/>
          </w:tcPr>
          <w:p>
            <w:pPr>
              <w:spacing w:after="0"/>
              <w:rPr>
                <w:sz w:val="7"/>
                <w:szCs w:val="7"/>
                <w:color w:val="auto"/>
              </w:rPr>
            </w:pPr>
          </w:p>
        </w:tc>
        <w:tc>
          <w:tcPr>
            <w:tcW w:w="1040" w:type="dxa"/>
            <w:vAlign w:val="bottom"/>
            <w:gridSpan w:val="3"/>
            <w:vMerge w:val="restart"/>
          </w:tcPr>
          <w:p>
            <w:pPr>
              <w:jc w:val="center"/>
              <w:ind w:right="100"/>
              <w:spacing w:after="0" w:line="144" w:lineRule="exact"/>
              <w:rPr>
                <w:sz w:val="20"/>
                <w:szCs w:val="20"/>
                <w:color w:val="auto"/>
              </w:rPr>
            </w:pPr>
            <w:r>
              <w:rPr>
                <w:rFonts w:ascii="Times New Roman" w:cs="Times New Roman" w:eastAsia="Times New Roman" w:hAnsi="Times New Roman"/>
                <w:sz w:val="13"/>
                <w:szCs w:val="13"/>
                <w:b w:val="1"/>
                <w:bCs w:val="1"/>
                <w:color w:val="auto"/>
              </w:rPr>
              <w:t>Watersound JV</w:t>
            </w:r>
          </w:p>
        </w:tc>
        <w:tc>
          <w:tcPr>
            <w:tcW w:w="980" w:type="dxa"/>
            <w:vAlign w:val="bottom"/>
            <w:gridSpan w:val="3"/>
            <w:vMerge w:val="continue"/>
          </w:tcPr>
          <w:p>
            <w:pPr>
              <w:spacing w:after="0"/>
              <w:rPr>
                <w:sz w:val="7"/>
                <w:szCs w:val="7"/>
                <w:color w:val="auto"/>
              </w:rPr>
            </w:pPr>
          </w:p>
        </w:tc>
        <w:tc>
          <w:tcPr>
            <w:tcW w:w="720" w:type="dxa"/>
            <w:vAlign w:val="bottom"/>
            <w:gridSpan w:val="3"/>
            <w:vMerge w:val="continue"/>
          </w:tcPr>
          <w:p>
            <w:pPr>
              <w:spacing w:after="0"/>
              <w:rPr>
                <w:sz w:val="7"/>
                <w:szCs w:val="7"/>
                <w:color w:val="auto"/>
              </w:rPr>
            </w:pPr>
          </w:p>
        </w:tc>
        <w:tc>
          <w:tcPr>
            <w:tcW w:w="760" w:type="dxa"/>
            <w:vAlign w:val="bottom"/>
            <w:gridSpan w:val="3"/>
            <w:vMerge w:val="continue"/>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88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100" w:type="dxa"/>
            <w:vAlign w:val="bottom"/>
          </w:tcPr>
          <w:p>
            <w:pPr>
              <w:spacing w:after="0"/>
              <w:rPr>
                <w:sz w:val="4"/>
                <w:szCs w:val="4"/>
                <w:color w:val="auto"/>
              </w:rPr>
            </w:pPr>
          </w:p>
        </w:tc>
        <w:tc>
          <w:tcPr>
            <w:tcW w:w="1040" w:type="dxa"/>
            <w:vAlign w:val="bottom"/>
            <w:gridSpan w:val="3"/>
            <w:vMerge w:val="continue"/>
          </w:tcPr>
          <w:p>
            <w:pPr>
              <w:spacing w:after="0"/>
              <w:rPr>
                <w:sz w:val="4"/>
                <w:szCs w:val="4"/>
                <w:color w:val="auto"/>
              </w:rPr>
            </w:pPr>
          </w:p>
        </w:tc>
        <w:tc>
          <w:tcPr>
            <w:tcW w:w="980" w:type="dxa"/>
            <w:vAlign w:val="bottom"/>
            <w:gridSpan w:val="3"/>
            <w:vMerge w:val="restart"/>
          </w:tcPr>
          <w:p>
            <w:pPr>
              <w:jc w:val="center"/>
              <w:ind w:right="120"/>
              <w:spacing w:after="0" w:line="170" w:lineRule="exact"/>
              <w:rPr>
                <w:sz w:val="20"/>
                <w:szCs w:val="20"/>
                <w:color w:val="auto"/>
              </w:rPr>
            </w:pPr>
            <w:r>
              <w:rPr>
                <w:rFonts w:ascii="Times New Roman" w:cs="Times New Roman" w:eastAsia="Times New Roman" w:hAnsi="Times New Roman"/>
                <w:sz w:val="13"/>
                <w:szCs w:val="13"/>
                <w:b w:val="1"/>
                <w:bCs w:val="1"/>
                <w:color w:val="auto"/>
                <w:w w:val="99"/>
              </w:rPr>
              <w:t xml:space="preserve">Living JV </w:t>
            </w:r>
            <w:r>
              <w:rPr>
                <w:rFonts w:ascii="Times New Roman" w:cs="Times New Roman" w:eastAsia="Times New Roman" w:hAnsi="Times New Roman"/>
                <w:sz w:val="19"/>
                <w:szCs w:val="19"/>
                <w:b w:val="1"/>
                <w:bCs w:val="1"/>
                <w:color w:val="auto"/>
                <w:w w:val="99"/>
                <w:vertAlign w:val="superscript"/>
              </w:rPr>
              <w:t>(b)</w:t>
            </w:r>
          </w:p>
        </w:tc>
        <w:tc>
          <w:tcPr>
            <w:tcW w:w="80" w:type="dxa"/>
            <w:vAlign w:val="bottom"/>
          </w:tcPr>
          <w:p>
            <w:pPr>
              <w:spacing w:after="0"/>
              <w:rPr>
                <w:sz w:val="4"/>
                <w:szCs w:val="4"/>
                <w:color w:val="auto"/>
              </w:rPr>
            </w:pPr>
          </w:p>
        </w:tc>
        <w:tc>
          <w:tcPr>
            <w:tcW w:w="6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w w:val="97"/>
              </w:rPr>
              <w:t>TPS JV</w:t>
            </w:r>
          </w:p>
        </w:tc>
        <w:tc>
          <w:tcPr>
            <w:tcW w:w="120" w:type="dxa"/>
            <w:vAlign w:val="bottom"/>
          </w:tcPr>
          <w:p>
            <w:pPr>
              <w:spacing w:after="0"/>
              <w:rPr>
                <w:sz w:val="4"/>
                <w:szCs w:val="4"/>
                <w:color w:val="auto"/>
              </w:rPr>
            </w:pPr>
          </w:p>
        </w:tc>
        <w:tc>
          <w:tcPr>
            <w:tcW w:w="6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RI JV</w:t>
            </w:r>
          </w:p>
        </w:tc>
        <w:tc>
          <w:tcPr>
            <w:tcW w:w="120" w:type="dxa"/>
            <w:vAlign w:val="bottom"/>
          </w:tcPr>
          <w:p>
            <w:pPr>
              <w:spacing w:after="0"/>
              <w:rPr>
                <w:sz w:val="4"/>
                <w:szCs w:val="4"/>
                <w:color w:val="auto"/>
              </w:rPr>
            </w:pPr>
          </w:p>
        </w:tc>
        <w:tc>
          <w:tcPr>
            <w:tcW w:w="540" w:type="dxa"/>
            <w:vAlign w:val="bottom"/>
            <w:vMerge w:val="restart"/>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JV</w:t>
            </w: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JV</w:t>
            </w:r>
          </w:p>
        </w:tc>
        <w:tc>
          <w:tcPr>
            <w:tcW w:w="180" w:type="dxa"/>
            <w:vAlign w:val="bottom"/>
          </w:tcPr>
          <w:p>
            <w:pPr>
              <w:spacing w:after="0"/>
              <w:rPr>
                <w:sz w:val="4"/>
                <w:szCs w:val="4"/>
                <w:color w:val="auto"/>
              </w:rPr>
            </w:pPr>
          </w:p>
        </w:tc>
        <w:tc>
          <w:tcPr>
            <w:tcW w:w="7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JV</w:t>
            </w:r>
          </w:p>
        </w:tc>
        <w:tc>
          <w:tcPr>
            <w:tcW w:w="160" w:type="dxa"/>
            <w:vAlign w:val="bottom"/>
          </w:tcPr>
          <w:p>
            <w:pPr>
              <w:spacing w:after="0"/>
              <w:rPr>
                <w:sz w:val="4"/>
                <w:szCs w:val="4"/>
                <w:color w:val="auto"/>
              </w:rPr>
            </w:pPr>
          </w:p>
        </w:tc>
        <w:tc>
          <w:tcPr>
            <w:tcW w:w="640" w:type="dxa"/>
            <w:vAlign w:val="bottom"/>
            <w:vMerge w:val="restart"/>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16"/>
        </w:trPr>
        <w:tc>
          <w:tcPr>
            <w:tcW w:w="2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rPr>
              <w:t>(a)</w:t>
            </w:r>
          </w:p>
        </w:tc>
        <w:tc>
          <w:tcPr>
            <w:tcW w:w="98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2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137,753</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3,535</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3,423</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4,024</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12,192</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3,392</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2,038</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166,357</w:t>
            </w:r>
          </w:p>
        </w:tc>
        <w:tc>
          <w:tcPr>
            <w:tcW w:w="0" w:type="dxa"/>
            <w:vAlign w:val="bottom"/>
          </w:tcPr>
          <w:p>
            <w:pPr>
              <w:spacing w:after="0"/>
              <w:rPr>
                <w:sz w:val="1"/>
                <w:szCs w:val="1"/>
                <w:color w:val="auto"/>
              </w:rPr>
            </w:pPr>
          </w:p>
        </w:tc>
      </w:tr>
      <w:tr>
        <w:trPr>
          <w:trHeight w:val="193"/>
        </w:trPr>
        <w:tc>
          <w:tcPr>
            <w:tcW w:w="2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100" w:type="dxa"/>
            <w:vAlign w:val="bottom"/>
            <w:shd w:val="clear" w:color="auto" w:fill="CCEEFF"/>
          </w:tcPr>
          <w:p>
            <w:pPr>
              <w:ind w:left="120"/>
              <w:spacing w:after="0" w:line="205" w:lineRule="exact"/>
              <w:rPr>
                <w:sz w:val="20"/>
                <w:szCs w:val="20"/>
                <w:color w:val="auto"/>
              </w:rPr>
            </w:pPr>
            <w:r>
              <w:rPr>
                <w:rFonts w:ascii="Times New Roman" w:cs="Times New Roman" w:eastAsia="Times New Roman" w:hAnsi="Times New Roman"/>
                <w:sz w:val="16"/>
                <w:szCs w:val="16"/>
                <w:color w:val="auto"/>
              </w:rPr>
              <w:t xml:space="preserve">Cost of revenue </w:t>
            </w:r>
            <w:r>
              <w:rPr>
                <w:rFonts w:ascii="Times New Roman" w:cs="Times New Roman" w:eastAsia="Times New Roman" w:hAnsi="Times New Roman"/>
                <w:sz w:val="23"/>
                <w:szCs w:val="23"/>
                <w:color w:val="auto"/>
                <w:vertAlign w:val="superscript"/>
              </w:rPr>
              <w:t>(c)</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98,130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123,431</w:t>
            </w:r>
          </w:p>
        </w:tc>
        <w:tc>
          <w:tcPr>
            <w:tcW w:w="0" w:type="dxa"/>
            <w:vAlign w:val="bottom"/>
          </w:tcPr>
          <w:p>
            <w:pPr>
              <w:spacing w:after="0"/>
              <w:rPr>
                <w:sz w:val="1"/>
                <w:szCs w:val="1"/>
                <w:color w:val="auto"/>
              </w:rPr>
            </w:pPr>
          </w:p>
        </w:tc>
      </w:tr>
      <w:tr>
        <w:trPr>
          <w:trHeight w:val="175"/>
        </w:trPr>
        <w:tc>
          <w:tcPr>
            <w:tcW w:w="210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Other operating expenses</w:t>
            </w:r>
          </w:p>
        </w:tc>
        <w:tc>
          <w:tcPr>
            <w:tcW w:w="14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12,254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6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6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12,255</w:t>
            </w:r>
          </w:p>
        </w:tc>
        <w:tc>
          <w:tcPr>
            <w:tcW w:w="0" w:type="dxa"/>
            <w:vAlign w:val="bottom"/>
          </w:tcPr>
          <w:p>
            <w:pPr>
              <w:spacing w:after="0"/>
              <w:rPr>
                <w:sz w:val="1"/>
                <w:szCs w:val="1"/>
                <w:color w:val="auto"/>
              </w:rPr>
            </w:pPr>
          </w:p>
        </w:tc>
      </w:tr>
      <w:tr>
        <w:trPr>
          <w:trHeight w:val="149"/>
        </w:trPr>
        <w:tc>
          <w:tcPr>
            <w:tcW w:w="21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w:t>
            </w: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10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Depreciation and</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100" w:type="dxa"/>
            <w:vAlign w:val="bottom"/>
            <w:shd w:val="clear" w:color="auto" w:fill="CCEEFF"/>
          </w:tcPr>
          <w:p>
            <w:pPr>
              <w:ind w:left="120"/>
              <w:spacing w:after="0" w:line="230" w:lineRule="exact"/>
              <w:rPr>
                <w:sz w:val="20"/>
                <w:szCs w:val="20"/>
                <w:color w:val="auto"/>
              </w:rPr>
            </w:pPr>
            <w:r>
              <w:rPr>
                <w:rFonts w:ascii="Times New Roman" w:cs="Times New Roman" w:eastAsia="Times New Roman" w:hAnsi="Times New Roman"/>
                <w:sz w:val="16"/>
                <w:szCs w:val="16"/>
                <w:color w:val="auto"/>
              </w:rPr>
              <w:t xml:space="preserve">amortization </w:t>
            </w:r>
            <w:r>
              <w:rPr>
                <w:rFonts w:ascii="Times New Roman" w:cs="Times New Roman" w:eastAsia="Times New Roman" w:hAnsi="Times New Roman"/>
                <w:sz w:val="24"/>
                <w:szCs w:val="24"/>
                <w:color w:val="auto"/>
                <w:vertAlign w:val="superscript"/>
              </w:rPr>
              <w:t>(d)</w:t>
            </w: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2,291</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5,749</w:t>
            </w:r>
          </w:p>
        </w:tc>
        <w:tc>
          <w:tcPr>
            <w:tcW w:w="0" w:type="dxa"/>
            <w:vAlign w:val="bottom"/>
          </w:tcPr>
          <w:p>
            <w:pPr>
              <w:spacing w:after="0"/>
              <w:rPr>
                <w:sz w:val="1"/>
                <w:szCs w:val="1"/>
                <w:color w:val="auto"/>
              </w:rPr>
            </w:pPr>
          </w:p>
        </w:tc>
      </w:tr>
      <w:tr>
        <w:trPr>
          <w:trHeight w:val="196"/>
        </w:trPr>
        <w:tc>
          <w:tcPr>
            <w:tcW w:w="2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expenses</w:t>
            </w:r>
          </w:p>
        </w:tc>
        <w:tc>
          <w:tcPr>
            <w:tcW w:w="1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110,902</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6,550</w:t>
            </w:r>
          </w:p>
        </w:tc>
        <w:tc>
          <w:tcPr>
            <w:tcW w:w="12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2,521</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4,479</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11,916</w:t>
            </w:r>
          </w:p>
        </w:tc>
        <w:tc>
          <w:tcPr>
            <w:tcW w:w="14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3,206</w:t>
            </w:r>
          </w:p>
        </w:tc>
        <w:tc>
          <w:tcPr>
            <w:tcW w:w="1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1,861</w:t>
            </w: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141,435</w:t>
            </w:r>
          </w:p>
        </w:tc>
        <w:tc>
          <w:tcPr>
            <w:tcW w:w="0" w:type="dxa"/>
            <w:vAlign w:val="bottom"/>
          </w:tcPr>
          <w:p>
            <w:pPr>
              <w:spacing w:after="0"/>
              <w:rPr>
                <w:sz w:val="1"/>
                <w:szCs w:val="1"/>
                <w:color w:val="auto"/>
              </w:rPr>
            </w:pPr>
          </w:p>
        </w:tc>
      </w:tr>
      <w:tr>
        <w:trPr>
          <w:trHeight w:val="169"/>
        </w:trPr>
        <w:tc>
          <w:tcPr>
            <w:tcW w:w="2100" w:type="dxa"/>
            <w:vAlign w:val="bottom"/>
            <w:shd w:val="clear" w:color="auto" w:fill="CCEEFF"/>
          </w:tcPr>
          <w:p>
            <w:pPr>
              <w:ind w:left="340"/>
              <w:spacing w:after="0" w:line="169" w:lineRule="exact"/>
              <w:rPr>
                <w:sz w:val="20"/>
                <w:szCs w:val="20"/>
                <w:color w:val="auto"/>
              </w:rPr>
            </w:pPr>
            <w:r>
              <w:rPr>
                <w:rFonts w:ascii="Times New Roman" w:cs="Times New Roman" w:eastAsia="Times New Roman" w:hAnsi="Times New Roman"/>
                <w:sz w:val="16"/>
                <w:szCs w:val="16"/>
                <w:color w:val="auto"/>
              </w:rPr>
              <w:t>Operating income</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(loss)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26,851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(3,015)</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(455)</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24,922</w:t>
            </w:r>
          </w:p>
        </w:tc>
        <w:tc>
          <w:tcPr>
            <w:tcW w:w="0" w:type="dxa"/>
            <w:vAlign w:val="bottom"/>
          </w:tcPr>
          <w:p>
            <w:pPr>
              <w:spacing w:after="0"/>
              <w:rPr>
                <w:sz w:val="1"/>
                <w:szCs w:val="1"/>
                <w:color w:val="auto"/>
              </w:rPr>
            </w:pPr>
          </w:p>
        </w:tc>
      </w:tr>
      <w:tr>
        <w:trPr>
          <w:trHeight w:val="203"/>
        </w:trPr>
        <w:tc>
          <w:tcPr>
            <w:tcW w:w="2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(expense) income:</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Interest expense</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(1,859)</w:t>
            </w: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(577)</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(759)</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(183)</w:t>
            </w: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(3,475)</w:t>
            </w:r>
          </w:p>
        </w:tc>
        <w:tc>
          <w:tcPr>
            <w:tcW w:w="0" w:type="dxa"/>
            <w:vAlign w:val="bottom"/>
          </w:tcPr>
          <w:p>
            <w:pPr>
              <w:spacing w:after="0"/>
              <w:rPr>
                <w:sz w:val="1"/>
                <w:szCs w:val="1"/>
                <w:color w:val="auto"/>
              </w:rPr>
            </w:pPr>
          </w:p>
        </w:tc>
      </w:tr>
      <w:tr>
        <w:trPr>
          <w:trHeight w:val="189"/>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income (expense),</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(122)</w:t>
            </w: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w w:val="89"/>
              </w:rPr>
              <w:t>(e)</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0" w:type="dxa"/>
            <w:vAlign w:val="bottom"/>
          </w:tcPr>
          <w:p>
            <w:pPr>
              <w:spacing w:after="0"/>
              <w:rPr>
                <w:sz w:val="1"/>
                <w:szCs w:val="1"/>
                <w:color w:val="auto"/>
              </w:rPr>
            </w:pPr>
          </w:p>
        </w:tc>
      </w:tr>
      <w:tr>
        <w:trPr>
          <w:trHeight w:val="169"/>
        </w:trPr>
        <w:tc>
          <w:tcPr>
            <w:tcW w:w="2100" w:type="dxa"/>
            <w:vAlign w:val="bottom"/>
            <w:tcBorders>
              <w:top w:val="single" w:sz="8" w:color="CCEEFF"/>
            </w:tcBorders>
            <w:shd w:val="clear" w:color="auto" w:fill="CCEEFF"/>
          </w:tcPr>
          <w:p>
            <w:pPr>
              <w:ind w:left="220"/>
              <w:spacing w:after="0" w:line="169" w:lineRule="exact"/>
              <w:rPr>
                <w:sz w:val="20"/>
                <w:szCs w:val="20"/>
                <w:color w:val="auto"/>
              </w:rPr>
            </w:pPr>
            <w:r>
              <w:rPr>
                <w:rFonts w:ascii="Times New Roman" w:cs="Times New Roman" w:eastAsia="Times New Roman" w:hAnsi="Times New Roman"/>
                <w:sz w:val="16"/>
                <w:szCs w:val="16"/>
                <w:color w:val="auto"/>
              </w:rPr>
              <w:t>Total other income</w:t>
            </w:r>
          </w:p>
        </w:tc>
        <w:tc>
          <w:tcPr>
            <w:tcW w:w="1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(expense), net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(1,981)</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(567)</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(754)</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(167)</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(2,907)</w:t>
            </w:r>
          </w:p>
        </w:tc>
        <w:tc>
          <w:tcPr>
            <w:tcW w:w="0" w:type="dxa"/>
            <w:vAlign w:val="bottom"/>
          </w:tcPr>
          <w:p>
            <w:pPr>
              <w:spacing w:after="0"/>
              <w:rPr>
                <w:sz w:val="1"/>
                <w:szCs w:val="1"/>
                <w:color w:val="auto"/>
              </w:rPr>
            </w:pPr>
          </w:p>
        </w:tc>
      </w:tr>
      <w:tr>
        <w:trPr>
          <w:trHeight w:val="196"/>
        </w:trPr>
        <w:tc>
          <w:tcPr>
            <w:tcW w:w="2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27,304</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(4,996)</w:t>
            </w:r>
          </w:p>
        </w:tc>
        <w:tc>
          <w:tcPr>
            <w:tcW w:w="12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335</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(1,209)</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385</w:t>
            </w: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177</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22,015</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1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380" w:right="1339" w:hanging="330"/>
        <w:spacing w:after="0" w:line="269" w:lineRule="auto"/>
        <w:tabs>
          <w:tab w:leader="none" w:pos="3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Latitude Margaritaville Watersound JV completed 236 home sale transactions during the nine months ended September 30, 2026.</w:t>
      </w:r>
    </w:p>
    <w:p>
      <w:pPr>
        <w:ind w:left="380" w:hanging="330"/>
        <w:spacing w:after="0"/>
        <w:tabs>
          <w:tab w:leader="none" w:pos="3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community is under lease-up.</w:t>
      </w:r>
    </w:p>
    <w:p>
      <w:pPr>
        <w:spacing w:after="0" w:line="18" w:lineRule="exact"/>
        <w:rPr>
          <w:rFonts w:ascii="Times New Roman" w:cs="Times New Roman" w:eastAsia="Times New Roman" w:hAnsi="Times New Roman"/>
          <w:sz w:val="16"/>
          <w:szCs w:val="16"/>
          <w:color w:val="auto"/>
        </w:rPr>
      </w:pPr>
    </w:p>
    <w:p>
      <w:pPr>
        <w:ind w:left="380" w:hanging="330"/>
        <w:spacing w:after="0"/>
        <w:tabs>
          <w:tab w:leader="none" w:pos="3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Excluding depreciation and amortization, shown separately above.</w:t>
      </w:r>
    </w:p>
    <w:p>
      <w:pPr>
        <w:spacing w:after="0" w:line="18" w:lineRule="exact"/>
        <w:rPr>
          <w:rFonts w:ascii="Times New Roman" w:cs="Times New Roman" w:eastAsia="Times New Roman" w:hAnsi="Times New Roman"/>
          <w:sz w:val="16"/>
          <w:szCs w:val="16"/>
          <w:color w:val="auto"/>
        </w:rPr>
      </w:pPr>
    </w:p>
    <w:p>
      <w:pPr>
        <w:ind w:left="380" w:hanging="330"/>
        <w:spacing w:after="0"/>
        <w:tabs>
          <w:tab w:leader="none" w:pos="3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Depreciation is a non-cash, GAAP expense, which is amortized over an asset’s useful life.</w:t>
      </w:r>
    </w:p>
    <w:p>
      <w:pPr>
        <w:spacing w:after="0" w:line="18" w:lineRule="exact"/>
        <w:rPr>
          <w:rFonts w:ascii="Times New Roman" w:cs="Times New Roman" w:eastAsia="Times New Roman" w:hAnsi="Times New Roman"/>
          <w:sz w:val="16"/>
          <w:szCs w:val="16"/>
          <w:color w:val="auto"/>
        </w:rPr>
      </w:pPr>
    </w:p>
    <w:p>
      <w:pPr>
        <w:ind w:left="380" w:hanging="330"/>
        <w:spacing w:after="0"/>
        <w:tabs>
          <w:tab w:leader="none" w:pos="3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changes in the fair value of derivatives related to interest rate swaps entered into by the Busy Bee JV.</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2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11"/>
          </w:tcPr>
          <w:p>
            <w:pPr>
              <w:ind w:left="160"/>
              <w:spacing w:after="0"/>
              <w:rPr>
                <w:sz w:val="20"/>
                <w:szCs w:val="20"/>
                <w:color w:val="auto"/>
              </w:rPr>
            </w:pPr>
            <w:r>
              <w:rPr>
                <w:rFonts w:ascii="Times New Roman" w:cs="Times New Roman" w:eastAsia="Times New Roman" w:hAnsi="Times New Roman"/>
                <w:sz w:val="13"/>
                <w:szCs w:val="13"/>
                <w:b w:val="1"/>
                <w:bCs w:val="1"/>
                <w:color w:val="auto"/>
              </w:rPr>
              <w:t>Nine Months Ended September 30, 2025</w:t>
            </w: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Latitude</w:t>
            </w:r>
          </w:p>
        </w:tc>
        <w:tc>
          <w:tcPr>
            <w:tcW w:w="960" w:type="dxa"/>
            <w:vAlign w:val="bottom"/>
            <w:gridSpan w:val="3"/>
          </w:tcPr>
          <w:p>
            <w:pPr>
              <w:jc w:val="center"/>
              <w:ind w:right="120"/>
              <w:spacing w:after="0" w:line="126" w:lineRule="exact"/>
              <w:rPr>
                <w:sz w:val="20"/>
                <w:szCs w:val="20"/>
                <w:color w:val="auto"/>
              </w:rPr>
            </w:pPr>
            <w:r>
              <w:rPr>
                <w:rFonts w:ascii="Times New Roman" w:cs="Times New Roman" w:eastAsia="Times New Roman" w:hAnsi="Times New Roman"/>
                <w:sz w:val="13"/>
                <w:szCs w:val="13"/>
                <w:b w:val="1"/>
                <w:bCs w:val="1"/>
                <w:color w:val="auto"/>
              </w:rPr>
              <w:t>Watersound</w:t>
            </w: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center"/>
              <w:ind w:right="220"/>
              <w:spacing w:after="0" w:line="126" w:lineRule="exact"/>
              <w:rPr>
                <w:sz w:val="20"/>
                <w:szCs w:val="20"/>
                <w:color w:val="auto"/>
              </w:rPr>
            </w:pPr>
            <w:r>
              <w:rPr>
                <w:rFonts w:ascii="Times New Roman" w:cs="Times New Roman" w:eastAsia="Times New Roman" w:hAnsi="Times New Roman"/>
                <w:sz w:val="13"/>
                <w:szCs w:val="13"/>
                <w:b w:val="1"/>
                <w:bCs w:val="1"/>
                <w:color w:val="auto"/>
              </w:rPr>
              <w:t>Electric</w:t>
            </w: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Fountains</w:t>
            </w: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9"/>
              </w:rPr>
              <w:t>Cart</w:t>
            </w:r>
          </w:p>
        </w:tc>
        <w:tc>
          <w:tcPr>
            <w:tcW w:w="8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Watersound</w:t>
            </w: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120" w:type="dxa"/>
            <w:vAlign w:val="bottom"/>
          </w:tcPr>
          <w:p>
            <w:pPr>
              <w:spacing w:after="0"/>
              <w:rPr>
                <w:sz w:val="8"/>
                <w:szCs w:val="8"/>
                <w:color w:val="auto"/>
              </w:rPr>
            </w:pPr>
          </w:p>
        </w:tc>
        <w:tc>
          <w:tcPr>
            <w:tcW w:w="10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Margaritaville</w:t>
            </w:r>
          </w:p>
        </w:tc>
        <w:tc>
          <w:tcPr>
            <w:tcW w:w="10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80" w:type="dxa"/>
            <w:vAlign w:val="bottom"/>
            <w:gridSpan w:val="3"/>
            <w:vMerge w:val="continue"/>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120" w:type="dxa"/>
            <w:vAlign w:val="bottom"/>
          </w:tcPr>
          <w:p>
            <w:pPr>
              <w:spacing w:after="0"/>
              <w:rPr>
                <w:sz w:val="4"/>
                <w:szCs w:val="4"/>
                <w:color w:val="auto"/>
              </w:rPr>
            </w:pPr>
          </w:p>
        </w:tc>
        <w:tc>
          <w:tcPr>
            <w:tcW w:w="1040" w:type="dxa"/>
            <w:vAlign w:val="bottom"/>
            <w:gridSpan w:val="3"/>
            <w:vMerge w:val="continue"/>
          </w:tcPr>
          <w:p>
            <w:pPr>
              <w:spacing w:after="0"/>
              <w:rPr>
                <w:sz w:val="4"/>
                <w:szCs w:val="4"/>
                <w:color w:val="auto"/>
              </w:rPr>
            </w:pPr>
          </w:p>
        </w:tc>
        <w:tc>
          <w:tcPr>
            <w:tcW w:w="960" w:type="dxa"/>
            <w:vAlign w:val="bottom"/>
            <w:gridSpan w:val="3"/>
            <w:vMerge w:val="restart"/>
          </w:tcPr>
          <w:p>
            <w:pPr>
              <w:jc w:val="center"/>
              <w:ind w:right="120"/>
              <w:spacing w:after="0" w:line="144" w:lineRule="exact"/>
              <w:rPr>
                <w:sz w:val="20"/>
                <w:szCs w:val="20"/>
                <w:color w:val="auto"/>
              </w:rPr>
            </w:pPr>
            <w:r>
              <w:rPr>
                <w:rFonts w:ascii="Times New Roman" w:cs="Times New Roman" w:eastAsia="Times New Roman" w:hAnsi="Times New Roman"/>
                <w:sz w:val="13"/>
                <w:szCs w:val="13"/>
                <w:b w:val="1"/>
                <w:bCs w:val="1"/>
                <w:color w:val="auto"/>
              </w:rPr>
              <w:t>Independent</w:t>
            </w:r>
          </w:p>
        </w:tc>
        <w:tc>
          <w:tcPr>
            <w:tcW w:w="740" w:type="dxa"/>
            <w:vAlign w:val="bottom"/>
            <w:gridSpan w:val="3"/>
            <w:vMerge w:val="restart"/>
          </w:tcPr>
          <w:p>
            <w:pPr>
              <w:jc w:val="center"/>
              <w:ind w:right="100"/>
              <w:spacing w:after="0" w:line="144" w:lineRule="exact"/>
              <w:rPr>
                <w:sz w:val="20"/>
                <w:szCs w:val="20"/>
                <w:color w:val="auto"/>
              </w:rPr>
            </w:pPr>
            <w:r>
              <w:rPr>
                <w:rFonts w:ascii="Times New Roman" w:cs="Times New Roman" w:eastAsia="Times New Roman" w:hAnsi="Times New Roman"/>
                <w:sz w:val="13"/>
                <w:szCs w:val="13"/>
                <w:b w:val="1"/>
                <w:bCs w:val="1"/>
                <w:color w:val="auto"/>
              </w:rPr>
              <w:t>Pier Park</w:t>
            </w:r>
          </w:p>
        </w:tc>
        <w:tc>
          <w:tcPr>
            <w:tcW w:w="760" w:type="dxa"/>
            <w:vAlign w:val="bottom"/>
            <w:gridSpan w:val="3"/>
            <w:vMerge w:val="restart"/>
          </w:tcPr>
          <w:p>
            <w:pPr>
              <w:jc w:val="right"/>
              <w:ind w:right="160"/>
              <w:spacing w:after="0" w:line="144" w:lineRule="exact"/>
              <w:rPr>
                <w:sz w:val="20"/>
                <w:szCs w:val="20"/>
                <w:color w:val="auto"/>
              </w:rPr>
            </w:pPr>
            <w:r>
              <w:rPr>
                <w:rFonts w:ascii="Times New Roman" w:cs="Times New Roman" w:eastAsia="Times New Roman" w:hAnsi="Times New Roman"/>
                <w:sz w:val="13"/>
                <w:szCs w:val="13"/>
                <w:b w:val="1"/>
                <w:bCs w:val="1"/>
                <w:color w:val="auto"/>
              </w:rPr>
              <w:t>Pier Park</w:t>
            </w:r>
          </w:p>
        </w:tc>
        <w:tc>
          <w:tcPr>
            <w:tcW w:w="780" w:type="dxa"/>
            <w:vAlign w:val="bottom"/>
            <w:gridSpan w:val="3"/>
            <w:vMerge w:val="restart"/>
          </w:tcPr>
          <w:p>
            <w:pPr>
              <w:jc w:val="center"/>
              <w:ind w:right="140"/>
              <w:spacing w:after="0" w:line="144" w:lineRule="exact"/>
              <w:rPr>
                <w:sz w:val="20"/>
                <w:szCs w:val="20"/>
                <w:color w:val="auto"/>
              </w:rPr>
            </w:pPr>
            <w:r>
              <w:rPr>
                <w:rFonts w:ascii="Times New Roman" w:cs="Times New Roman" w:eastAsia="Times New Roman" w:hAnsi="Times New Roman"/>
                <w:sz w:val="13"/>
                <w:szCs w:val="13"/>
                <w:b w:val="1"/>
                <w:bCs w:val="1"/>
                <w:color w:val="auto"/>
              </w:rPr>
              <w:t>Busy Bee</w:t>
            </w:r>
          </w:p>
        </w:tc>
        <w:tc>
          <w:tcPr>
            <w:tcW w:w="820" w:type="dxa"/>
            <w:vAlign w:val="bottom"/>
            <w:gridSpan w:val="3"/>
            <w:vMerge w:val="restart"/>
          </w:tcPr>
          <w:p>
            <w:pPr>
              <w:jc w:val="center"/>
              <w:ind w:right="120"/>
              <w:spacing w:after="0" w:line="144" w:lineRule="exact"/>
              <w:rPr>
                <w:sz w:val="20"/>
                <w:szCs w:val="20"/>
                <w:color w:val="auto"/>
              </w:rPr>
            </w:pPr>
            <w:r>
              <w:rPr>
                <w:rFonts w:ascii="Times New Roman" w:cs="Times New Roman" w:eastAsia="Times New Roman" w:hAnsi="Times New Roman"/>
                <w:sz w:val="13"/>
                <w:szCs w:val="13"/>
                <w:b w:val="1"/>
                <w:bCs w:val="1"/>
                <w:color w:val="auto"/>
              </w:rPr>
              <w:t>Watersound</w:t>
            </w:r>
          </w:p>
        </w:tc>
        <w:tc>
          <w:tcPr>
            <w:tcW w:w="880" w:type="dxa"/>
            <w:vAlign w:val="bottom"/>
            <w:gridSpan w:val="3"/>
            <w:vMerge w:val="restart"/>
          </w:tcPr>
          <w:p>
            <w:pPr>
              <w:spacing w:after="0" w:line="144" w:lineRule="exact"/>
              <w:rPr>
                <w:sz w:val="20"/>
                <w:szCs w:val="20"/>
                <w:color w:val="auto"/>
              </w:rPr>
            </w:pPr>
            <w:r>
              <w:rPr>
                <w:rFonts w:ascii="Times New Roman" w:cs="Times New Roman" w:eastAsia="Times New Roman" w:hAnsi="Times New Roman"/>
                <w:sz w:val="13"/>
                <w:szCs w:val="13"/>
                <w:b w:val="1"/>
                <w:bCs w:val="1"/>
                <w:color w:val="auto"/>
              </w:rPr>
              <w:t>Management</w:t>
            </w: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2120" w:type="dxa"/>
            <w:vAlign w:val="bottom"/>
          </w:tcPr>
          <w:p>
            <w:pPr>
              <w:spacing w:after="0"/>
              <w:rPr>
                <w:sz w:val="7"/>
                <w:szCs w:val="7"/>
                <w:color w:val="auto"/>
              </w:rPr>
            </w:pPr>
          </w:p>
        </w:tc>
        <w:tc>
          <w:tcPr>
            <w:tcW w:w="1040" w:type="dxa"/>
            <w:vAlign w:val="bottom"/>
            <w:gridSpan w:val="3"/>
            <w:vMerge w:val="restart"/>
          </w:tcPr>
          <w:p>
            <w:pPr>
              <w:jc w:val="center"/>
              <w:ind w:right="140"/>
              <w:spacing w:after="0" w:line="144" w:lineRule="exact"/>
              <w:rPr>
                <w:sz w:val="20"/>
                <w:szCs w:val="20"/>
                <w:color w:val="auto"/>
              </w:rPr>
            </w:pPr>
            <w:r>
              <w:rPr>
                <w:rFonts w:ascii="Times New Roman" w:cs="Times New Roman" w:eastAsia="Times New Roman" w:hAnsi="Times New Roman"/>
                <w:sz w:val="13"/>
                <w:szCs w:val="13"/>
                <w:b w:val="1"/>
                <w:bCs w:val="1"/>
                <w:color w:val="auto"/>
              </w:rPr>
              <w:t>Watersound JV</w:t>
            </w:r>
          </w:p>
        </w:tc>
        <w:tc>
          <w:tcPr>
            <w:tcW w:w="960" w:type="dxa"/>
            <w:vAlign w:val="bottom"/>
            <w:gridSpan w:val="3"/>
            <w:vMerge w:val="continue"/>
          </w:tcPr>
          <w:p>
            <w:pPr>
              <w:spacing w:after="0"/>
              <w:rPr>
                <w:sz w:val="7"/>
                <w:szCs w:val="7"/>
                <w:color w:val="auto"/>
              </w:rPr>
            </w:pPr>
          </w:p>
        </w:tc>
        <w:tc>
          <w:tcPr>
            <w:tcW w:w="740" w:type="dxa"/>
            <w:vAlign w:val="bottom"/>
            <w:gridSpan w:val="3"/>
            <w:vMerge w:val="continue"/>
          </w:tcPr>
          <w:p>
            <w:pPr>
              <w:spacing w:after="0"/>
              <w:rPr>
                <w:sz w:val="7"/>
                <w:szCs w:val="7"/>
                <w:color w:val="auto"/>
              </w:rPr>
            </w:pPr>
          </w:p>
        </w:tc>
        <w:tc>
          <w:tcPr>
            <w:tcW w:w="760" w:type="dxa"/>
            <w:vAlign w:val="bottom"/>
            <w:gridSpan w:val="3"/>
            <w:vMerge w:val="continue"/>
          </w:tcPr>
          <w:p>
            <w:pPr>
              <w:spacing w:after="0"/>
              <w:rPr>
                <w:sz w:val="7"/>
                <w:szCs w:val="7"/>
                <w:color w:val="auto"/>
              </w:rPr>
            </w:pPr>
          </w:p>
        </w:tc>
        <w:tc>
          <w:tcPr>
            <w:tcW w:w="780" w:type="dxa"/>
            <w:vAlign w:val="bottom"/>
            <w:gridSpan w:val="3"/>
            <w:vMerge w:val="continue"/>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88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120" w:type="dxa"/>
            <w:vAlign w:val="bottom"/>
          </w:tcPr>
          <w:p>
            <w:pPr>
              <w:spacing w:after="0"/>
              <w:rPr>
                <w:sz w:val="4"/>
                <w:szCs w:val="4"/>
                <w:color w:val="auto"/>
              </w:rPr>
            </w:pPr>
          </w:p>
        </w:tc>
        <w:tc>
          <w:tcPr>
            <w:tcW w:w="1040" w:type="dxa"/>
            <w:vAlign w:val="bottom"/>
            <w:gridSpan w:val="3"/>
            <w:vMerge w:val="continue"/>
          </w:tcPr>
          <w:p>
            <w:pPr>
              <w:spacing w:after="0"/>
              <w:rPr>
                <w:sz w:val="4"/>
                <w:szCs w:val="4"/>
                <w:color w:val="auto"/>
              </w:rPr>
            </w:pPr>
          </w:p>
        </w:tc>
        <w:tc>
          <w:tcPr>
            <w:tcW w:w="960" w:type="dxa"/>
            <w:vAlign w:val="bottom"/>
            <w:gridSpan w:val="3"/>
            <w:vMerge w:val="restart"/>
          </w:tcPr>
          <w:p>
            <w:pPr>
              <w:jc w:val="center"/>
              <w:ind w:right="120"/>
              <w:spacing w:after="0" w:line="170" w:lineRule="exact"/>
              <w:rPr>
                <w:sz w:val="20"/>
                <w:szCs w:val="20"/>
                <w:color w:val="auto"/>
              </w:rPr>
            </w:pPr>
            <w:r>
              <w:rPr>
                <w:rFonts w:ascii="Times New Roman" w:cs="Times New Roman" w:eastAsia="Times New Roman" w:hAnsi="Times New Roman"/>
                <w:sz w:val="13"/>
                <w:szCs w:val="13"/>
                <w:b w:val="1"/>
                <w:bCs w:val="1"/>
                <w:color w:val="auto"/>
                <w:w w:val="97"/>
              </w:rPr>
              <w:t xml:space="preserve">Living JV </w:t>
            </w:r>
            <w:r>
              <w:rPr>
                <w:rFonts w:ascii="Times New Roman" w:cs="Times New Roman" w:eastAsia="Times New Roman" w:hAnsi="Times New Roman"/>
                <w:sz w:val="19"/>
                <w:szCs w:val="19"/>
                <w:b w:val="1"/>
                <w:bCs w:val="1"/>
                <w:color w:val="auto"/>
                <w:w w:val="97"/>
                <w:vertAlign w:val="superscript"/>
              </w:rPr>
              <w:t>(b)</w:t>
            </w:r>
          </w:p>
        </w:tc>
        <w:tc>
          <w:tcPr>
            <w:tcW w:w="80" w:type="dxa"/>
            <w:vAlign w:val="bottom"/>
          </w:tcPr>
          <w:p>
            <w:pPr>
              <w:spacing w:after="0"/>
              <w:rPr>
                <w:sz w:val="4"/>
                <w:szCs w:val="4"/>
                <w:color w:val="auto"/>
              </w:rPr>
            </w:pPr>
          </w:p>
        </w:tc>
        <w:tc>
          <w:tcPr>
            <w:tcW w:w="6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TPS JV</w:t>
            </w:r>
          </w:p>
        </w:tc>
        <w:tc>
          <w:tcPr>
            <w:tcW w:w="760" w:type="dxa"/>
            <w:vAlign w:val="bottom"/>
            <w:gridSpan w:val="3"/>
            <w:vMerge w:val="restart"/>
          </w:tcPr>
          <w:p>
            <w:pPr>
              <w:jc w:val="right"/>
              <w:ind w:right="200"/>
              <w:spacing w:after="0" w:line="170" w:lineRule="exact"/>
              <w:rPr>
                <w:sz w:val="20"/>
                <w:szCs w:val="20"/>
                <w:color w:val="auto"/>
              </w:rPr>
            </w:pPr>
            <w:r>
              <w:rPr>
                <w:rFonts w:ascii="Times New Roman" w:cs="Times New Roman" w:eastAsia="Times New Roman" w:hAnsi="Times New Roman"/>
                <w:sz w:val="13"/>
                <w:szCs w:val="13"/>
                <w:b w:val="1"/>
                <w:bCs w:val="1"/>
                <w:color w:val="auto"/>
              </w:rPr>
              <w:t xml:space="preserve">RI JV </w:t>
            </w:r>
            <w:r>
              <w:rPr>
                <w:rFonts w:ascii="Times New Roman" w:cs="Times New Roman" w:eastAsia="Times New Roman" w:hAnsi="Times New Roman"/>
                <w:sz w:val="19"/>
                <w:szCs w:val="19"/>
                <w:b w:val="1"/>
                <w:bCs w:val="1"/>
                <w:color w:val="auto"/>
                <w:vertAlign w:val="superscript"/>
              </w:rPr>
              <w:t>(c)</w:t>
            </w:r>
          </w:p>
        </w:tc>
        <w:tc>
          <w:tcPr>
            <w:tcW w:w="120" w:type="dxa"/>
            <w:vAlign w:val="bottom"/>
          </w:tcPr>
          <w:p>
            <w:pPr>
              <w:spacing w:after="0"/>
              <w:rPr>
                <w:sz w:val="4"/>
                <w:szCs w:val="4"/>
                <w:color w:val="auto"/>
              </w:rPr>
            </w:pPr>
          </w:p>
        </w:tc>
        <w:tc>
          <w:tcPr>
            <w:tcW w:w="6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JV</w:t>
            </w:r>
          </w:p>
        </w:tc>
        <w:tc>
          <w:tcPr>
            <w:tcW w:w="100" w:type="dxa"/>
            <w:vAlign w:val="bottom"/>
          </w:tcPr>
          <w:p>
            <w:pPr>
              <w:spacing w:after="0"/>
              <w:rPr>
                <w:sz w:val="4"/>
                <w:szCs w:val="4"/>
                <w:color w:val="auto"/>
              </w:rPr>
            </w:pPr>
          </w:p>
        </w:tc>
        <w:tc>
          <w:tcPr>
            <w:tcW w:w="7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JV</w:t>
            </w:r>
          </w:p>
        </w:tc>
        <w:tc>
          <w:tcPr>
            <w:tcW w:w="180" w:type="dxa"/>
            <w:vAlign w:val="bottom"/>
          </w:tcPr>
          <w:p>
            <w:pPr>
              <w:spacing w:after="0"/>
              <w:rPr>
                <w:sz w:val="4"/>
                <w:szCs w:val="4"/>
                <w:color w:val="auto"/>
              </w:rPr>
            </w:pPr>
          </w:p>
        </w:tc>
        <w:tc>
          <w:tcPr>
            <w:tcW w:w="7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JV</w:t>
            </w:r>
          </w:p>
        </w:tc>
        <w:tc>
          <w:tcPr>
            <w:tcW w:w="160" w:type="dxa"/>
            <w:vAlign w:val="bottom"/>
          </w:tcPr>
          <w:p>
            <w:pPr>
              <w:spacing w:after="0"/>
              <w:rPr>
                <w:sz w:val="4"/>
                <w:szCs w:val="4"/>
                <w:color w:val="auto"/>
              </w:rPr>
            </w:pPr>
          </w:p>
        </w:tc>
        <w:tc>
          <w:tcPr>
            <w:tcW w:w="64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16"/>
        </w:trPr>
        <w:tc>
          <w:tcPr>
            <w:tcW w:w="2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rPr>
              <w:t>(a)</w:t>
            </w:r>
          </w:p>
        </w:tc>
        <w:tc>
          <w:tcPr>
            <w:tcW w:w="96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76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2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244,358</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2,362</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3,240</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3,750</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11,336</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3,145</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1,935</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270,126</w:t>
            </w:r>
          </w:p>
        </w:tc>
        <w:tc>
          <w:tcPr>
            <w:tcW w:w="0" w:type="dxa"/>
            <w:vAlign w:val="bottom"/>
          </w:tcPr>
          <w:p>
            <w:pPr>
              <w:spacing w:after="0"/>
              <w:rPr>
                <w:sz w:val="1"/>
                <w:szCs w:val="1"/>
                <w:color w:val="auto"/>
              </w:rPr>
            </w:pPr>
          </w:p>
        </w:tc>
      </w:tr>
      <w:tr>
        <w:trPr>
          <w:trHeight w:val="193"/>
        </w:trPr>
        <w:tc>
          <w:tcPr>
            <w:tcW w:w="2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120" w:type="dxa"/>
            <w:vAlign w:val="bottom"/>
            <w:shd w:val="clear" w:color="auto" w:fill="CCEEFF"/>
          </w:tcPr>
          <w:p>
            <w:pPr>
              <w:ind w:left="120"/>
              <w:spacing w:after="0" w:line="205" w:lineRule="exact"/>
              <w:rPr>
                <w:sz w:val="20"/>
                <w:szCs w:val="20"/>
                <w:color w:val="auto"/>
              </w:rPr>
            </w:pPr>
            <w:r>
              <w:rPr>
                <w:rFonts w:ascii="Times New Roman" w:cs="Times New Roman" w:eastAsia="Times New Roman" w:hAnsi="Times New Roman"/>
                <w:sz w:val="16"/>
                <w:szCs w:val="16"/>
                <w:color w:val="auto"/>
              </w:rPr>
              <w:t xml:space="preserve">Cost of revenue </w:t>
            </w:r>
            <w:r>
              <w:rPr>
                <w:rFonts w:ascii="Times New Roman" w:cs="Times New Roman" w:eastAsia="Times New Roman" w:hAnsi="Times New Roman"/>
                <w:sz w:val="23"/>
                <w:szCs w:val="23"/>
                <w:color w:val="auto"/>
                <w:vertAlign w:val="superscript"/>
              </w:rPr>
              <w:t>(d)</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178,961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2,495</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10,706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202,569</w:t>
            </w:r>
          </w:p>
        </w:tc>
        <w:tc>
          <w:tcPr>
            <w:tcW w:w="0" w:type="dxa"/>
            <w:vAlign w:val="bottom"/>
          </w:tcPr>
          <w:p>
            <w:pPr>
              <w:spacing w:after="0"/>
              <w:rPr>
                <w:sz w:val="1"/>
                <w:szCs w:val="1"/>
                <w:color w:val="auto"/>
              </w:rPr>
            </w:pPr>
          </w:p>
        </w:tc>
      </w:tr>
      <w:tr>
        <w:trPr>
          <w:trHeight w:val="175"/>
        </w:trPr>
        <w:tc>
          <w:tcPr>
            <w:tcW w:w="212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Other operating expenses</w:t>
            </w:r>
          </w:p>
        </w:tc>
        <w:tc>
          <w:tcPr>
            <w:tcW w:w="1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13,295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6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6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6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7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13,295</w:t>
            </w:r>
          </w:p>
        </w:tc>
        <w:tc>
          <w:tcPr>
            <w:tcW w:w="0" w:type="dxa"/>
            <w:vAlign w:val="bottom"/>
          </w:tcPr>
          <w:p>
            <w:pPr>
              <w:spacing w:after="0"/>
              <w:rPr>
                <w:sz w:val="1"/>
                <w:szCs w:val="1"/>
                <w:color w:val="auto"/>
              </w:rPr>
            </w:pPr>
          </w:p>
        </w:tc>
      </w:tr>
      <w:tr>
        <w:trPr>
          <w:trHeight w:val="149"/>
        </w:trPr>
        <w:tc>
          <w:tcPr>
            <w:tcW w:w="21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(d)</w:t>
            </w: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12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Depreciation and</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120" w:type="dxa"/>
            <w:vAlign w:val="bottom"/>
            <w:shd w:val="clear" w:color="auto" w:fill="CCEEFF"/>
          </w:tcPr>
          <w:p>
            <w:pPr>
              <w:ind w:left="120"/>
              <w:spacing w:after="0" w:line="230" w:lineRule="exact"/>
              <w:rPr>
                <w:sz w:val="20"/>
                <w:szCs w:val="20"/>
                <w:color w:val="auto"/>
              </w:rPr>
            </w:pPr>
            <w:r>
              <w:rPr>
                <w:rFonts w:ascii="Times New Roman" w:cs="Times New Roman" w:eastAsia="Times New Roman" w:hAnsi="Times New Roman"/>
                <w:sz w:val="16"/>
                <w:szCs w:val="16"/>
                <w:color w:val="auto"/>
              </w:rPr>
              <w:t xml:space="preserve">amortization </w:t>
            </w:r>
            <w:r>
              <w:rPr>
                <w:rFonts w:ascii="Times New Roman" w:cs="Times New Roman" w:eastAsia="Times New Roman" w:hAnsi="Times New Roman"/>
                <w:sz w:val="24"/>
                <w:szCs w:val="24"/>
                <w:color w:val="auto"/>
                <w:vertAlign w:val="superscript"/>
              </w:rPr>
              <w:t>(e)</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2,259</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2,550</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6,555</w:t>
            </w:r>
          </w:p>
        </w:tc>
        <w:tc>
          <w:tcPr>
            <w:tcW w:w="0" w:type="dxa"/>
            <w:vAlign w:val="bottom"/>
          </w:tcPr>
          <w:p>
            <w:pPr>
              <w:spacing w:after="0"/>
              <w:rPr>
                <w:sz w:val="1"/>
                <w:szCs w:val="1"/>
                <w:color w:val="auto"/>
              </w:rPr>
            </w:pPr>
          </w:p>
        </w:tc>
      </w:tr>
      <w:tr>
        <w:trPr>
          <w:trHeight w:val="196"/>
        </w:trPr>
        <w:tc>
          <w:tcPr>
            <w:tcW w:w="21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expenses</w:t>
            </w:r>
          </w:p>
        </w:tc>
        <w:tc>
          <w:tcPr>
            <w:tcW w:w="1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192,740</w:t>
            </w:r>
          </w:p>
        </w:tc>
        <w:tc>
          <w:tcPr>
            <w:tcW w:w="1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5,832</w:t>
            </w:r>
          </w:p>
        </w:tc>
        <w:tc>
          <w:tcPr>
            <w:tcW w:w="12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2,977</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5,045</w:t>
            </w:r>
          </w:p>
        </w:tc>
        <w:tc>
          <w:tcPr>
            <w:tcW w:w="14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11,112</w:t>
            </w:r>
          </w:p>
        </w:tc>
        <w:tc>
          <w:tcPr>
            <w:tcW w:w="1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3,001</w:t>
            </w:r>
          </w:p>
        </w:tc>
        <w:tc>
          <w:tcPr>
            <w:tcW w:w="1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1,712</w:t>
            </w: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222,419</w:t>
            </w:r>
          </w:p>
        </w:tc>
        <w:tc>
          <w:tcPr>
            <w:tcW w:w="0" w:type="dxa"/>
            <w:vAlign w:val="bottom"/>
          </w:tcPr>
          <w:p>
            <w:pPr>
              <w:spacing w:after="0"/>
              <w:rPr>
                <w:sz w:val="1"/>
                <w:szCs w:val="1"/>
                <w:color w:val="auto"/>
              </w:rPr>
            </w:pPr>
          </w:p>
        </w:tc>
      </w:tr>
      <w:tr>
        <w:trPr>
          <w:trHeight w:val="169"/>
        </w:trPr>
        <w:tc>
          <w:tcPr>
            <w:tcW w:w="2120" w:type="dxa"/>
            <w:vAlign w:val="bottom"/>
            <w:shd w:val="clear" w:color="auto" w:fill="CCEEFF"/>
          </w:tcPr>
          <w:p>
            <w:pPr>
              <w:ind w:left="340"/>
              <w:spacing w:after="0" w:line="169" w:lineRule="exact"/>
              <w:rPr>
                <w:sz w:val="20"/>
                <w:szCs w:val="20"/>
                <w:color w:val="auto"/>
              </w:rPr>
            </w:pPr>
            <w:r>
              <w:rPr>
                <w:rFonts w:ascii="Times New Roman" w:cs="Times New Roman" w:eastAsia="Times New Roman" w:hAnsi="Times New Roman"/>
                <w:sz w:val="16"/>
                <w:szCs w:val="16"/>
                <w:color w:val="auto"/>
              </w:rPr>
              <w:t>Operating income</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(loss)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(3,470)</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(1,295)</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47,707</w:t>
            </w:r>
          </w:p>
        </w:tc>
        <w:tc>
          <w:tcPr>
            <w:tcW w:w="0" w:type="dxa"/>
            <w:vAlign w:val="bottom"/>
          </w:tcPr>
          <w:p>
            <w:pPr>
              <w:spacing w:after="0"/>
              <w:rPr>
                <w:sz w:val="1"/>
                <w:szCs w:val="1"/>
                <w:color w:val="auto"/>
              </w:rPr>
            </w:pPr>
          </w:p>
        </w:tc>
      </w:tr>
      <w:tr>
        <w:trPr>
          <w:trHeight w:val="190"/>
        </w:trPr>
        <w:tc>
          <w:tcPr>
            <w:tcW w:w="2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(expense) income:</w:t>
            </w: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Interest expense</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(2,081)</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(516)</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(1,297)</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(219)</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(4,216)</w:t>
            </w:r>
          </w:p>
        </w:tc>
        <w:tc>
          <w:tcPr>
            <w:tcW w:w="0" w:type="dxa"/>
            <w:vAlign w:val="bottom"/>
          </w:tcPr>
          <w:p>
            <w:pPr>
              <w:spacing w:after="0"/>
              <w:rPr>
                <w:sz w:val="1"/>
                <w:szCs w:val="1"/>
                <w:color w:val="auto"/>
              </w:rPr>
            </w:pPr>
          </w:p>
        </w:tc>
      </w:tr>
      <w:tr>
        <w:trPr>
          <w:trHeight w:val="189"/>
        </w:trPr>
        <w:tc>
          <w:tcPr>
            <w:tcW w:w="2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income (expense),</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(133)</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(705)</w:t>
            </w:r>
          </w:p>
        </w:tc>
        <w:tc>
          <w:tcPr>
            <w:tcW w:w="120" w:type="dxa"/>
            <w:vAlign w:val="bottom"/>
          </w:tcPr>
          <w:p>
            <w:pPr>
              <w:spacing w:after="0"/>
              <w:rPr>
                <w:sz w:val="18"/>
                <w:szCs w:val="18"/>
                <w:color w:val="auto"/>
              </w:rPr>
            </w:pPr>
          </w:p>
        </w:tc>
        <w:tc>
          <w:tcPr>
            <w:tcW w:w="660" w:type="dxa"/>
            <w:vAlign w:val="bottom"/>
            <w:gridSpan w:val="2"/>
          </w:tcPr>
          <w:p>
            <w:pPr>
              <w:ind w:left="180"/>
              <w:spacing w:after="0" w:line="217" w:lineRule="exact"/>
              <w:rPr>
                <w:sz w:val="20"/>
                <w:szCs w:val="20"/>
                <w:color w:val="auto"/>
              </w:rPr>
            </w:pPr>
            <w:r>
              <w:rPr>
                <w:rFonts w:ascii="Times New Roman" w:cs="Times New Roman" w:eastAsia="Times New Roman" w:hAnsi="Times New Roman"/>
                <w:sz w:val="16"/>
                <w:szCs w:val="16"/>
                <w:color w:val="auto"/>
                <w:w w:val="90"/>
              </w:rPr>
              <w:t>(208)</w:t>
            </w:r>
            <w:r>
              <w:rPr>
                <w:rFonts w:ascii="Times New Roman" w:cs="Times New Roman" w:eastAsia="Times New Roman" w:hAnsi="Times New Roman"/>
                <w:sz w:val="24"/>
                <w:szCs w:val="24"/>
                <w:color w:val="auto"/>
                <w:w w:val="90"/>
                <w:vertAlign w:val="subscript"/>
              </w:rPr>
              <w:t>(f)</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0" w:type="dxa"/>
            <w:vAlign w:val="bottom"/>
          </w:tcPr>
          <w:p>
            <w:pPr>
              <w:spacing w:after="0"/>
              <w:rPr>
                <w:sz w:val="1"/>
                <w:szCs w:val="1"/>
                <w:color w:val="auto"/>
              </w:rPr>
            </w:pPr>
          </w:p>
        </w:tc>
      </w:tr>
      <w:tr>
        <w:trPr>
          <w:trHeight w:val="169"/>
        </w:trPr>
        <w:tc>
          <w:tcPr>
            <w:tcW w:w="2120" w:type="dxa"/>
            <w:vAlign w:val="bottom"/>
            <w:tcBorders>
              <w:top w:val="single" w:sz="8" w:color="CCEEFF"/>
            </w:tcBorders>
            <w:shd w:val="clear" w:color="auto" w:fill="CCEEFF"/>
          </w:tcPr>
          <w:p>
            <w:pPr>
              <w:ind w:left="220"/>
              <w:spacing w:after="0" w:line="169" w:lineRule="exact"/>
              <w:rPr>
                <w:sz w:val="20"/>
                <w:szCs w:val="20"/>
                <w:color w:val="auto"/>
              </w:rPr>
            </w:pPr>
            <w:r>
              <w:rPr>
                <w:rFonts w:ascii="Times New Roman" w:cs="Times New Roman" w:eastAsia="Times New Roman" w:hAnsi="Times New Roman"/>
                <w:sz w:val="16"/>
                <w:szCs w:val="16"/>
                <w:color w:val="auto"/>
              </w:rPr>
              <w:t>Total other income</w:t>
            </w:r>
          </w:p>
        </w:tc>
        <w:tc>
          <w:tcPr>
            <w:tcW w:w="1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(expense), net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(2,214)</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(511)</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(2,002)</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(311)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(200)</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(4,847)</w:t>
            </w:r>
          </w:p>
        </w:tc>
        <w:tc>
          <w:tcPr>
            <w:tcW w:w="0" w:type="dxa"/>
            <w:vAlign w:val="bottom"/>
          </w:tcPr>
          <w:p>
            <w:pPr>
              <w:spacing w:after="0"/>
              <w:rPr>
                <w:sz w:val="1"/>
                <w:szCs w:val="1"/>
                <w:color w:val="auto"/>
              </w:rPr>
            </w:pPr>
          </w:p>
        </w:tc>
      </w:tr>
      <w:tr>
        <w:trPr>
          <w:trHeight w:val="196"/>
        </w:trPr>
        <w:tc>
          <w:tcPr>
            <w:tcW w:w="2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52,009</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(5,684)</w:t>
            </w:r>
          </w:p>
        </w:tc>
        <w:tc>
          <w:tcPr>
            <w:tcW w:w="1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(248)</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(3,297)</w:t>
            </w:r>
          </w:p>
        </w:tc>
        <w:tc>
          <w:tcPr>
            <w:tcW w:w="1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(87)</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(56)</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223</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42,860</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380" w:right="1359" w:hanging="330"/>
        <w:spacing w:after="0" w:line="269" w:lineRule="auto"/>
        <w:tabs>
          <w:tab w:leader="none" w:pos="3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Latitude Margaritaville Watersound JV completed 411 home sale transactions during the nine months ended September 30, 2025.</w:t>
      </w:r>
    </w:p>
    <w:p>
      <w:pPr>
        <w:ind w:left="380" w:hanging="330"/>
        <w:spacing w:after="0"/>
        <w:tabs>
          <w:tab w:leader="none" w:pos="3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community is under lease-up.</w:t>
      </w:r>
    </w:p>
    <w:p>
      <w:pPr>
        <w:spacing w:after="0" w:line="18" w:lineRule="exact"/>
        <w:rPr>
          <w:rFonts w:ascii="Times New Roman" w:cs="Times New Roman" w:eastAsia="Times New Roman" w:hAnsi="Times New Roman"/>
          <w:sz w:val="16"/>
          <w:szCs w:val="16"/>
          <w:color w:val="auto"/>
        </w:rPr>
      </w:pPr>
    </w:p>
    <w:p>
      <w:pPr>
        <w:ind w:left="380" w:hanging="330"/>
        <w:spacing w:after="0"/>
        <w:tabs>
          <w:tab w:leader="none" w:pos="3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Activity includes start-up, depreciation and interest expenses for the project.</w:t>
      </w:r>
    </w:p>
    <w:p>
      <w:pPr>
        <w:spacing w:after="0" w:line="18" w:lineRule="exact"/>
        <w:rPr>
          <w:rFonts w:ascii="Times New Roman" w:cs="Times New Roman" w:eastAsia="Times New Roman" w:hAnsi="Times New Roman"/>
          <w:sz w:val="16"/>
          <w:szCs w:val="16"/>
          <w:color w:val="auto"/>
        </w:rPr>
      </w:pPr>
    </w:p>
    <w:p>
      <w:pPr>
        <w:ind w:left="380" w:hanging="330"/>
        <w:spacing w:after="0"/>
        <w:tabs>
          <w:tab w:leader="none" w:pos="3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Excluding depreciation and amortization, shown separately above.</w:t>
      </w:r>
    </w:p>
    <w:p>
      <w:pPr>
        <w:spacing w:after="0" w:line="18" w:lineRule="exact"/>
        <w:rPr>
          <w:rFonts w:ascii="Times New Roman" w:cs="Times New Roman" w:eastAsia="Times New Roman" w:hAnsi="Times New Roman"/>
          <w:sz w:val="16"/>
          <w:szCs w:val="16"/>
          <w:color w:val="auto"/>
        </w:rPr>
      </w:pPr>
    </w:p>
    <w:p>
      <w:pPr>
        <w:ind w:left="380" w:hanging="330"/>
        <w:spacing w:after="0"/>
        <w:tabs>
          <w:tab w:leader="none" w:pos="3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Depreciation is a non-cash, GAAP expense, which is amortized over an asset’s useful life.</w:t>
      </w:r>
    </w:p>
    <w:p>
      <w:pPr>
        <w:spacing w:after="0" w:line="18" w:lineRule="exact"/>
        <w:rPr>
          <w:rFonts w:ascii="Times New Roman" w:cs="Times New Roman" w:eastAsia="Times New Roman" w:hAnsi="Times New Roman"/>
          <w:sz w:val="16"/>
          <w:szCs w:val="16"/>
          <w:color w:val="auto"/>
        </w:rPr>
      </w:pPr>
    </w:p>
    <w:p>
      <w:pPr>
        <w:ind w:left="380" w:hanging="330"/>
        <w:spacing w:after="0"/>
        <w:tabs>
          <w:tab w:leader="none" w:pos="3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changes in the fair value of derivatives related to interest rate swaps entered into by the Busy Bee JV.</w:t>
      </w:r>
    </w:p>
    <w:p>
      <w:pPr>
        <w:spacing w:after="0" w:line="2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Latitude Margaritaville Watersound JV</w:t>
      </w:r>
    </w:p>
    <w:p>
      <w:pPr>
        <w:spacing w:after="0" w:line="227" w:lineRule="exact"/>
        <w:rPr>
          <w:sz w:val="20"/>
          <w:szCs w:val="20"/>
          <w:color w:val="auto"/>
        </w:rPr>
      </w:pPr>
    </w:p>
    <w:p>
      <w:pPr>
        <w:ind w:left="60" w:right="119" w:firstLine="324"/>
        <w:spacing w:after="0" w:line="252" w:lineRule="auto"/>
        <w:rPr>
          <w:sz w:val="20"/>
          <w:szCs w:val="20"/>
          <w:color w:val="auto"/>
        </w:rPr>
      </w:pPr>
      <w:r>
        <w:rPr>
          <w:rFonts w:ascii="Times New Roman" w:cs="Times New Roman" w:eastAsia="Times New Roman" w:hAnsi="Times New Roman"/>
          <w:sz w:val="18"/>
          <w:szCs w:val="18"/>
          <w:color w:val="auto"/>
        </w:rPr>
        <w:t xml:space="preserve">LMWS, LLC (“Latitude Margaritaville Watersound JV”) was formed in 2019, when the Company entered into a JV agreement to develop a 55+ active adult residential community in Bay County, Florida. As of September 30, 2026, the Latitude Margaritaville Watersound JV had 222 homes under contract and has completed 2,426 home sale transactions of the total estimated 7,200 homes planned in the community. As of September 30, 2026 and December 31, 2025, the Company owned a 50.0% interest in the JV. During the nine months ended September 30, 2026 and 2025, the Company received $12.5 million and $24.2 million, respectively, of cash distributions from the JV. During the nine months ended September 30, 2026, the Company and JV partner each made capital contributions of $0.6 million related to operations of the JV. During the nine months ended September 30, 2025, the Company and JV partner did not make any capital contributions. The day-to-day activities of the JV are being managed through a board of managers, with each JV partner having equal voting rights. The Company has determined that Latitude Margaritaville Watersound JV is a VIE, but that the Company is not the primary beneficiary since it does not have the power to direct the activities that most significantly impact the economic performance of the JV. The Company’s investment in the Latitude Margaritaville Watersound JV is accounted for using the equity method. See Note 17.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for additional information related to the guaranty by the Company. See Note 18.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xml:space="preserve"> for additional information.</w:t>
      </w:r>
    </w:p>
    <w:p>
      <w:pPr>
        <w:spacing w:after="0" w:line="197" w:lineRule="exact"/>
        <w:rPr>
          <w:sz w:val="20"/>
          <w:szCs w:val="20"/>
          <w:color w:val="auto"/>
        </w:rPr>
      </w:pPr>
    </w:p>
    <w:p>
      <w:pPr>
        <w:ind w:left="60" w:right="299" w:firstLine="324"/>
        <w:spacing w:after="0" w:line="271" w:lineRule="auto"/>
        <w:rPr>
          <w:sz w:val="20"/>
          <w:szCs w:val="20"/>
          <w:color w:val="auto"/>
        </w:rPr>
      </w:pPr>
      <w:r>
        <w:rPr>
          <w:rFonts w:ascii="Times New Roman" w:cs="Times New Roman" w:eastAsia="Times New Roman" w:hAnsi="Times New Roman"/>
          <w:sz w:val="17"/>
          <w:szCs w:val="17"/>
          <w:color w:val="auto"/>
        </w:rPr>
        <w:t>In September 2026, the Company sold an additional 3,557 acres of land, located in the West Bay Creek Detailed Specific Area Plan (“DSAP”), to the Latitude Margaritaville Watersound JV with a contractual value of $50.4 million, which will be paid to the Company at an average of $14,400, as each home on the land is sold by the JV. The additional land is estimated to add approximately 3,500 residential homes to the Latitude Margaritaville Watersound community, which will be developed in smaller increments of discrete neighborhoods. The community, previously planned for 3,700 residential homes, is now expected to increase to approximately 7,200 residential homes. The Company determined that the sale represents the sale of goods to a customer that are an output of the Company’s ordinary activities, which include real estate sales, and therefore would be recognized in accordance with ASC Topic 606, Revenue from Contracts with Customers (“Topic 606”), in the Company’s revenue and cost of revenue. The initial net present value of the additional</w:t>
      </w:r>
    </w:p>
    <w:p>
      <w:pPr>
        <w:sectPr>
          <w:pgSz w:w="11900" w:h="16838" w:orient="portrait"/>
          <w:cols w:equalWidth="0" w:num="1">
            <w:col w:w="9019"/>
          </w:cols>
          <w:pgMar w:left="1440" w:top="513" w:right="1440" w:bottom="1440" w:gutter="0" w:footer="0" w:header="0"/>
        </w:sect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 xml:space="preserve">land sale was $31.4 million, with $9.6 million cost of revenue, and is included within investment in unconsolidated joint ventures on the condensed consolidated balance sheets and real estate revenue and cost of real estate revenue on the condensed consolidated statements of income. The initial net present value of the land sale was based on the Company’s best estimate of the prevailing market rate for the source of credit using an imputed interest rate of 8.0% and timing of home sales. The Company also eliminated intra-entity profit, based on its ownership interest, of $10.9 million in investment in unconsolidated joint ventures on the condensed consolidated balance sheets and equity in (loss) income from unconsolidated joint ventures on the condensed consolidated statements of income, a pro-rata portion of which will be recognized as each home on the land is sold by the JV. See Note 15. </w:t>
      </w:r>
      <w:r>
        <w:rPr>
          <w:rFonts w:ascii="Times New Roman" w:cs="Times New Roman" w:eastAsia="Times New Roman" w:hAnsi="Times New Roman"/>
          <w:sz w:val="18"/>
          <w:szCs w:val="18"/>
          <w:i w:val="1"/>
          <w:iCs w:val="1"/>
          <w:color w:val="auto"/>
        </w:rPr>
        <w:t>Other (Expense) Income, Net</w:t>
      </w:r>
      <w:r>
        <w:rPr>
          <w:rFonts w:ascii="Times New Roman" w:cs="Times New Roman" w:eastAsia="Times New Roman" w:hAnsi="Times New Roman"/>
          <w:sz w:val="18"/>
          <w:szCs w:val="18"/>
          <w:color w:val="auto"/>
        </w:rPr>
        <w:t xml:space="preserve"> for additional information.</w:t>
      </w:r>
    </w:p>
    <w:p>
      <w:pPr>
        <w:spacing w:after="0" w:line="188" w:lineRule="exact"/>
        <w:rPr>
          <w:sz w:val="20"/>
          <w:szCs w:val="20"/>
          <w:color w:val="auto"/>
        </w:rPr>
      </w:pPr>
    </w:p>
    <w:p>
      <w:pPr>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In December 2025, the Company sold an additional 34 acres of land to the Latitude Margaritaville Watersound JV with a contractual value of $1.2 million and initial net present value of $0.9 million, which will be paid to the Company as each home on the land is sold by the JV. The Company also eliminated intra-entity profit, based on its ownership interest, of $0.5 million, included in investment in unconsolidated joint ventures on the condensed consolidated balance sheets as of both September 30, 2026 and December 31, 2025, a pro-rata portion of which will be recognized as each home on the land is sold by the JV.</w:t>
      </w:r>
    </w:p>
    <w:p>
      <w:pPr>
        <w:spacing w:after="0" w:line="187"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As of September 30, 2026 and December 31, 2025, the Company’s investment in the unconsolidated Latitude Margaritaville Watersound JV was $75.5 million and $51.6 million, respectively, which includes the net present value of the land, cash contributions, additional completed infrastructure improvements and equity in income, less distributions and intra-entity profit elimination of the additional land sales. As of September 30, 2026, the Company completed $8.4 million of the $9.2 million total agreed upon infrastructure improvements. The Company’s unimproved initial land contribution and agreed upon infrastructure improvements are being distributed at an average of $10,000 per home, as each home on the initial land is sold by the JV.</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Watersound Fountains Independent Living JV</w:t>
      </w:r>
    </w:p>
    <w:p>
      <w:pPr>
        <w:spacing w:after="0" w:line="227"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 xml:space="preserve">WOSL, LLC (“Watersound Fountains Independent Living JV”) was formed in 2021. The Company entered into a JV agreement to develop and manage a 148-unit independent senior living community located near the Watersound Origins residential community. As of September 30, 2026 and December 31, 2025, the Company owned a 53.8% interest in the JV. During the nine months ended September 30, 2026 and 2025, the Company made capital contributions of $1.7 million and $2.9 million, respectively, and each member also made capital contributions based on their pro-rata ownership interest, related to operations of the JV. The Company’s partner is responsible for the day-to-day activities of the JV. The Company has determined that Watersound Fountains Independent Living JV is a VIE, but that the Company is not the primary beneficiary since it does not have the power to direct the activities that most significantly impact the economic performance of the JV. The Company’s investment in Watersound Fountains Independent Living JV is accounted for using the equity method. See Note 17.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for additional information related to debt guaranteed by the Company.</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Pier Park TPS JV</w:t>
      </w:r>
    </w:p>
    <w:p>
      <w:pPr>
        <w:spacing w:after="0" w:line="227"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 xml:space="preserve">Pier Park TPS, LLC (“Pier Park TPS JV”) was formed in 2018. The Company entered into a JV agreement to develop and operate a 124-room hotel in Panama City Beach, Florida. As of September 30, 2026 and December 31, 2025, the Company owned a 50.0% interest in the JV. During the nine months ended September 30, 2026, the Company and JV partner each made capital contributions of $1.1 million related to financing and operations of the JV. During the nine months ended September 30, 2025, the Company and JV partner did not make any capital contributions to the JV. The Company’s partner is responsible for the day-to-day activities of the JV. The Company has determined that Pier Park TPS JV is a VIE, but that the Company is not the primary beneficiary since it does not have the power to direct the activities that most significantly impact the economic performance of the JV. The Company’s investment in Pier Park TPS JV is accounted for using the equity method. See Note 17.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for additional information related to debt guaranteed by the Company.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Pier Park RI JV</w:t>
      </w:r>
    </w:p>
    <w:p>
      <w:pPr>
        <w:spacing w:after="0" w:line="227" w:lineRule="exact"/>
        <w:rPr>
          <w:sz w:val="20"/>
          <w:szCs w:val="20"/>
          <w:color w:val="auto"/>
        </w:rPr>
      </w:pPr>
    </w:p>
    <w:p>
      <w:pPr>
        <w:ind w:left="60" w:right="99" w:firstLine="324"/>
        <w:spacing w:after="0" w:line="272" w:lineRule="auto"/>
        <w:rPr>
          <w:sz w:val="20"/>
          <w:szCs w:val="20"/>
          <w:color w:val="auto"/>
        </w:rPr>
      </w:pPr>
      <w:r>
        <w:rPr>
          <w:rFonts w:ascii="Times New Roman" w:cs="Times New Roman" w:eastAsia="Times New Roman" w:hAnsi="Times New Roman"/>
          <w:sz w:val="17"/>
          <w:szCs w:val="17"/>
          <w:color w:val="auto"/>
        </w:rPr>
        <w:t>Pier Park RI, LLC (“Pier Park RI JV”) was formed in 2022. The Company entered into a JV agreement to develop and operate a 121-room hotel in Panama City Beach, Florida. As of September 30, 2026 and December 31, 2025, the Company owned a 50.0% interest in the JV. During the nine months ended September 30, 2026, the Company and JV partner each made capital contributions of $0.1 million related to operations of the JV. During the nine months ended September 30, 2025, the Company and JV partner did not make any capital contributions to the JV. The Company’s partner is responsible for the day-to-day activities of the JV. The Company has determined that Pier Park RI JV is a VIE, but that the Company is not the primary beneficiary since it does not have the power to direct the activities that most significantly impact the economic performance of the JV. The Company’s investment in Pier Park RI JV is accounted for using the equity method.</w:t>
      </w:r>
    </w:p>
    <w:p>
      <w:pPr>
        <w:spacing w:after="0" w:line="172"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In 2025, the JV refinanced into a $16.2 million loan (the “Pier Park RI JV Loan”). The Pier Park RI JV Loan bears interest at the Secured Overnight Financing Rate (“SOFR”) plus 2.1%, with a floor of 3.1%. The loan requires interest only payments through November 2026 and monthly payments of principal and interest thereafter, with a final balloon payment at maturity in December 2030. The loan is secured by real property and certain other security interests. The Company’s JV partner is the sole guarantor and receives a fee related to the guarantee from the Company based on the Company’s ownership percentage. As of both September 30, 2026 and December 31, 2025, $16.2 million was outstanding on the Pier Park RI JV Loan.</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Busy Bee JV</w:t>
      </w:r>
    </w:p>
    <w:p>
      <w:pPr>
        <w:spacing w:after="0" w:line="227"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SJBB, LLC (“Busy Bee JV”) was formed in 2019, when the Company entered into a JV agreement to develop and manage a Busy Bee branded fuel station and convenience store, which includes a Starbucks, in Panama City Beach, Florida. As of September 30, 2026 and December 31, 2025, the Company owned a 50.0% interest in the JV. During the nine months ended September 30, 2026, the Company and JV partner each received $0.2 million of cash distributions from the JV. During the nine months ended September 30, 2025, the Company and JV partner did not receive any cash distributions from the JV. The Company’s partner is responsible for the day-to-day activities of the JV. The Company has determined that Busy Bee JV is a VIE, but that the Company is not the primary beneficiary since it does not have the power to direct the activities that most significantly impact the economic performance of the JV. The Company’s investment in the Busy Bee JV is accounted for using the equity method.</w:t>
      </w:r>
    </w:p>
    <w:p>
      <w:pPr>
        <w:spacing w:after="0" w:line="188"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In 2019, the JV entered into a $5.4 million construction loan (the “Busy Bee JV Construction Loan”) and a $1.2 million equipment loan (the “Busy Bee JV Equipment Loan”). The Busy Bee JV Construction Loan and the Busy Bee JV Equipment Loan bear interest at SOFR plus 1.6%. The Busy Bee JV Construction Loan provides for monthly principal and interest payments with a final balloon payment at maturity in November 2035. The Busy Bee JV Equipment Loan provides for monthly principal and interest payments through maturity in November 2027. The loans are secured by real and personal property and certain other security interests. The Company’s JV partner is the sole guarantor and receives a fee related to the guarantee from the Company based on the Company’s ownership percentage. The Busy Bee JV entered into an interest rate swap to hedge cash flows tied to changes in the underlying floating interest rate tied to SOFR for the Busy Bee JV Construction Loan and the Busy Bee JV Equipment Loan. The Busy Bee JV Construction Loan interest rate swap matures in November 2035 and fixed the variable rate debt, initially at $5.4 million amortizing to $2.8 million at swap maturity, to a rate of 2.7%. The Busy Bee JV Equipment Loan interest rate swap matures in November 2027 and fixed the variable rate debt, initially at $1.2 million to maturity, to a rate of 2.1%. As of September 30, 2026 and December 31, 2025, $4.5 million and $4.7 million, respectively, was outstanding on the Busy Bee JV Construction Loan. As of</w:t>
      </w:r>
    </w:p>
    <w:p>
      <w:pPr>
        <w:spacing w:after="0" w:line="1" w:lineRule="exact"/>
        <w:rPr>
          <w:sz w:val="20"/>
          <w:szCs w:val="20"/>
          <w:color w:val="auto"/>
        </w:rPr>
      </w:pPr>
    </w:p>
    <w:p>
      <w:pPr>
        <w:ind w:left="60" w:right="139"/>
        <w:spacing w:after="0" w:line="260" w:lineRule="auto"/>
        <w:rPr>
          <w:sz w:val="20"/>
          <w:szCs w:val="20"/>
          <w:color w:val="auto"/>
        </w:rPr>
      </w:pPr>
      <w:r>
        <w:rPr>
          <w:rFonts w:ascii="Times New Roman" w:cs="Times New Roman" w:eastAsia="Times New Roman" w:hAnsi="Times New Roman"/>
          <w:sz w:val="18"/>
          <w:szCs w:val="18"/>
          <w:color w:val="auto"/>
        </w:rPr>
        <w:t>September 30, 2026 and December 31, 2025, $0.2 million and $0.4 million, respectively, was outstanding on the Busy Bee JV Equipment Loan.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Electric Cart Watersound JV</w:t>
      </w:r>
    </w:p>
    <w:p>
      <w:pPr>
        <w:spacing w:after="0" w:line="227"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SJECC, LLC (“Electric Cart Watersound JV”) was formed in 2022, when the Company entered into a JV agreement to develop, manage and operate a golf cart and low speed vehicle “LSV” business at the Watersound West Bay Center adjacent to the Latitude Margaritaville Watersound residential community in Bay County, Florida. As of September 30, 2026 and December 31, 2025, the Company owned a 51.0% interest in the JV. The Company’s JV</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partner manages the day-to-day operations of the business. The Company has determined Electric Cart Watersound JV is a VIE, but that the Company is not the primary beneficiary since it does not have the power to direct the activities that most significantly impact the economic performance of the JV. The Company’s investment in Electric Cart Watersound JV is accounted for using the equity method.</w:t>
      </w:r>
    </w:p>
    <w:p>
      <w:pPr>
        <w:spacing w:after="0" w:line="180"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 xml:space="preserve">As of September 30, 2026 and December 31, 2025, the Electric Cart Watersound JV had $2.7 million and $2.2 million, respectively, of floorplan line of credit facilities to finance its golf cart and LSV inventory, which are secured by the JV. Borrowings under the line of credit facility bear interest at various rates based on the number of days outstanding after an interest free period ranging from two to six months. As of September 30, 2026 and December 31, 2025, the JV had an outstanding principal balance of $0.5 million and $0.2 million, respectively, on these line of credit facilities. See Note 17. </w:t>
      </w:r>
      <w:r>
        <w:rPr>
          <w:rFonts w:ascii="Times New Roman" w:cs="Times New Roman" w:eastAsia="Times New Roman" w:hAnsi="Times New Roman"/>
          <w:sz w:val="18"/>
          <w:szCs w:val="18"/>
          <w:i w:val="1"/>
          <w:iCs w:val="1"/>
          <w:color w:val="auto"/>
        </w:rPr>
        <w:t xml:space="preserve">Commitments and Contingencies </w:t>
      </w:r>
      <w:r>
        <w:rPr>
          <w:rFonts w:ascii="Times New Roman" w:cs="Times New Roman" w:eastAsia="Times New Roman" w:hAnsi="Times New Roman"/>
          <w:sz w:val="18"/>
          <w:szCs w:val="18"/>
          <w:color w:val="auto"/>
        </w:rPr>
        <w:t>for additional information related to debt guaranteed by the Company.</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Watersound Management JV</w:t>
      </w:r>
    </w:p>
    <w:p>
      <w:pPr>
        <w:spacing w:after="0" w:line="227"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 xml:space="preserve">Watersound Management, LLC was formed in 2021, when the Company entered into a JV agreement to lease, manage and operate multi-family housing developments for which the JV is the exclusive renting and management agent. All activity of Watersound Management JV is related to multi-family housing developments owned by the Company or by consolidated JVs of the Company. As of September 30, 2026 and December 31, 2025, the Company owned a 50.0% interest in the JV. During each of the nine months ended September 30, 2026 and 2025, the Company and JV partner each received $0.1 million of cash distributions from the JV. The day-to-day activities of the JV are being managed through a board of managers, with each JV partner having equal voting rights. The Company has determined that Watersound Management JV is a voting interest entity, but that the Company does not have a majority voting interest. The Company’s investment in Watersound Management JV is accounted for using the equity method. See Note 18. </w:t>
      </w:r>
      <w:r>
        <w:rPr>
          <w:rFonts w:ascii="Times New Roman" w:cs="Times New Roman" w:eastAsia="Times New Roman" w:hAnsi="Times New Roman"/>
          <w:sz w:val="18"/>
          <w:szCs w:val="18"/>
          <w:i w:val="1"/>
          <w:iCs w:val="1"/>
          <w:color w:val="auto"/>
        </w:rPr>
        <w:t>Related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Transactions </w:t>
      </w:r>
      <w:r>
        <w:rPr>
          <w:rFonts w:ascii="Times New Roman" w:cs="Times New Roman" w:eastAsia="Times New Roman" w:hAnsi="Times New Roman"/>
          <w:sz w:val="18"/>
          <w:szCs w:val="18"/>
          <w:color w:val="auto"/>
        </w:rPr>
        <w:t>for additional information.</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Financial Instruments and Fair Value Measurements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financial instruments measured at fair value on a recurring basis are as follows: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600" w:type="dxa"/>
            <w:vAlign w:val="bottom"/>
          </w:tcPr>
          <w:p>
            <w:pPr>
              <w:spacing w:after="0"/>
              <w:rPr>
                <w:sz w:val="15"/>
                <w:szCs w:val="15"/>
                <w:color w:val="auto"/>
              </w:rPr>
            </w:pPr>
          </w:p>
        </w:tc>
        <w:tc>
          <w:tcPr>
            <w:tcW w:w="2100" w:type="dxa"/>
            <w:vAlign w:val="bottom"/>
            <w:vMerge w:val="restart"/>
          </w:tcPr>
          <w:p>
            <w:pPr>
              <w:ind w:left="20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6"/>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00" w:type="dxa"/>
            <w:vAlign w:val="bottom"/>
          </w:tcPr>
          <w:p>
            <w:pPr>
              <w:spacing w:after="0"/>
              <w:rPr>
                <w:sz w:val="10"/>
                <w:szCs w:val="10"/>
                <w:color w:val="auto"/>
              </w:rPr>
            </w:pPr>
          </w:p>
        </w:tc>
        <w:tc>
          <w:tcPr>
            <w:tcW w:w="21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 w:type="dxa"/>
            <w:vAlign w:val="bottom"/>
          </w:tcPr>
          <w:p>
            <w:pPr>
              <w:spacing w:after="0"/>
              <w:rPr>
                <w:sz w:val="10"/>
                <w:szCs w:val="10"/>
                <w:color w:val="auto"/>
              </w:rPr>
            </w:pPr>
          </w:p>
        </w:tc>
        <w:tc>
          <w:tcPr>
            <w:tcW w:w="24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860" w:type="dxa"/>
            <w:vAlign w:val="bottom"/>
            <w:gridSpan w:val="4"/>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Total Fair</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6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3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2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Money market funds</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U.S. Treasury Bills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63,825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$ 65,773</w:t>
            </w:r>
          </w:p>
        </w:tc>
        <w:tc>
          <w:tcPr>
            <w:tcW w:w="4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6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$ 65,773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6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600" w:type="dxa"/>
            <w:vAlign w:val="bottom"/>
          </w:tcPr>
          <w:p>
            <w:pPr>
              <w:spacing w:after="0"/>
              <w:rPr>
                <w:sz w:val="10"/>
                <w:szCs w:val="10"/>
                <w:color w:val="auto"/>
              </w:rPr>
            </w:pPr>
          </w:p>
        </w:tc>
        <w:tc>
          <w:tcPr>
            <w:tcW w:w="220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 w:type="dxa"/>
            <w:vAlign w:val="bottom"/>
          </w:tcPr>
          <w:p>
            <w:pPr>
              <w:spacing w:after="0"/>
              <w:rPr>
                <w:sz w:val="10"/>
                <w:szCs w:val="10"/>
                <w:color w:val="auto"/>
              </w:rPr>
            </w:pPr>
          </w:p>
        </w:tc>
        <w:tc>
          <w:tcPr>
            <w:tcW w:w="24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860" w:type="dxa"/>
            <w:vAlign w:val="bottom"/>
            <w:gridSpan w:val="4"/>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Total Fair</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6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3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2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Money market funds</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5,108</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U.S. Treasury Bills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58,896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6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$ 64,004</w:t>
            </w:r>
          </w:p>
        </w:tc>
        <w:tc>
          <w:tcPr>
            <w:tcW w:w="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6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7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$ 64,004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299" w:firstLine="324"/>
        <w:spacing w:after="0" w:line="261" w:lineRule="auto"/>
        <w:rPr>
          <w:sz w:val="20"/>
          <w:szCs w:val="20"/>
          <w:color w:val="auto"/>
        </w:rPr>
      </w:pPr>
      <w:r>
        <w:rPr>
          <w:rFonts w:ascii="Times New Roman" w:cs="Times New Roman" w:eastAsia="Times New Roman" w:hAnsi="Times New Roman"/>
          <w:sz w:val="18"/>
          <w:szCs w:val="18"/>
          <w:color w:val="auto"/>
        </w:rPr>
        <w:t>Money market funds and U.S. Treasury Bills are measured based on quoted market prices in an active market and categorized within Level 1 of the fair value hierarchy. Money market funds and short-term U.S. Treasury Bills with a maturity date of 90 days or less from the date of purchase are classified as cash equivalents in the Company’s condensed consolidated balance sheets.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159" w:firstLine="324"/>
        <w:spacing w:after="0" w:line="282" w:lineRule="auto"/>
        <w:rPr>
          <w:sz w:val="20"/>
          <w:szCs w:val="20"/>
          <w:color w:val="auto"/>
        </w:rPr>
      </w:pPr>
      <w:r>
        <w:rPr>
          <w:rFonts w:ascii="Times New Roman" w:cs="Times New Roman" w:eastAsia="Times New Roman" w:hAnsi="Times New Roman"/>
          <w:sz w:val="18"/>
          <w:szCs w:val="18"/>
          <w:color w:val="auto"/>
        </w:rPr>
        <w:t>Assets and liabilities measured at fair value on a recurring basis related to interest rate swap agreements designated as cash flow hedges are as follows:</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Fixed</w:t>
            </w:r>
          </w:p>
        </w:tc>
        <w:tc>
          <w:tcPr>
            <w:tcW w:w="120" w:type="dxa"/>
            <w:vAlign w:val="bottom"/>
          </w:tcPr>
          <w:p>
            <w:pPr>
              <w:spacing w:after="0"/>
              <w:rPr>
                <w:sz w:val="12"/>
                <w:szCs w:val="12"/>
                <w:color w:val="auto"/>
              </w:rPr>
            </w:pPr>
          </w:p>
        </w:tc>
        <w:tc>
          <w:tcPr>
            <w:tcW w:w="104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Notional</w:t>
            </w: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Fair</w:t>
            </w: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Location in</w:t>
            </w:r>
          </w:p>
        </w:tc>
        <w:tc>
          <w:tcPr>
            <w:tcW w:w="0" w:type="dxa"/>
            <w:vAlign w:val="bottom"/>
          </w:tcPr>
          <w:p>
            <w:pPr>
              <w:spacing w:after="0"/>
              <w:rPr>
                <w:sz w:val="1"/>
                <w:szCs w:val="1"/>
                <w:color w:val="auto"/>
              </w:rPr>
            </w:pPr>
          </w:p>
        </w:tc>
      </w:tr>
      <w:tr>
        <w:trPr>
          <w:trHeight w:val="155"/>
        </w:trPr>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3"/>
              </w:rPr>
              <w:t>Effective</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Maturity</w:t>
            </w:r>
          </w:p>
        </w:tc>
        <w:tc>
          <w:tcPr>
            <w:tcW w:w="5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120" w:type="dxa"/>
            <w:vAlign w:val="bottom"/>
          </w:tcPr>
          <w:p>
            <w:pPr>
              <w:spacing w:after="0"/>
              <w:rPr>
                <w:sz w:val="13"/>
                <w:szCs w:val="13"/>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Amount as of</w:t>
            </w:r>
          </w:p>
        </w:tc>
        <w:tc>
          <w:tcPr>
            <w:tcW w:w="200" w:type="dxa"/>
            <w:vAlign w:val="bottom"/>
          </w:tcPr>
          <w:p>
            <w:pPr>
              <w:spacing w:after="0"/>
              <w:rPr>
                <w:sz w:val="13"/>
                <w:szCs w:val="13"/>
                <w:color w:val="auto"/>
              </w:rPr>
            </w:pPr>
          </w:p>
        </w:tc>
        <w:tc>
          <w:tcPr>
            <w:tcW w:w="2040" w:type="dxa"/>
            <w:vAlign w:val="bottom"/>
            <w:gridSpan w:val="5"/>
          </w:tcPr>
          <w:p>
            <w:pPr>
              <w:ind w:left="140"/>
              <w:spacing w:after="0"/>
              <w:rPr>
                <w:sz w:val="20"/>
                <w:szCs w:val="20"/>
                <w:color w:val="auto"/>
              </w:rPr>
            </w:pPr>
            <w:r>
              <w:rPr>
                <w:rFonts w:ascii="Times New Roman" w:cs="Times New Roman" w:eastAsia="Times New Roman" w:hAnsi="Times New Roman"/>
                <w:sz w:val="13"/>
                <w:szCs w:val="13"/>
                <w:b w:val="1"/>
                <w:bCs w:val="1"/>
                <w:color w:val="auto"/>
              </w:rPr>
              <w:t>Derivative Asset Fair Value</w:t>
            </w:r>
          </w:p>
        </w:tc>
        <w:tc>
          <w:tcPr>
            <w:tcW w:w="4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Consolidated</w:t>
            </w:r>
          </w:p>
        </w:tc>
        <w:tc>
          <w:tcPr>
            <w:tcW w:w="0" w:type="dxa"/>
            <w:vAlign w:val="bottom"/>
          </w:tcPr>
          <w:p>
            <w:pPr>
              <w:spacing w:after="0"/>
              <w:rPr>
                <w:sz w:val="1"/>
                <w:szCs w:val="1"/>
                <w:color w:val="auto"/>
              </w:rPr>
            </w:pPr>
          </w:p>
        </w:tc>
      </w:tr>
      <w:tr>
        <w:trPr>
          <w:trHeight w:val="128"/>
        </w:trPr>
        <w:tc>
          <w:tcPr>
            <w:tcW w:w="1420" w:type="dxa"/>
            <w:vAlign w:val="bottom"/>
          </w:tcPr>
          <w:p>
            <w:pPr>
              <w:ind w:left="400"/>
              <w:spacing w:after="0" w:line="129" w:lineRule="exact"/>
              <w:rPr>
                <w:sz w:val="20"/>
                <w:szCs w:val="20"/>
                <w:color w:val="auto"/>
              </w:rPr>
            </w:pPr>
            <w:r>
              <w:rPr>
                <w:rFonts w:ascii="Times New Roman" w:cs="Times New Roman" w:eastAsia="Times New Roman" w:hAnsi="Times New Roman"/>
                <w:sz w:val="13"/>
                <w:szCs w:val="13"/>
                <w:b w:val="1"/>
                <w:bCs w:val="1"/>
                <w:color w:val="auto"/>
              </w:rPr>
              <w:t>Description</w:t>
            </w:r>
          </w:p>
        </w:tc>
        <w:tc>
          <w:tcPr>
            <w:tcW w:w="120" w:type="dxa"/>
            <w:vAlign w:val="bottom"/>
          </w:tcPr>
          <w:p>
            <w:pPr>
              <w:spacing w:after="0"/>
              <w:rPr>
                <w:sz w:val="11"/>
                <w:szCs w:val="11"/>
                <w:color w:val="auto"/>
              </w:rPr>
            </w:pPr>
          </w:p>
        </w:tc>
        <w:tc>
          <w:tcPr>
            <w:tcW w:w="98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20" w:type="dxa"/>
            <w:vAlign w:val="bottom"/>
          </w:tcPr>
          <w:p>
            <w:pPr>
              <w:spacing w:after="0"/>
              <w:rPr>
                <w:sz w:val="11"/>
                <w:szCs w:val="11"/>
                <w:color w:val="auto"/>
              </w:rPr>
            </w:pPr>
          </w:p>
        </w:tc>
        <w:tc>
          <w:tcPr>
            <w:tcW w:w="8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2"/>
              </w:rPr>
              <w:t>Date</w:t>
            </w:r>
          </w:p>
        </w:tc>
        <w:tc>
          <w:tcPr>
            <w:tcW w:w="100" w:type="dxa"/>
            <w:vAlign w:val="bottom"/>
          </w:tcPr>
          <w:p>
            <w:pPr>
              <w:spacing w:after="0"/>
              <w:rPr>
                <w:sz w:val="11"/>
                <w:szCs w:val="11"/>
                <w:color w:val="auto"/>
              </w:rPr>
            </w:pPr>
          </w:p>
        </w:tc>
        <w:tc>
          <w:tcPr>
            <w:tcW w:w="48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2"/>
              </w:rPr>
              <w:t>Rate</w:t>
            </w:r>
          </w:p>
        </w:tc>
        <w:tc>
          <w:tcPr>
            <w:tcW w:w="100" w:type="dxa"/>
            <w:vAlign w:val="bottom"/>
          </w:tcPr>
          <w:p>
            <w:pPr>
              <w:spacing w:after="0"/>
              <w:rPr>
                <w:sz w:val="11"/>
                <w:szCs w:val="11"/>
                <w:color w:val="auto"/>
              </w:rPr>
            </w:pPr>
          </w:p>
        </w:tc>
        <w:tc>
          <w:tcPr>
            <w:tcW w:w="1060" w:type="dxa"/>
            <w:vAlign w:val="bottom"/>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w w:val="95"/>
              </w:rPr>
              <w:t>September 30, 2026</w:t>
            </w:r>
          </w:p>
        </w:tc>
        <w:tc>
          <w:tcPr>
            <w:tcW w:w="100" w:type="dxa"/>
            <w:vAlign w:val="bottom"/>
          </w:tcPr>
          <w:p>
            <w:pPr>
              <w:spacing w:after="0"/>
              <w:rPr>
                <w:sz w:val="11"/>
                <w:szCs w:val="11"/>
                <w:color w:val="auto"/>
              </w:rPr>
            </w:pPr>
          </w:p>
        </w:tc>
        <w:tc>
          <w:tcPr>
            <w:tcW w:w="2140" w:type="dxa"/>
            <w:vAlign w:val="bottom"/>
            <w:tcBorders>
              <w:top w:val="single" w:sz="8" w:color="auto"/>
            </w:tcBorders>
            <w:gridSpan w:val="5"/>
          </w:tcPr>
          <w:p>
            <w:pPr>
              <w:spacing w:after="0" w:line="129" w:lineRule="exact"/>
              <w:rPr>
                <w:sz w:val="20"/>
                <w:szCs w:val="20"/>
                <w:color w:val="auto"/>
              </w:rPr>
            </w:pPr>
            <w:r>
              <w:rPr>
                <w:rFonts w:ascii="Times New Roman" w:cs="Times New Roman" w:eastAsia="Times New Roman" w:hAnsi="Times New Roman"/>
                <w:sz w:val="13"/>
                <w:szCs w:val="13"/>
                <w:b w:val="1"/>
                <w:bCs w:val="1"/>
                <w:color w:val="auto"/>
                <w:w w:val="97"/>
              </w:rPr>
              <w:t>September 30, 2026 December 31, 2025</w:t>
            </w:r>
          </w:p>
        </w:tc>
        <w:tc>
          <w:tcPr>
            <w:tcW w:w="100" w:type="dxa"/>
            <w:vAlign w:val="bottom"/>
          </w:tcPr>
          <w:p>
            <w:pPr>
              <w:spacing w:after="0"/>
              <w:rPr>
                <w:sz w:val="11"/>
                <w:szCs w:val="11"/>
                <w:color w:val="auto"/>
              </w:rPr>
            </w:pPr>
          </w:p>
        </w:tc>
        <w:tc>
          <w:tcPr>
            <w:tcW w:w="46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3"/>
                <w:szCs w:val="13"/>
                <w:b w:val="1"/>
                <w:bCs w:val="1"/>
                <w:color w:val="auto"/>
                <w:w w:val="92"/>
              </w:rPr>
              <w:t>Level</w:t>
            </w:r>
          </w:p>
        </w:tc>
        <w:tc>
          <w:tcPr>
            <w:tcW w:w="98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6"/>
              </w:rPr>
              <w:t>Balance Sheets</w:t>
            </w:r>
          </w:p>
        </w:tc>
        <w:tc>
          <w:tcPr>
            <w:tcW w:w="0" w:type="dxa"/>
            <w:vAlign w:val="bottom"/>
          </w:tcPr>
          <w:p>
            <w:pPr>
              <w:spacing w:after="0"/>
              <w:rPr>
                <w:sz w:val="1"/>
                <w:szCs w:val="1"/>
                <w:color w:val="auto"/>
              </w:rPr>
            </w:pPr>
          </w:p>
        </w:tc>
      </w:tr>
      <w:tr>
        <w:trPr>
          <w:trHeight w:val="20"/>
        </w:trPr>
        <w:tc>
          <w:tcPr>
            <w:tcW w:w="1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ind w:left="180"/>
              <w:spacing w:after="0" w:line="129" w:lineRule="exact"/>
              <w:rPr>
                <w:sz w:val="20"/>
                <w:szCs w:val="20"/>
                <w:color w:val="auto"/>
              </w:rPr>
            </w:pPr>
            <w:r>
              <w:rPr>
                <w:rFonts w:ascii="Times New Roman" w:cs="Times New Roman" w:eastAsia="Times New Roman" w:hAnsi="Times New Roman"/>
                <w:sz w:val="13"/>
                <w:szCs w:val="13"/>
                <w:i w:val="1"/>
                <w:iCs w:val="1"/>
                <w:color w:val="auto"/>
              </w:rPr>
              <w:t>In Millions</w:t>
            </w:r>
          </w:p>
        </w:tc>
        <w:tc>
          <w:tcPr>
            <w:tcW w:w="1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3"/>
          </w:tcPr>
          <w:p>
            <w:pPr>
              <w:jc w:val="right"/>
              <w:ind w:right="104"/>
              <w:spacing w:after="0" w:line="129" w:lineRule="exact"/>
              <w:rPr>
                <w:sz w:val="20"/>
                <w:szCs w:val="20"/>
                <w:color w:val="auto"/>
              </w:rPr>
            </w:pPr>
            <w:r>
              <w:rPr>
                <w:rFonts w:ascii="Times New Roman" w:cs="Times New Roman" w:eastAsia="Times New Roman" w:hAnsi="Times New Roman"/>
                <w:sz w:val="13"/>
                <w:szCs w:val="13"/>
                <w:i w:val="1"/>
                <w:iCs w:val="1"/>
                <w:color w:val="auto"/>
              </w:rPr>
              <w:t>In Thousands</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5"/>
                <w:szCs w:val="15"/>
                <w:color w:val="auto"/>
              </w:rPr>
              <w:t>Accounts</w:t>
            </w:r>
          </w:p>
        </w:tc>
        <w:tc>
          <w:tcPr>
            <w:tcW w:w="0" w:type="dxa"/>
            <w:vAlign w:val="bottom"/>
          </w:tcPr>
          <w:p>
            <w:pPr>
              <w:spacing w:after="0"/>
              <w:rPr>
                <w:sz w:val="1"/>
                <w:szCs w:val="1"/>
                <w:color w:val="auto"/>
              </w:rPr>
            </w:pPr>
          </w:p>
        </w:tc>
      </w:tr>
      <w:tr>
        <w:trPr>
          <w:trHeight w:val="160"/>
        </w:trPr>
        <w:tc>
          <w:tcPr>
            <w:tcW w:w="1540" w:type="dxa"/>
            <w:vAlign w:val="bottom"/>
            <w:gridSpan w:val="2"/>
            <w:shd w:val="clear" w:color="auto" w:fill="CCEEFF"/>
          </w:tcPr>
          <w:p>
            <w:pPr>
              <w:ind w:left="20"/>
              <w:spacing w:after="0" w:line="160" w:lineRule="exact"/>
              <w:rPr>
                <w:sz w:val="20"/>
                <w:szCs w:val="20"/>
                <w:color w:val="auto"/>
              </w:rPr>
            </w:pPr>
            <w:r>
              <w:rPr>
                <w:rFonts w:ascii="Times New Roman" w:cs="Times New Roman" w:eastAsia="Times New Roman" w:hAnsi="Times New Roman"/>
                <w:sz w:val="15"/>
                <w:szCs w:val="15"/>
                <w:color w:val="auto"/>
              </w:rPr>
              <w:t>Pier Park Resort Hotel</w:t>
            </w:r>
          </w:p>
        </w:tc>
        <w:tc>
          <w:tcPr>
            <w:tcW w:w="9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line="160" w:lineRule="exact"/>
              <w:rPr>
                <w:sz w:val="20"/>
                <w:szCs w:val="20"/>
                <w:color w:val="auto"/>
              </w:rPr>
            </w:pPr>
            <w:r>
              <w:rPr>
                <w:rFonts w:ascii="Times New Roman" w:cs="Times New Roman" w:eastAsia="Times New Roman" w:hAnsi="Times New Roman"/>
                <w:sz w:val="15"/>
                <w:szCs w:val="15"/>
                <w:color w:val="auto"/>
              </w:rPr>
              <w:t>receivable and</w:t>
            </w:r>
          </w:p>
        </w:tc>
        <w:tc>
          <w:tcPr>
            <w:tcW w:w="0" w:type="dxa"/>
            <w:vAlign w:val="bottom"/>
          </w:tcPr>
          <w:p>
            <w:pPr>
              <w:spacing w:after="0"/>
              <w:rPr>
                <w:sz w:val="1"/>
                <w:szCs w:val="1"/>
                <w:color w:val="auto"/>
              </w:rPr>
            </w:pPr>
          </w:p>
        </w:tc>
      </w:tr>
      <w:tr>
        <w:trPr>
          <w:trHeight w:val="182"/>
        </w:trPr>
        <w:tc>
          <w:tcPr>
            <w:tcW w:w="154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5"/>
                <w:szCs w:val="15"/>
                <w:color w:val="auto"/>
              </w:rPr>
              <w:t xml:space="preserve">JV Loan </w:t>
            </w:r>
            <w:r>
              <w:rPr>
                <w:rFonts w:ascii="Times New Roman" w:cs="Times New Roman" w:eastAsia="Times New Roman" w:hAnsi="Times New Roman"/>
                <w:sz w:val="21"/>
                <w:szCs w:val="21"/>
                <w:color w:val="auto"/>
                <w:vertAlign w:val="superscript"/>
              </w:rPr>
              <w:t>(a)</w:t>
            </w:r>
          </w:p>
        </w:tc>
        <w:tc>
          <w:tcPr>
            <w:tcW w:w="100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5"/>
                <w:szCs w:val="15"/>
                <w:color w:val="auto"/>
              </w:rPr>
              <w:t>December 2022</w:t>
            </w: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rPr>
              <w:t>April 2027</w:t>
            </w:r>
          </w:p>
        </w:tc>
        <w:tc>
          <w:tcPr>
            <w:tcW w:w="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3.2%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5"/>
                <w:szCs w:val="15"/>
                <w:color w:val="auto"/>
              </w:rPr>
              <w:t>39.1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681</w:t>
            </w:r>
          </w:p>
        </w:tc>
        <w:tc>
          <w:tcPr>
            <w:tcW w:w="4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24"/>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1,127</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assets</w:t>
            </w:r>
          </w:p>
        </w:tc>
        <w:tc>
          <w:tcPr>
            <w:tcW w:w="0" w:type="dxa"/>
            <w:vAlign w:val="bottom"/>
          </w:tcPr>
          <w:p>
            <w:pPr>
              <w:spacing w:after="0"/>
              <w:rPr>
                <w:sz w:val="1"/>
                <w:szCs w:val="1"/>
                <w:color w:val="auto"/>
              </w:rPr>
            </w:pPr>
          </w:p>
        </w:tc>
      </w:tr>
      <w:tr>
        <w:trPr>
          <w:trHeight w:val="145"/>
        </w:trPr>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line="145" w:lineRule="exact"/>
              <w:rPr>
                <w:sz w:val="20"/>
                <w:szCs w:val="20"/>
                <w:color w:val="auto"/>
              </w:rPr>
            </w:pPr>
            <w:r>
              <w:rPr>
                <w:rFonts w:ascii="Times New Roman" w:cs="Times New Roman" w:eastAsia="Times New Roman" w:hAnsi="Times New Roman"/>
                <w:sz w:val="15"/>
                <w:szCs w:val="15"/>
                <w:color w:val="auto"/>
              </w:rPr>
              <w:t>Accounts</w:t>
            </w:r>
          </w:p>
        </w:tc>
        <w:tc>
          <w:tcPr>
            <w:tcW w:w="0" w:type="dxa"/>
            <w:vAlign w:val="bottom"/>
          </w:tcPr>
          <w:p>
            <w:pPr>
              <w:spacing w:after="0"/>
              <w:rPr>
                <w:sz w:val="1"/>
                <w:szCs w:val="1"/>
                <w:color w:val="auto"/>
              </w:rPr>
            </w:pPr>
          </w:p>
        </w:tc>
      </w:tr>
      <w:tr>
        <w:trPr>
          <w:trHeight w:val="160"/>
        </w:trPr>
        <w:tc>
          <w:tcPr>
            <w:tcW w:w="154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5"/>
                <w:szCs w:val="15"/>
                <w:color w:val="auto"/>
              </w:rPr>
              <w:t>Pier Park TPS JV</w:t>
            </w: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line="160" w:lineRule="exact"/>
              <w:rPr>
                <w:sz w:val="20"/>
                <w:szCs w:val="20"/>
                <w:color w:val="auto"/>
              </w:rPr>
            </w:pPr>
            <w:r>
              <w:rPr>
                <w:rFonts w:ascii="Times New Roman" w:cs="Times New Roman" w:eastAsia="Times New Roman" w:hAnsi="Times New Roman"/>
                <w:sz w:val="15"/>
                <w:szCs w:val="15"/>
                <w:color w:val="auto"/>
              </w:rPr>
              <w:t>payable and</w:t>
            </w:r>
          </w:p>
        </w:tc>
        <w:tc>
          <w:tcPr>
            <w:tcW w:w="0" w:type="dxa"/>
            <w:vAlign w:val="bottom"/>
          </w:tcPr>
          <w:p>
            <w:pPr>
              <w:spacing w:after="0"/>
              <w:rPr>
                <w:sz w:val="1"/>
                <w:szCs w:val="1"/>
                <w:color w:val="auto"/>
              </w:rPr>
            </w:pPr>
          </w:p>
        </w:tc>
      </w:tr>
      <w:tr>
        <w:trPr>
          <w:trHeight w:val="301"/>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xml:space="preserve">Loan </w:t>
            </w:r>
            <w:r>
              <w:rPr>
                <w:rFonts w:ascii="Times New Roman" w:cs="Times New Roman" w:eastAsia="Times New Roman" w:hAnsi="Times New Roman"/>
                <w:sz w:val="22"/>
                <w:szCs w:val="22"/>
                <w:color w:val="auto"/>
                <w:vertAlign w:val="superscript"/>
              </w:rPr>
              <w:t>(b)</w:t>
            </w:r>
          </w:p>
        </w:tc>
        <w:tc>
          <w:tcPr>
            <w:tcW w:w="1000" w:type="dxa"/>
            <w:vAlign w:val="bottom"/>
            <w:gridSpan w:val="2"/>
          </w:tcPr>
          <w:p>
            <w:pPr>
              <w:jc w:val="center"/>
              <w:ind w:right="20"/>
              <w:spacing w:after="0"/>
              <w:rPr>
                <w:sz w:val="20"/>
                <w:szCs w:val="20"/>
                <w:color w:val="auto"/>
              </w:rPr>
            </w:pPr>
            <w:r>
              <w:rPr>
                <w:rFonts w:ascii="Times New Roman" w:cs="Times New Roman" w:eastAsia="Times New Roman" w:hAnsi="Times New Roman"/>
                <w:sz w:val="15"/>
                <w:szCs w:val="15"/>
                <w:color w:val="auto"/>
              </w:rPr>
              <w:t>January 2021</w:t>
            </w: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January 2026</w:t>
            </w:r>
          </w:p>
        </w:tc>
        <w:tc>
          <w:tcPr>
            <w:tcW w:w="4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5.2%</w:t>
            </w:r>
          </w:p>
        </w:tc>
        <w:tc>
          <w:tcPr>
            <w:tcW w:w="10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tcPr>
          <w:p>
            <w:pPr>
              <w:ind w:left="620"/>
              <w:spacing w:after="0"/>
              <w:rPr>
                <w:sz w:val="20"/>
                <w:szCs w:val="20"/>
                <w:color w:val="auto"/>
              </w:rPr>
            </w:pPr>
            <w:r>
              <w:rPr>
                <w:rFonts w:ascii="Times New Roman" w:cs="Times New Roman" w:eastAsia="Times New Roman" w:hAnsi="Times New Roman"/>
                <w:sz w:val="15"/>
                <w:szCs w:val="15"/>
                <w:color w:val="auto"/>
              </w:rPr>
              <w:t>N/A</w:t>
            </w:r>
          </w:p>
        </w:tc>
        <w:tc>
          <w:tcPr>
            <w:tcW w:w="20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N/A</w:t>
            </w:r>
          </w:p>
        </w:tc>
        <w:tc>
          <w:tcPr>
            <w:tcW w:w="480" w:type="dxa"/>
            <w:vAlign w:val="bottom"/>
          </w:tcPr>
          <w:p>
            <w:pPr>
              <w:jc w:val="right"/>
              <w:ind w:right="324"/>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100" w:type="dxa"/>
            <w:vAlign w:val="bottom"/>
          </w:tcPr>
          <w:p>
            <w:pPr>
              <w:spacing w:after="0"/>
              <w:rPr>
                <w:sz w:val="24"/>
                <w:szCs w:val="24"/>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5"/>
                <w:szCs w:val="15"/>
                <w:color w:val="auto"/>
              </w:rPr>
              <w:t>other liabilities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-6985</wp:posOffset>
            </wp:positionV>
            <wp:extent cx="141414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60" w:lineRule="exact"/>
        <w:rPr>
          <w:sz w:val="20"/>
          <w:szCs w:val="20"/>
          <w:color w:val="auto"/>
        </w:rPr>
      </w:pPr>
    </w:p>
    <w:p>
      <w:pPr>
        <w:ind w:left="380" w:hanging="330"/>
        <w:spacing w:after="0"/>
        <w:tabs>
          <w:tab w:leader="none" w:pos="3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See Note 8. </w:t>
      </w:r>
      <w:r>
        <w:rPr>
          <w:rFonts w:ascii="Times New Roman" w:cs="Times New Roman" w:eastAsia="Times New Roman" w:hAnsi="Times New Roman"/>
          <w:sz w:val="16"/>
          <w:szCs w:val="16"/>
          <w:i w:val="1"/>
          <w:iCs w:val="1"/>
          <w:color w:val="auto"/>
        </w:rPr>
        <w:t>Debt, Net</w:t>
      </w:r>
      <w:r>
        <w:rPr>
          <w:rFonts w:ascii="Times New Roman" w:cs="Times New Roman" w:eastAsia="Times New Roman" w:hAnsi="Times New Roman"/>
          <w:sz w:val="16"/>
          <w:szCs w:val="16"/>
          <w:color w:val="auto"/>
        </w:rPr>
        <w:t xml:space="preserve"> for additional information.</w:t>
      </w:r>
    </w:p>
    <w:p>
      <w:pPr>
        <w:spacing w:after="0" w:line="28" w:lineRule="exact"/>
        <w:rPr>
          <w:rFonts w:ascii="Times New Roman" w:cs="Times New Roman" w:eastAsia="Times New Roman" w:hAnsi="Times New Roman"/>
          <w:sz w:val="16"/>
          <w:szCs w:val="16"/>
          <w:color w:val="auto"/>
        </w:rPr>
      </w:pPr>
    </w:p>
    <w:p>
      <w:pPr>
        <w:ind w:left="380" w:right="319" w:hanging="330"/>
        <w:spacing w:after="0" w:line="276" w:lineRule="auto"/>
        <w:tabs>
          <w:tab w:leader="none" w:pos="3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Interest rate swap was entered into by the Pier Park TPS JV, which is unconsolidated and accounted for using the equity method. The interest rate swap matured in January 2026. See Note 4. </w:t>
      </w:r>
      <w:r>
        <w:rPr>
          <w:rFonts w:ascii="Times New Roman" w:cs="Times New Roman" w:eastAsia="Times New Roman" w:hAnsi="Times New Roman"/>
          <w:sz w:val="16"/>
          <w:szCs w:val="16"/>
          <w:i w:val="1"/>
          <w:iCs w:val="1"/>
          <w:color w:val="auto"/>
        </w:rPr>
        <w:t>Joint Ventures</w:t>
      </w:r>
      <w:r>
        <w:rPr>
          <w:rFonts w:ascii="Times New Roman" w:cs="Times New Roman" w:eastAsia="Times New Roman" w:hAnsi="Times New Roman"/>
          <w:sz w:val="16"/>
          <w:szCs w:val="16"/>
          <w:color w:val="auto"/>
        </w:rPr>
        <w:t xml:space="preserve"> and Note 17. </w:t>
      </w:r>
      <w:r>
        <w:rPr>
          <w:rFonts w:ascii="Times New Roman" w:cs="Times New Roman" w:eastAsia="Times New Roman" w:hAnsi="Times New Roman"/>
          <w:sz w:val="16"/>
          <w:szCs w:val="16"/>
          <w:i w:val="1"/>
          <w:iCs w:val="1"/>
          <w:color w:val="auto"/>
        </w:rPr>
        <w:t>Commitments and Contingencies</w:t>
      </w:r>
      <w:r>
        <w:rPr>
          <w:rFonts w:ascii="Times New Roman" w:cs="Times New Roman" w:eastAsia="Times New Roman" w:hAnsi="Times New Roman"/>
          <w:sz w:val="16"/>
          <w:szCs w:val="16"/>
          <w:color w:val="auto"/>
        </w:rPr>
        <w:t xml:space="preserve"> for additional information.</w:t>
      </w:r>
    </w:p>
    <w:p>
      <w:pPr>
        <w:spacing w:after="0" w:line="176" w:lineRule="exact"/>
        <w:rPr>
          <w:sz w:val="20"/>
          <w:szCs w:val="20"/>
          <w:color w:val="auto"/>
        </w:rPr>
      </w:pPr>
    </w:p>
    <w:p>
      <w:pPr>
        <w:ind w:left="60" w:right="739" w:firstLine="324"/>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effect of derivative instruments on the Company’s condensed consolidated statements of income and condensed consolidated statements of comprehensive income:</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480" w:type="dxa"/>
            <w:vAlign w:val="bottom"/>
            <w:gridSpan w:val="4"/>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5"/>
                <w:szCs w:val="15"/>
                <w:color w:val="auto"/>
              </w:rPr>
            </w:pPr>
          </w:p>
        </w:tc>
        <w:tc>
          <w:tcPr>
            <w:tcW w:w="1480" w:type="dxa"/>
            <w:vAlign w:val="bottom"/>
            <w:gridSpan w:val="4"/>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209"/>
        </w:trPr>
        <w:tc>
          <w:tcPr>
            <w:tcW w:w="56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 of net gain (loss) recognized in other comprehensive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16"/>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 of net gain reclassified into interest expense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r>
      <w:tr>
        <w:trPr>
          <w:trHeight w:val="198"/>
        </w:trPr>
        <w:tc>
          <w:tcPr>
            <w:tcW w:w="56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Amount of net gain reclassified into equity in (loss) income from</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234"/>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unconsolidated joint ventures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bl>
    <w:p>
      <w:pPr>
        <w:spacing w:after="0" w:line="198" w:lineRule="exact"/>
        <w:rPr>
          <w:sz w:val="20"/>
          <w:szCs w:val="20"/>
          <w:color w:val="auto"/>
        </w:rPr>
      </w:pPr>
    </w:p>
    <w:p>
      <w:pPr>
        <w:jc w:val="both"/>
        <w:ind w:left="60" w:right="559" w:firstLine="324"/>
        <w:spacing w:after="0" w:line="266" w:lineRule="auto"/>
        <w:rPr>
          <w:sz w:val="20"/>
          <w:szCs w:val="20"/>
          <w:color w:val="auto"/>
        </w:rPr>
      </w:pPr>
      <w:r>
        <w:rPr>
          <w:rFonts w:ascii="Times New Roman" w:cs="Times New Roman" w:eastAsia="Times New Roman" w:hAnsi="Times New Roman"/>
          <w:sz w:val="18"/>
          <w:szCs w:val="18"/>
          <w:color w:val="auto"/>
        </w:rPr>
        <w:t xml:space="preserve">As of September 30, 2026, based on current value, the Company expects to reclassify $0.7 million of derivative instruments from accumulated other comprehensive income to earnings during the next twelve months. See Note 12. </w:t>
      </w:r>
      <w:r>
        <w:rPr>
          <w:rFonts w:ascii="Times New Roman" w:cs="Times New Roman" w:eastAsia="Times New Roman" w:hAnsi="Times New Roman"/>
          <w:sz w:val="18"/>
          <w:szCs w:val="18"/>
          <w:i w:val="1"/>
          <w:iCs w:val="1"/>
          <w:color w:val="auto"/>
        </w:rPr>
        <w:t xml:space="preserve">Accumulated Other Comprehensive Income </w:t>
      </w:r>
      <w:r>
        <w:rPr>
          <w:rFonts w:ascii="Times New Roman" w:cs="Times New Roman" w:eastAsia="Times New Roman" w:hAnsi="Times New Roman"/>
          <w:sz w:val="18"/>
          <w:szCs w:val="18"/>
          <w:color w:val="auto"/>
        </w:rPr>
        <w:t>for additional information.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Investment in Unconsolidated Joint Ventures</w:t>
      </w:r>
    </w:p>
    <w:p>
      <w:pPr>
        <w:spacing w:after="0" w:line="229"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Company evaluates its investment in unconsolidated JVs for impairment during each reporting period. A series of operating losses of an investee or other factors may indicate that a decrease in the value of the Company’s investment in the unconsolidated JV has occurred. The amount of impairment recognized is the excess of the investment’s carrying value over its estimated fair value. The fair value of the Company’s investment in unconsolidated JVs is determined primarily using a discounted cash flow model to value the underlying net assets or cash flows of the respective JV. The fair value of investment in unconsolidated JVs required to be assessed for impairment is determined using Level 3 inputs in the fair value hierarchy. No impairment for unconsolidated JVs was recorded during the nine months ended September 30, 2026 and 2025. See Note 4. </w:t>
      </w:r>
      <w:r>
        <w:rPr>
          <w:rFonts w:ascii="Times New Roman" w:cs="Times New Roman" w:eastAsia="Times New Roman" w:hAnsi="Times New Roman"/>
          <w:sz w:val="18"/>
          <w:szCs w:val="18"/>
          <w:i w:val="1"/>
          <w:iCs w:val="1"/>
          <w:color w:val="auto"/>
        </w:rPr>
        <w:t>Joint Ventures</w:t>
      </w:r>
      <w:r>
        <w:rPr>
          <w:rFonts w:ascii="Times New Roman" w:cs="Times New Roman" w:eastAsia="Times New Roman" w:hAnsi="Times New Roman"/>
          <w:sz w:val="18"/>
          <w:szCs w:val="18"/>
          <w:color w:val="auto"/>
        </w:rPr>
        <w:t xml:space="preserve"> for additional information.</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ind w:left="60" w:right="659" w:firstLine="324"/>
        <w:spacing w:after="0" w:line="312" w:lineRule="auto"/>
        <w:rPr>
          <w:sz w:val="20"/>
          <w:szCs w:val="20"/>
          <w:color w:val="auto"/>
        </w:rPr>
      </w:pPr>
      <w:r>
        <w:rPr>
          <w:rFonts w:ascii="Times New Roman" w:cs="Times New Roman" w:eastAsia="Times New Roman" w:hAnsi="Times New Roman"/>
          <w:sz w:val="17"/>
          <w:szCs w:val="17"/>
          <w:color w:val="auto"/>
        </w:rPr>
        <w:t>The carrying value of the Company’s cash and cash equivalents, restricted cash, trade receivables, other assets, accounts payable and other liabilities approximate fair value due to the short-term nature of these instruments.</w:t>
      </w:r>
    </w:p>
    <w:p>
      <w:pPr>
        <w:spacing w:after="0" w:line="14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 uses the following methods and assumptions in estimating fair value for financial instruments:</w:t>
      </w:r>
    </w:p>
    <w:p>
      <w:pPr>
        <w:spacing w:after="0" w:line="117" w:lineRule="exact"/>
        <w:rPr>
          <w:sz w:val="20"/>
          <w:szCs w:val="20"/>
          <w:color w:val="auto"/>
        </w:rPr>
      </w:pPr>
    </w:p>
    <w:p>
      <w:pPr>
        <w:ind w:left="720" w:right="179" w:hanging="319"/>
        <w:spacing w:after="0" w:line="281"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investments held by SPE - time deposit is based on the present value of future cash flows at the current market rate.</w:t>
      </w:r>
    </w:p>
    <w:p>
      <w:pPr>
        <w:spacing w:after="0" w:line="1" w:lineRule="exact"/>
        <w:rPr>
          <w:rFonts w:ascii="Times New Roman" w:cs="Times New Roman" w:eastAsia="Times New Roman" w:hAnsi="Times New Roman"/>
          <w:sz w:val="18"/>
          <w:szCs w:val="18"/>
          <w:color w:val="auto"/>
        </w:rPr>
      </w:pPr>
    </w:p>
    <w:p>
      <w:pPr>
        <w:ind w:left="720" w:right="219" w:hanging="319"/>
        <w:spacing w:after="0" w:line="282"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investments held by SPE - U.S. Treasury Bills are measured based on quoted market prices in an active market.</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720" w:right="399" w:hanging="319"/>
        <w:spacing w:after="0" w:line="281"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senior notes held by SPE is based on the present value of future cash flows at the current market rate.</w:t>
      </w:r>
    </w:p>
    <w:p>
      <w:pPr>
        <w:spacing w:after="0" w:line="1" w:lineRule="exact"/>
        <w:rPr>
          <w:rFonts w:ascii="Times New Roman" w:cs="Times New Roman" w:eastAsia="Times New Roman" w:hAnsi="Times New Roman"/>
          <w:sz w:val="18"/>
          <w:szCs w:val="18"/>
          <w:color w:val="auto"/>
        </w:rPr>
      </w:pPr>
    </w:p>
    <w:p>
      <w:pPr>
        <w:ind w:left="720" w:right="679" w:hanging="319"/>
        <w:spacing w:after="0" w:line="282"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debt is based on discounted future expected cash flows based on current market rates for financial instruments with similar risks, terms and maturities.</w:t>
      </w:r>
    </w:p>
    <w:p>
      <w:pPr>
        <w:spacing w:after="0" w:line="162" w:lineRule="exact"/>
        <w:rPr>
          <w:sz w:val="20"/>
          <w:szCs w:val="20"/>
          <w:color w:val="auto"/>
        </w:rPr>
      </w:pPr>
    </w:p>
    <w:p>
      <w:pPr>
        <w:ind w:left="60" w:right="819" w:firstLine="324"/>
        <w:spacing w:after="0" w:line="282" w:lineRule="auto"/>
        <w:rPr>
          <w:sz w:val="20"/>
          <w:szCs w:val="20"/>
          <w:color w:val="auto"/>
        </w:rPr>
      </w:pPr>
      <w:r>
        <w:rPr>
          <w:rFonts w:ascii="Times New Roman" w:cs="Times New Roman" w:eastAsia="Times New Roman" w:hAnsi="Times New Roman"/>
          <w:sz w:val="18"/>
          <w:szCs w:val="18"/>
          <w:color w:val="auto"/>
        </w:rPr>
        <w:t>The carrying amount and estimated fair value, measured on a nonrecurring basis, of the Company’s financial instruments were as follows: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7"/>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134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20" w:type="dxa"/>
            <w:vAlign w:val="bottom"/>
          </w:tcPr>
          <w:p>
            <w:pPr>
              <w:spacing w:after="0"/>
              <w:rPr>
                <w:sz w:val="10"/>
                <w:szCs w:val="10"/>
                <w:color w:val="auto"/>
              </w:rPr>
            </w:pPr>
          </w:p>
        </w:tc>
        <w:tc>
          <w:tcPr>
            <w:tcW w:w="940" w:type="dxa"/>
            <w:vAlign w:val="bottom"/>
            <w:gridSpan w:val="3"/>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Estimated</w:t>
            </w:r>
          </w:p>
        </w:tc>
        <w:tc>
          <w:tcPr>
            <w:tcW w:w="40" w:type="dxa"/>
            <w:vAlign w:val="bottom"/>
          </w:tcPr>
          <w:p>
            <w:pPr>
              <w:spacing w:after="0"/>
              <w:rPr>
                <w:sz w:val="10"/>
                <w:szCs w:val="10"/>
                <w:color w:val="auto"/>
              </w:rPr>
            </w:pPr>
          </w:p>
        </w:tc>
        <w:tc>
          <w:tcPr>
            <w:tcW w:w="44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gridSpan w:val="2"/>
          </w:tcPr>
          <w:p>
            <w:pPr>
              <w:jc w:val="right"/>
              <w:ind w:right="70"/>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960" w:type="dxa"/>
            <w:vAlign w:val="bottom"/>
            <w:gridSpan w:val="5"/>
          </w:tcPr>
          <w:p>
            <w:pPr>
              <w:jc w:val="right"/>
              <w:ind w:right="70"/>
              <w:spacing w:after="0" w:line="118" w:lineRule="exact"/>
              <w:rPr>
                <w:sz w:val="20"/>
                <w:szCs w:val="20"/>
                <w:color w:val="auto"/>
              </w:rPr>
            </w:pPr>
            <w:r>
              <w:rPr>
                <w:rFonts w:ascii="Times New Roman" w:cs="Times New Roman" w:eastAsia="Times New Roman" w:hAnsi="Times New Roman"/>
                <w:sz w:val="13"/>
                <w:szCs w:val="13"/>
                <w:b w:val="1"/>
                <w:bCs w:val="1"/>
                <w:color w:val="auto"/>
              </w:rPr>
              <w:t>​​​ Estimated</w:t>
            </w:r>
          </w:p>
        </w:tc>
        <w:tc>
          <w:tcPr>
            <w:tcW w:w="4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0" w:type="dxa"/>
            <w:vAlign w:val="bottom"/>
          </w:tcPr>
          <w:p>
            <w:pPr>
              <w:spacing w:after="0"/>
              <w:rPr>
                <w:sz w:val="15"/>
                <w:szCs w:val="15"/>
                <w:color w:val="auto"/>
              </w:rPr>
            </w:pPr>
          </w:p>
        </w:tc>
        <w:tc>
          <w:tcPr>
            <w:tcW w:w="440" w:type="dxa"/>
            <w:vAlign w:val="bottom"/>
            <w:gridSpan w:val="2"/>
          </w:tcPr>
          <w:p>
            <w:pPr>
              <w:jc w:val="center"/>
              <w:ind w:left="16"/>
              <w:spacing w:after="0"/>
              <w:rPr>
                <w:sz w:val="20"/>
                <w:szCs w:val="20"/>
                <w:color w:val="auto"/>
              </w:rPr>
            </w:pPr>
            <w:r>
              <w:rPr>
                <w:rFonts w:ascii="Times New Roman" w:cs="Times New Roman" w:eastAsia="Times New Roman" w:hAnsi="Times New Roman"/>
                <w:sz w:val="14"/>
                <w:szCs w:val="14"/>
                <w:b w:val="1"/>
                <w:bCs w:val="1"/>
                <w:color w:val="auto"/>
              </w:rPr>
              <w:t>Level</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5"/>
                <w:szCs w:val="15"/>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held by SPEs:</w:t>
            </w:r>
          </w:p>
        </w:tc>
        <w:tc>
          <w:tcPr>
            <w:tcW w:w="1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Time deposit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40" w:type="dxa"/>
            <w:vAlign w:val="bottom"/>
          </w:tcPr>
          <w:p>
            <w:pPr>
              <w:spacing w:after="0"/>
              <w:rPr>
                <w:sz w:val="18"/>
                <w:szCs w:val="18"/>
                <w:color w:val="auto"/>
              </w:rPr>
            </w:pPr>
          </w:p>
        </w:tc>
        <w:tc>
          <w:tcPr>
            <w:tcW w:w="440" w:type="dxa"/>
            <w:vAlign w:val="bottom"/>
            <w:gridSpan w:val="2"/>
          </w:tcPr>
          <w:p>
            <w:pPr>
              <w:jc w:val="center"/>
              <w:ind w:left="16"/>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40" w:type="dxa"/>
            <w:vAlign w:val="bottom"/>
          </w:tcPr>
          <w:p>
            <w:pPr>
              <w:spacing w:after="0"/>
              <w:rPr>
                <w:sz w:val="18"/>
                <w:szCs w:val="18"/>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60" w:type="dxa"/>
            <w:vAlign w:val="bottom"/>
          </w:tcPr>
          <w:p>
            <w:pPr>
              <w:spacing w:after="0"/>
              <w:rPr>
                <w:sz w:val="18"/>
                <w:szCs w:val="18"/>
                <w:color w:val="auto"/>
              </w:rPr>
            </w:pPr>
          </w:p>
        </w:tc>
        <w:tc>
          <w:tcPr>
            <w:tcW w:w="4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U.S. Treasury Bills</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center"/>
              <w:ind w:left="16"/>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4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w:t>
            </w: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Notes held by SPE</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179,086</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179,286</w:t>
            </w:r>
          </w:p>
        </w:tc>
        <w:tc>
          <w:tcPr>
            <w:tcW w:w="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center"/>
              <w:ind w:left="16"/>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178,821</w:t>
            </w:r>
          </w:p>
        </w:tc>
        <w:tc>
          <w:tcPr>
            <w:tcW w:w="4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183,033</w:t>
            </w: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Fixed-rate debt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273,569</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219,794</w:t>
            </w:r>
          </w:p>
        </w:tc>
        <w:tc>
          <w:tcPr>
            <w:tcW w:w="40" w:type="dxa"/>
            <w:vAlign w:val="bottom"/>
          </w:tcPr>
          <w:p>
            <w:pPr>
              <w:spacing w:after="0"/>
              <w:rPr>
                <w:sz w:val="18"/>
                <w:szCs w:val="18"/>
                <w:color w:val="auto"/>
              </w:rPr>
            </w:pPr>
          </w:p>
        </w:tc>
        <w:tc>
          <w:tcPr>
            <w:tcW w:w="440" w:type="dxa"/>
            <w:vAlign w:val="bottom"/>
            <w:gridSpan w:val="2"/>
          </w:tcPr>
          <w:p>
            <w:pPr>
              <w:jc w:val="center"/>
              <w:ind w:left="16"/>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280,089</w:t>
            </w:r>
          </w:p>
        </w:tc>
        <w:tc>
          <w:tcPr>
            <w:tcW w:w="40" w:type="dxa"/>
            <w:vAlign w:val="bottom"/>
          </w:tcPr>
          <w:p>
            <w:pPr>
              <w:spacing w:after="0"/>
              <w:rPr>
                <w:sz w:val="18"/>
                <w:szCs w:val="18"/>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239,992</w:t>
            </w:r>
          </w:p>
        </w:tc>
        <w:tc>
          <w:tcPr>
            <w:tcW w:w="60" w:type="dxa"/>
            <w:vAlign w:val="bottom"/>
          </w:tcPr>
          <w:p>
            <w:pPr>
              <w:spacing w:after="0"/>
              <w:rPr>
                <w:sz w:val="18"/>
                <w:szCs w:val="18"/>
                <w:color w:val="auto"/>
              </w:rPr>
            </w:pPr>
          </w:p>
        </w:tc>
        <w:tc>
          <w:tcPr>
            <w:tcW w:w="4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Variable-rate debt</w:t>
            </w:r>
          </w:p>
        </w:tc>
        <w:tc>
          <w:tcPr>
            <w:tcW w:w="1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92,509</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92,509</w:t>
            </w:r>
          </w:p>
        </w:tc>
        <w:tc>
          <w:tcPr>
            <w:tcW w:w="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center"/>
              <w:ind w:left="16"/>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115,919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115,919</w:t>
            </w: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Total debt</w:t>
            </w:r>
          </w:p>
        </w:tc>
        <w:tc>
          <w:tcPr>
            <w:tcW w:w="1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366,078</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312,303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396,008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355,911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Investments and Senior Notes Held by Special Purpose Entities</w:t>
      </w:r>
    </w:p>
    <w:p>
      <w:pPr>
        <w:spacing w:after="0" w:line="229" w:lineRule="exact"/>
        <w:rPr>
          <w:sz w:val="20"/>
          <w:szCs w:val="20"/>
          <w:color w:val="auto"/>
        </w:rPr>
      </w:pPr>
    </w:p>
    <w:p>
      <w:pPr>
        <w:ind w:left="60" w:right="239" w:firstLine="324"/>
        <w:spacing w:after="0" w:line="268" w:lineRule="auto"/>
        <w:rPr>
          <w:sz w:val="20"/>
          <w:szCs w:val="20"/>
          <w:color w:val="auto"/>
        </w:rPr>
      </w:pPr>
      <w:r>
        <w:rPr>
          <w:rFonts w:ascii="Times New Roman" w:cs="Times New Roman" w:eastAsia="Times New Roman" w:hAnsi="Times New Roman"/>
          <w:sz w:val="17"/>
          <w:szCs w:val="17"/>
          <w:color w:val="auto"/>
        </w:rPr>
        <w:t>In connection with a real estate sale in 2014, the Company received consideration including a $200.0 million fifteen-year installment note (the “Timber Note”) issued by Panama City Timber Finance Company, LLC. The Company contributed the Timber Note and assigned its rights as a beneficiary under a letter of credit to Northwest Florida Timber Finance, LLC. Northwest Florida Timber Finance, LLC monetized the Timber Note by issuing $180.0 million aggregate principal amount of its 4.8% Senior Secured Notes due in 2029 (the “Senior Notes”) at an issue price of 98.5% of face value to third party investors. The investments held by Panama City Timber Finance Company, LLC as of</w:t>
      </w:r>
    </w:p>
    <w:p>
      <w:pPr>
        <w:spacing w:after="0" w:line="5"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September 30, 2026, consist of a $200.0 million time deposit that, subsequent to April 2, 2014, pays interest at 4.0% and matures in March 2029, U.S. Treasuries of $1.7 million and cash of $0.4 million. The Senior Notes held by Northwest Florida Timber Finance, LLC as of September 30, 2026 consist of $179.1 million, net of the $0.9 million discount and debt issuance costs. Panama City Timber Finance Company, LLC and Northwest Florida Timber Finance, LLC are VIEs, which the Company consolidates as the primary beneficiary of each entity.</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Company as Lessor</w:t>
      </w:r>
    </w:p>
    <w:p>
      <w:pPr>
        <w:spacing w:after="0" w:line="229"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Leasing revenue consists of rental revenue from multi-family, senior living prior to the sale of the Watercrest JV’s senior living community property in September 2025, self-storage, retail, office and commercial property, marinas, cell towers and other assets, which is recognized as earned, using the straight-line method over the life of each lease. Variable lease payments primarily include property taxes, insurance, utilities and common area maintenance or payments based on a percentage of sales over specified levels and senior living services. The Company’s leases have remaining lease terms up to the year 2072, some of which include options to terminate or extend.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components of leasing revenue are as follows:</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260" w:type="dxa"/>
            <w:vAlign w:val="bottom"/>
          </w:tcPr>
          <w:p>
            <w:pPr>
              <w:spacing w:after="0"/>
              <w:rPr>
                <w:sz w:val="15"/>
                <w:szCs w:val="15"/>
                <w:color w:val="auto"/>
              </w:rPr>
            </w:pPr>
          </w:p>
        </w:tc>
        <w:tc>
          <w:tcPr>
            <w:tcW w:w="244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09"/>
        </w:trPr>
        <w:tc>
          <w:tcPr>
            <w:tcW w:w="42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Leasing revenue</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4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Lease payments</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11,956</w:t>
            </w:r>
          </w:p>
        </w:tc>
        <w:tc>
          <w:tcPr>
            <w:tcW w:w="12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14,393</w:t>
            </w:r>
          </w:p>
        </w:tc>
        <w:tc>
          <w:tcPr>
            <w:tcW w:w="1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37,301</w:t>
            </w:r>
          </w:p>
        </w:tc>
        <w:tc>
          <w:tcPr>
            <w:tcW w:w="1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42,101</w:t>
            </w:r>
          </w:p>
        </w:tc>
      </w:tr>
      <w:tr>
        <w:trPr>
          <w:trHeight w:val="216"/>
        </w:trPr>
        <w:tc>
          <w:tcPr>
            <w:tcW w:w="4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Variable lease payments</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6,494</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7,322</w:t>
            </w:r>
          </w:p>
        </w:tc>
      </w:tr>
      <w:tr>
        <w:trPr>
          <w:trHeight w:val="20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leasing revenue</w:t>
            </w: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14,119</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16,673</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43,795</w:t>
            </w:r>
          </w:p>
        </w:tc>
        <w:tc>
          <w:tcPr>
            <w:tcW w:w="14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49,423</w:t>
            </w:r>
          </w:p>
        </w:tc>
      </w:tr>
      <w:tr>
        <w:trPr>
          <w:trHeight w:val="20"/>
        </w:trPr>
        <w:tc>
          <w:tcPr>
            <w:tcW w:w="4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Minimum future base rental revenue on non-cancelable leases subsequent to September 30, 2026, for the years ending</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are:</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10,901</w:t>
            </w:r>
          </w:p>
        </w:tc>
      </w:tr>
      <w:tr>
        <w:trPr>
          <w:trHeight w:val="216"/>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28,631</w:t>
            </w:r>
          </w:p>
        </w:tc>
      </w:tr>
      <w:tr>
        <w:trPr>
          <w:trHeight w:val="21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16,852</w:t>
            </w:r>
          </w:p>
        </w:tc>
      </w:tr>
      <w:tr>
        <w:trPr>
          <w:trHeight w:val="216"/>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13,144</w:t>
            </w:r>
          </w:p>
        </w:tc>
      </w:tr>
      <w:tr>
        <w:trPr>
          <w:trHeight w:val="21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8,691</w:t>
            </w:r>
          </w:p>
        </w:tc>
      </w:tr>
      <w:tr>
        <w:trPr>
          <w:trHeight w:val="216"/>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51,954</w:t>
            </w:r>
          </w:p>
        </w:tc>
      </w:tr>
      <w:tr>
        <w:trPr>
          <w:trHeight w:val="209"/>
        </w:trPr>
        <w:tc>
          <w:tcPr>
            <w:tcW w:w="78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130,173</w:t>
            </w:r>
          </w:p>
        </w:tc>
      </w:tr>
      <w:tr>
        <w:trPr>
          <w:trHeight w:val="20"/>
        </w:trPr>
        <w:tc>
          <w:tcPr>
            <w:tcW w:w="7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Company as Lessee</w:t>
      </w:r>
    </w:p>
    <w:p>
      <w:pPr>
        <w:spacing w:after="0" w:line="229"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As of September 30, 2026, the Company leased certain office and other equipment under finance leases and had operating leases for property and equipment used in corporate, hospitality and commercial operations with remaining lease terms up to the year 2081. Operating leases also include property for hospitality employee housing. Certain leases include options to purchase, terminate or renew for one or more years, which are included in the lease term used to establish right-of-use assets and lease liabilities when it is reasonably certain that the option will be exercised. The Company uses its incremental borrowing rate to determine the present value of the lease payments since the rate implicit in each lease is not readily determinable. The Company recognizes short-term (twelve months or less) lease payments in profit or loss on a straight-line basis over the term of the lease and variable lease payments in the period in which the obligation for those payments is incurred. Cash flows from operating activities include $1.5 million and $1.4 million, respectively, during the nine months ended September 30, 2026 and 2025, related to cash paid for amounts included in the measurement of operating lease liabilities.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components of lease expense are as follows:</w:t>
      </w:r>
    </w:p>
    <w:p>
      <w:pPr>
        <w:spacing w:after="0" w:line="12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7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200" w:type="dxa"/>
            <w:vAlign w:val="bottom"/>
          </w:tcPr>
          <w:p>
            <w:pPr>
              <w:spacing w:after="0"/>
              <w:rPr>
                <w:sz w:val="15"/>
                <w:szCs w:val="15"/>
                <w:color w:val="auto"/>
              </w:rPr>
            </w:pPr>
          </w:p>
        </w:tc>
        <w:tc>
          <w:tcPr>
            <w:tcW w:w="248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20" w:type="dxa"/>
            <w:vAlign w:val="bottom"/>
            <w:gridSpan w:val="6"/>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6"/>
        </w:trPr>
        <w:tc>
          <w:tcPr>
            <w:tcW w:w="42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bottom w:val="single" w:sz="8" w:color="CCEEFF"/>
            </w:tcBorders>
          </w:tcPr>
          <w:p>
            <w:pPr>
              <w:spacing w:after="0"/>
              <w:rPr>
                <w:sz w:val="17"/>
                <w:szCs w:val="17"/>
                <w:color w:val="auto"/>
              </w:rPr>
            </w:pPr>
          </w:p>
        </w:tc>
      </w:tr>
      <w:tr>
        <w:trPr>
          <w:trHeight w:val="20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4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Finance lease cost:</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80" w:type="dxa"/>
            <w:vAlign w:val="bottom"/>
            <w:shd w:val="clear" w:color="auto" w:fill="CCEEFF"/>
          </w:tcPr>
          <w:p>
            <w:pPr>
              <w:spacing w:after="0"/>
              <w:rPr>
                <w:sz w:val="18"/>
                <w:szCs w:val="18"/>
                <w:color w:val="auto"/>
              </w:rPr>
            </w:pPr>
          </w:p>
        </w:tc>
      </w:tr>
      <w:tr>
        <w:trPr>
          <w:trHeight w:val="216"/>
        </w:trPr>
        <w:tc>
          <w:tcPr>
            <w:tcW w:w="4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on lease liability</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Pr>
          <w:p>
            <w:pPr>
              <w:spacing w:after="0"/>
              <w:rPr>
                <w:sz w:val="18"/>
                <w:szCs w:val="18"/>
                <w:color w:val="auto"/>
              </w:rPr>
            </w:pPr>
          </w:p>
        </w:tc>
      </w:tr>
      <w:tr>
        <w:trPr>
          <w:trHeight w:val="216"/>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 cost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180" w:type="dxa"/>
            <w:vAlign w:val="bottom"/>
            <w:shd w:val="clear" w:color="auto" w:fill="CCEEFF"/>
          </w:tcPr>
          <w:p>
            <w:pPr>
              <w:spacing w:after="0"/>
              <w:rPr>
                <w:sz w:val="18"/>
                <w:szCs w:val="18"/>
                <w:color w:val="auto"/>
              </w:rPr>
            </w:pPr>
          </w:p>
        </w:tc>
      </w:tr>
      <w:tr>
        <w:trPr>
          <w:trHeight w:val="216"/>
        </w:trPr>
        <w:tc>
          <w:tcPr>
            <w:tcW w:w="4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Variable and short-term lease cost</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180" w:type="dxa"/>
            <w:vAlign w:val="bottom"/>
            <w:tcBorders>
              <w:bottom w:val="single" w:sz="8" w:color="CCEEFF"/>
            </w:tcBorders>
          </w:tcPr>
          <w:p>
            <w:pPr>
              <w:spacing w:after="0"/>
              <w:rPr>
                <w:sz w:val="18"/>
                <w:szCs w:val="18"/>
                <w:color w:val="auto"/>
              </w:rPr>
            </w:pPr>
          </w:p>
        </w:tc>
      </w:tr>
      <w:tr>
        <w:trPr>
          <w:trHeight w:val="398"/>
        </w:trPr>
        <w:tc>
          <w:tcPr>
            <w:tcW w:w="42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lease cost</w:t>
            </w: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1,450</w:t>
            </w:r>
          </w:p>
        </w:tc>
        <w:tc>
          <w:tcPr>
            <w:tcW w:w="1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1,408</w:t>
            </w:r>
          </w:p>
        </w:tc>
        <w:tc>
          <w:tcPr>
            <w:tcW w:w="1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3,884</w:t>
            </w:r>
          </w:p>
        </w:tc>
        <w:tc>
          <w:tcPr>
            <w:tcW w:w="2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3,805</w:t>
            </w:r>
          </w:p>
        </w:tc>
        <w:tc>
          <w:tcPr>
            <w:tcW w:w="180" w:type="dxa"/>
            <w:vAlign w:val="bottom"/>
            <w:tcBorders>
              <w:bottom w:val="single" w:sz="8" w:color="CCEEFF"/>
            </w:tcBorders>
            <w:shd w:val="clear" w:color="auto" w:fill="CCEEFF"/>
          </w:tcPr>
          <w:p>
            <w:pPr>
              <w:spacing w:after="0"/>
              <w:rPr>
                <w:sz w:val="24"/>
                <w:szCs w:val="24"/>
                <w:color w:val="auto"/>
              </w:rPr>
            </w:pPr>
          </w:p>
        </w:tc>
      </w:tr>
      <w:tr>
        <w:trPr>
          <w:trHeight w:val="20"/>
        </w:trPr>
        <w:tc>
          <w:tcPr>
            <w:tcW w:w="4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7"/>
        </w:trPr>
        <w:tc>
          <w:tcPr>
            <w:tcW w:w="4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6"/>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198"/>
        </w:trPr>
        <w:tc>
          <w:tcPr>
            <w:tcW w:w="42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Weighted-average remaining lease term - finance lease</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4"/>
        </w:trPr>
        <w:tc>
          <w:tcPr>
            <w:tcW w:w="4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 years)</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Pr>
          <w:p>
            <w:pPr>
              <w:spacing w:after="0"/>
              <w:rPr>
                <w:sz w:val="20"/>
                <w:szCs w:val="20"/>
                <w:color w:val="auto"/>
              </w:rPr>
            </w:pPr>
          </w:p>
        </w:tc>
      </w:tr>
      <w:tr>
        <w:trPr>
          <w:trHeight w:val="198"/>
        </w:trPr>
        <w:tc>
          <w:tcPr>
            <w:tcW w:w="42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Weighted-average remaining lease term - operating</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34"/>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leases (in years)</w:t>
            </w: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shd w:val="clear" w:color="auto" w:fill="CCEEFF"/>
          </w:tcPr>
          <w:p>
            <w:pPr>
              <w:spacing w:after="0"/>
              <w:rPr>
                <w:sz w:val="20"/>
                <w:szCs w:val="20"/>
                <w:color w:val="auto"/>
              </w:rPr>
            </w:pPr>
          </w:p>
        </w:tc>
      </w:tr>
      <w:tr>
        <w:trPr>
          <w:trHeight w:val="216"/>
        </w:trPr>
        <w:tc>
          <w:tcPr>
            <w:tcW w:w="4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Weighted-average discount rate - finance lease</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6.0 %</w:t>
            </w:r>
          </w:p>
        </w:tc>
        <w:tc>
          <w:tcPr>
            <w:tcW w:w="2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5.5 %</w:t>
            </w:r>
          </w:p>
        </w:tc>
      </w:tr>
      <w:tr>
        <w:trPr>
          <w:trHeight w:val="216"/>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5.1 %</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5.1 %</w:t>
            </w:r>
          </w:p>
        </w:tc>
      </w:tr>
    </w:tbl>
    <w:p>
      <w:pPr>
        <w:spacing w:after="0" w:line="306" w:lineRule="exact"/>
        <w:rPr>
          <w:sz w:val="20"/>
          <w:szCs w:val="20"/>
          <w:color w:val="auto"/>
        </w:rPr>
      </w:pPr>
    </w:p>
    <w:p>
      <w:pPr>
        <w:ind w:left="60" w:right="459" w:firstLine="324"/>
        <w:spacing w:after="0" w:line="282" w:lineRule="auto"/>
        <w:rPr>
          <w:sz w:val="20"/>
          <w:szCs w:val="20"/>
          <w:color w:val="auto"/>
        </w:rPr>
      </w:pPr>
      <w:r>
        <w:rPr>
          <w:rFonts w:ascii="Times New Roman" w:cs="Times New Roman" w:eastAsia="Times New Roman" w:hAnsi="Times New Roman"/>
          <w:sz w:val="18"/>
          <w:szCs w:val="18"/>
          <w:color w:val="auto"/>
        </w:rPr>
        <w:t>The aggregate payments of finance and operating lease liabilities subsequent to September 30, 2026, for the years ending December 31 are:</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700" w:type="dxa"/>
            <w:vAlign w:val="bottom"/>
          </w:tcPr>
          <w:p>
            <w:pPr>
              <w:spacing w:after="0"/>
              <w:rPr>
                <w:sz w:val="15"/>
                <w:szCs w:val="15"/>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11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0" w:type="dxa"/>
            <w:vAlign w:val="bottom"/>
          </w:tcPr>
          <w:p>
            <w:pPr>
              <w:spacing w:after="0"/>
              <w:rPr>
                <w:sz w:val="1"/>
                <w:szCs w:val="1"/>
                <w:color w:val="auto"/>
              </w:rPr>
            </w:pPr>
          </w:p>
        </w:tc>
      </w:tr>
      <w:tr>
        <w:trPr>
          <w:trHeight w:val="210"/>
        </w:trPr>
        <w:tc>
          <w:tcPr>
            <w:tcW w:w="67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395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291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188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991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Less imputed interest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911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7. Accounts Receivable and Other Assets</w:t>
            </w: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7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Accounts receivable and other assets consist of the following:</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11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 September 30,</w:t>
            </w:r>
          </w:p>
        </w:tc>
        <w:tc>
          <w:tcPr>
            <w:tcW w:w="110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 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7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7,204</w:t>
            </w:r>
          </w:p>
        </w:tc>
        <w:tc>
          <w:tcPr>
            <w:tcW w:w="200" w:type="dxa"/>
            <w:vAlign w:val="bottom"/>
            <w:gridSpan w:val="2"/>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Homesite sales receivable</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35,883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3,769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10,851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Straight-line rent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4,015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7,502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2,398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receivable for Senior Notes held by SPE</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2,938</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Total accounts receivable and other assets</w:t>
            </w:r>
          </w:p>
        </w:tc>
        <w:tc>
          <w:tcPr>
            <w:tcW w:w="16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73,330</w:t>
            </w:r>
          </w:p>
        </w:tc>
        <w:tc>
          <w:tcPr>
            <w:tcW w:w="200" w:type="dxa"/>
            <w:vAlign w:val="bottom"/>
            <w:gridSpan w:val="2"/>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73,782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229"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Accounts receivable, net primarily include membership fees, hospitality receivables, real estate receivables, leasing receivables and other receivables. Accounts receivable, net had opening balances of $11.0 million and $14.6 million, as of January 1, 2026 and 2025, respectively.</w:t>
      </w:r>
    </w:p>
    <w:p>
      <w:pPr>
        <w:spacing w:after="0" w:line="176"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 xml:space="preserve">At each reporting period, accounts receivable in the scope of Accounting Standards Codification (“ASC”) Topic 326, </w:t>
      </w:r>
      <w:r>
        <w:rPr>
          <w:rFonts w:ascii="Times New Roman" w:cs="Times New Roman" w:eastAsia="Times New Roman" w:hAnsi="Times New Roman"/>
          <w:sz w:val="18"/>
          <w:szCs w:val="18"/>
          <w:i w:val="1"/>
          <w:iCs w:val="1"/>
          <w:color w:val="auto"/>
        </w:rPr>
        <w:t xml:space="preserve">Financial Instruments—Credit Losses </w:t>
      </w:r>
      <w:r>
        <w:rPr>
          <w:rFonts w:ascii="Times New Roman" w:cs="Times New Roman" w:eastAsia="Times New Roman" w:hAnsi="Times New Roman"/>
          <w:sz w:val="18"/>
          <w:szCs w:val="18"/>
          <w:color w:val="auto"/>
        </w:rPr>
        <w:t>(“Topic 326”) are pooled by type and judgements are made based on historical losses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expected credit losses based on economic trends to determine the allowance for credit losses primarily using the aging method. Actual losses could differ from those estimates. Write-offs are recorded when the Company concludes that all or a portion of the receivable is no longer collectible. As of September 30, 2026 and December 31, 2025, accounts receivable, net were presented net of allowance for credit losses and net of allowance for lease related receivables of $0.9 million and $0.5 million, respectively. During the nine months ended September 30, 2026 and 2025, allowance for credit losses and allowance for leases related to accounts receivable, net increased $0.4 million and $0.1 million, respectively.</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Homesite Sales Receivable</w:t>
      </w:r>
    </w:p>
    <w:p>
      <w:pPr>
        <w:spacing w:after="0" w:line="229"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Homesite sales receivable from contracts with customers include estimated homesite residuals and certain estimated fees that are recognized as revenue at the time of sale to homebuilders, subject to constraints. Estimated homesite residuals and certain estimated fees recognized as revenue may vary significantly from period to period due to the mix and number of homesites sold in specific communities during each period. Any change in circumstances from the estimated amounts will be updated at each reporting period. The receivable will be collected as the homebuilders build the homes and sell to retail consumers, which can occur over multiple years.</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presents the changes in homesite sales receivable:</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40" w:type="dxa"/>
            <w:vAlign w:val="bottom"/>
          </w:tcPr>
          <w:p>
            <w:pPr>
              <w:spacing w:after="0"/>
              <w:rPr>
                <w:sz w:val="13"/>
                <w:szCs w:val="13"/>
                <w:color w:val="auto"/>
              </w:rPr>
            </w:pP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68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28,075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25,788</w:t>
            </w:r>
          </w:p>
        </w:tc>
      </w:tr>
      <w:tr>
        <w:trPr>
          <w:trHeight w:val="216"/>
        </w:trPr>
        <w:tc>
          <w:tcPr>
            <w:tcW w:w="6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Increases due to revenue recognized for homesites sold</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4,737</w:t>
            </w:r>
          </w:p>
        </w:tc>
      </w:tr>
      <w:tr>
        <w:trPr>
          <w:trHeight w:val="216"/>
        </w:trPr>
        <w:tc>
          <w:tcPr>
            <w:tcW w:w="6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Decreases due to amounts received</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(8,057)</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(7,902)</w:t>
            </w:r>
          </w:p>
        </w:tc>
      </w:tr>
      <w:tr>
        <w:trPr>
          <w:trHeight w:val="210"/>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end of period</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35,883</w:t>
            </w:r>
          </w:p>
        </w:tc>
        <w:tc>
          <w:tcPr>
            <w:tcW w:w="1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22,623</w:t>
            </w:r>
          </w:p>
        </w:tc>
      </w:tr>
      <w:tr>
        <w:trPr>
          <w:trHeight w:val="20"/>
        </w:trPr>
        <w:tc>
          <w:tcPr>
            <w:tcW w:w="6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w:t>
      </w:r>
    </w:p>
    <w:p>
      <w:pPr>
        <w:spacing w:after="0" w:line="229" w:lineRule="exact"/>
        <w:rPr>
          <w:sz w:val="20"/>
          <w:szCs w:val="20"/>
          <w:color w:val="auto"/>
        </w:rPr>
      </w:pPr>
    </w:p>
    <w:p>
      <w:pPr>
        <w:ind w:left="60" w:right="579" w:firstLine="324"/>
        <w:spacing w:after="0" w:line="266" w:lineRule="auto"/>
        <w:rPr>
          <w:sz w:val="20"/>
          <w:szCs w:val="20"/>
          <w:color w:val="auto"/>
        </w:rPr>
      </w:pPr>
      <w:r>
        <w:rPr>
          <w:rFonts w:ascii="Times New Roman" w:cs="Times New Roman" w:eastAsia="Times New Roman" w:hAnsi="Times New Roman"/>
          <w:sz w:val="18"/>
          <w:szCs w:val="18"/>
          <w:color w:val="auto"/>
        </w:rPr>
        <w:t>Prepaid expenses as of September 30, 2026 and December 31, 2025, include commercial leasing related prepaid expenses of $3.3 million and $4.0 million, respectively, and prepaid insurance of $4.9 million and $4.1 million, respectively, as well as other prepaid items.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Restricted cash as of September 30, 2026 and December 31, 2025, includes cash and escrow deposits primarily related to requirements for financing, development for certain of the Company’s projects or long-term mitigation bank management.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Assets</w:t>
      </w:r>
    </w:p>
    <w:p>
      <w:pPr>
        <w:spacing w:after="0" w:line="229" w:lineRule="exact"/>
        <w:rPr>
          <w:sz w:val="20"/>
          <w:szCs w:val="20"/>
          <w:color w:val="auto"/>
        </w:rPr>
      </w:pPr>
    </w:p>
    <w:p>
      <w:pPr>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 xml:space="preserve">Other assets as of September 30, 2026 and December 31, 2025, include $0.7 million and $1.1 million, respectively, for the fair value of derivative assets. See Note 5. </w:t>
      </w:r>
      <w:r>
        <w:rPr>
          <w:rFonts w:ascii="Times New Roman" w:cs="Times New Roman" w:eastAsia="Times New Roman" w:hAnsi="Times New Roman"/>
          <w:sz w:val="18"/>
          <w:szCs w:val="18"/>
          <w:i w:val="1"/>
          <w:iCs w:val="1"/>
          <w:color w:val="auto"/>
        </w:rPr>
        <w:t>Financial Instruments and Fair Value Measurements</w:t>
      </w:r>
      <w:r>
        <w:rPr>
          <w:rFonts w:ascii="Times New Roman" w:cs="Times New Roman" w:eastAsia="Times New Roman" w:hAnsi="Times New Roman"/>
          <w:sz w:val="18"/>
          <w:szCs w:val="18"/>
          <w:color w:val="auto"/>
        </w:rPr>
        <w:t xml:space="preserve">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Debt, Net</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Debt consists of the following:</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Effective Rate</w:t>
            </w:r>
          </w:p>
        </w:tc>
        <w:tc>
          <w:tcPr>
            <w:tcW w:w="220" w:type="dxa"/>
            <w:vAlign w:val="bottom"/>
          </w:tcPr>
          <w:p>
            <w:pPr>
              <w:spacing w:after="0"/>
              <w:rPr>
                <w:sz w:val="13"/>
                <w:szCs w:val="13"/>
                <w:color w:val="auto"/>
              </w:rPr>
            </w:pPr>
          </w:p>
        </w:tc>
        <w:tc>
          <w:tcPr>
            <w:tcW w:w="10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3"/>
                <w:szCs w:val="13"/>
                <w:color w:val="auto"/>
              </w:rPr>
            </w:pPr>
          </w:p>
        </w:tc>
        <w:tc>
          <w:tcPr>
            <w:tcW w:w="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40" w:type="dxa"/>
            <w:vAlign w:val="bottom"/>
          </w:tcPr>
          <w:p>
            <w:pPr>
              <w:spacing w:after="0"/>
              <w:rPr>
                <w:sz w:val="12"/>
                <w:szCs w:val="12"/>
                <w:color w:val="auto"/>
              </w:rPr>
            </w:pPr>
          </w:p>
        </w:tc>
        <w:tc>
          <w:tcPr>
            <w:tcW w:w="14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Interest Rate Terms</w:t>
            </w: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700" w:type="dxa"/>
            <w:vAlign w:val="bottom"/>
            <w:tcBorders>
              <w:top w:val="single" w:sz="8" w:color="CCEEFF"/>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Watersound Origins Crossings JV Loan</w:t>
            </w:r>
          </w:p>
        </w:tc>
        <w:tc>
          <w:tcPr>
            <w:tcW w:w="12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(insured by HUD)</w:t>
            </w:r>
          </w:p>
        </w:tc>
        <w:tc>
          <w:tcPr>
            <w:tcW w:w="1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April 2058</w:t>
            </w:r>
          </w:p>
        </w:tc>
        <w:tc>
          <w:tcPr>
            <w:tcW w:w="16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Fixed</w:t>
            </w:r>
          </w:p>
        </w:tc>
        <w:tc>
          <w:tcPr>
            <w:tcW w:w="10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5.0 %</w:t>
            </w:r>
          </w:p>
        </w:tc>
        <w:tc>
          <w:tcPr>
            <w:tcW w:w="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50,839</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Pier Park Resort Hotel JV Loan</w:t>
            </w: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April 2027</w:t>
            </w:r>
          </w:p>
        </w:tc>
        <w:tc>
          <w:tcPr>
            <w:tcW w:w="1600" w:type="dxa"/>
            <w:vAlign w:val="bottom"/>
            <w:gridSpan w:val="3"/>
          </w:tcPr>
          <w:p>
            <w:pPr>
              <w:ind w:left="120"/>
              <w:spacing w:after="0" w:line="216" w:lineRule="exact"/>
              <w:rPr>
                <w:sz w:val="20"/>
                <w:szCs w:val="20"/>
                <w:color w:val="auto"/>
              </w:rPr>
            </w:pPr>
            <w:r>
              <w:rPr>
                <w:rFonts w:ascii="Times New Roman" w:cs="Times New Roman" w:eastAsia="Times New Roman" w:hAnsi="Times New Roman"/>
                <w:sz w:val="15"/>
                <w:szCs w:val="15"/>
                <w:color w:val="auto"/>
              </w:rPr>
              <w:t xml:space="preserve">SOFR plus 2.1% </w:t>
            </w:r>
            <w:r>
              <w:rPr>
                <w:rFonts w:ascii="Times New Roman" w:cs="Times New Roman" w:eastAsia="Times New Roman" w:hAnsi="Times New Roman"/>
                <w:sz w:val="22"/>
                <w:szCs w:val="22"/>
                <w:color w:val="auto"/>
                <w:vertAlign w:val="superscript"/>
              </w:rPr>
              <w:t>(a)</w:t>
            </w: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3.8 %</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48,977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49,817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Mexico Beach Crossings JV Loan</w:t>
            </w: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(insured by HUD)</w:t>
            </w:r>
          </w:p>
        </w:tc>
        <w:tc>
          <w:tcPr>
            <w:tcW w:w="1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March 2064</w:t>
            </w:r>
          </w:p>
        </w:tc>
        <w:tc>
          <w:tcPr>
            <w:tcW w:w="16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Fixed</w:t>
            </w:r>
          </w:p>
        </w:tc>
        <w:tc>
          <w:tcPr>
            <w:tcW w:w="10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3.0 %</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42,057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PPN JV Loan</w:t>
            </w: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October 2035</w:t>
            </w:r>
          </w:p>
        </w:tc>
        <w:tc>
          <w:tcPr>
            <w:tcW w:w="1600" w:type="dxa"/>
            <w:vAlign w:val="bottom"/>
            <w:gridSpan w:val="3"/>
          </w:tcPr>
          <w:p>
            <w:pPr>
              <w:ind w:left="120"/>
              <w:spacing w:after="0"/>
              <w:rPr>
                <w:sz w:val="20"/>
                <w:szCs w:val="20"/>
                <w:color w:val="auto"/>
              </w:rPr>
            </w:pPr>
            <w:r>
              <w:rPr>
                <w:rFonts w:ascii="Times New Roman" w:cs="Times New Roman" w:eastAsia="Times New Roman" w:hAnsi="Times New Roman"/>
                <w:sz w:val="15"/>
                <w:szCs w:val="15"/>
                <w:color w:val="auto"/>
              </w:rPr>
              <w:t>Fixed</w:t>
            </w: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6.1 %</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39,561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PPC JV Loan (insured by HUD)</w:t>
            </w:r>
          </w:p>
        </w:tc>
        <w:tc>
          <w:tcPr>
            <w:tcW w:w="1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June 2060</w:t>
            </w:r>
          </w:p>
        </w:tc>
        <w:tc>
          <w:tcPr>
            <w:tcW w:w="16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Fixed</w:t>
            </w:r>
          </w:p>
        </w:tc>
        <w:tc>
          <w:tcPr>
            <w:tcW w:w="10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3.1 %</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33,202</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Pearl Hotel Loan</w:t>
            </w: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December 2032</w:t>
            </w:r>
          </w:p>
        </w:tc>
        <w:tc>
          <w:tcPr>
            <w:tcW w:w="1600" w:type="dxa"/>
            <w:vAlign w:val="bottom"/>
            <w:gridSpan w:val="3"/>
          </w:tcPr>
          <w:p>
            <w:pPr>
              <w:ind w:left="120"/>
              <w:spacing w:after="0"/>
              <w:rPr>
                <w:sz w:val="20"/>
                <w:szCs w:val="20"/>
                <w:color w:val="auto"/>
              </w:rPr>
            </w:pPr>
            <w:r>
              <w:rPr>
                <w:rFonts w:ascii="Times New Roman" w:cs="Times New Roman" w:eastAsia="Times New Roman" w:hAnsi="Times New Roman"/>
                <w:sz w:val="15"/>
                <w:szCs w:val="15"/>
                <w:color w:val="auto"/>
              </w:rPr>
              <w:t>Fixed</w:t>
            </w: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6.3 %</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30,950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32,560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North Bay Landing Loan (insured by</w:t>
            </w: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HUD)</w:t>
            </w:r>
          </w:p>
        </w:tc>
        <w:tc>
          <w:tcPr>
            <w:tcW w:w="1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March 2060</w:t>
            </w:r>
          </w:p>
        </w:tc>
        <w:tc>
          <w:tcPr>
            <w:tcW w:w="16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Fixed</w:t>
            </w:r>
          </w:p>
        </w:tc>
        <w:tc>
          <w:tcPr>
            <w:tcW w:w="10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5.9 %</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27,429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27,619</w:t>
            </w:r>
          </w:p>
        </w:tc>
        <w:tc>
          <w:tcPr>
            <w:tcW w:w="0" w:type="dxa"/>
            <w:vAlign w:val="bottom"/>
          </w:tcPr>
          <w:p>
            <w:pPr>
              <w:spacing w:after="0"/>
              <w:rPr>
                <w:sz w:val="1"/>
                <w:szCs w:val="1"/>
                <w:color w:val="auto"/>
              </w:rPr>
            </w:pPr>
          </w:p>
        </w:tc>
      </w:tr>
      <w:tr>
        <w:trPr>
          <w:trHeight w:val="145"/>
        </w:trPr>
        <w:tc>
          <w:tcPr>
            <w:tcW w:w="27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Watersound Camp Creek Loan</w:t>
            </w:r>
          </w:p>
        </w:tc>
        <w:tc>
          <w:tcPr>
            <w:tcW w:w="13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December 2047</w:t>
            </w:r>
          </w:p>
        </w:tc>
        <w:tc>
          <w:tcPr>
            <w:tcW w:w="1600" w:type="dxa"/>
            <w:vAlign w:val="bottom"/>
            <w:gridSpan w:val="3"/>
          </w:tcPr>
          <w:p>
            <w:pPr>
              <w:ind w:left="120"/>
              <w:spacing w:after="0" w:line="145" w:lineRule="exact"/>
              <w:rPr>
                <w:sz w:val="20"/>
                <w:szCs w:val="20"/>
                <w:color w:val="auto"/>
              </w:rPr>
            </w:pPr>
            <w:r>
              <w:rPr>
                <w:rFonts w:ascii="Times New Roman" w:cs="Times New Roman" w:eastAsia="Times New Roman" w:hAnsi="Times New Roman"/>
                <w:sz w:val="15"/>
                <w:szCs w:val="15"/>
                <w:color w:val="auto"/>
              </w:rPr>
              <w:t>SOFR plus 2.1%,</w:t>
            </w:r>
          </w:p>
        </w:tc>
        <w:tc>
          <w:tcPr>
            <w:tcW w:w="108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6.0 %</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26,384</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26,843</w:t>
            </w:r>
          </w:p>
        </w:tc>
        <w:tc>
          <w:tcPr>
            <w:tcW w:w="0" w:type="dxa"/>
            <w:vAlign w:val="bottom"/>
          </w:tcPr>
          <w:p>
            <w:pPr>
              <w:spacing w:after="0"/>
              <w:rPr>
                <w:sz w:val="1"/>
                <w:szCs w:val="1"/>
                <w:color w:val="auto"/>
              </w:rPr>
            </w:pPr>
          </w:p>
        </w:tc>
      </w:tr>
      <w:tr>
        <w:trPr>
          <w:trHeight w:val="179"/>
        </w:trPr>
        <w:tc>
          <w:tcPr>
            <w:tcW w:w="2720" w:type="dxa"/>
            <w:vAlign w:val="bottom"/>
            <w:gridSpan w:val="3"/>
            <w:vMerge w:val="continue"/>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600" w:type="dxa"/>
            <w:vAlign w:val="bottom"/>
            <w:gridSpan w:val="3"/>
          </w:tcPr>
          <w:p>
            <w:pPr>
              <w:ind w:left="120"/>
              <w:spacing w:after="0"/>
              <w:rPr>
                <w:sz w:val="20"/>
                <w:szCs w:val="20"/>
                <w:color w:val="auto"/>
              </w:rPr>
            </w:pPr>
            <w:r>
              <w:rPr>
                <w:rFonts w:ascii="Times New Roman" w:cs="Times New Roman" w:eastAsia="Times New Roman" w:hAnsi="Times New Roman"/>
                <w:sz w:val="15"/>
                <w:szCs w:val="15"/>
                <w:color w:val="auto"/>
              </w:rPr>
              <w:t>floor 2.6%</w:t>
            </w:r>
          </w:p>
        </w:tc>
        <w:tc>
          <w:tcPr>
            <w:tcW w:w="10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PPC II JV Loan (insured by HUD)</w:t>
            </w:r>
          </w:p>
        </w:tc>
        <w:tc>
          <w:tcPr>
            <w:tcW w:w="1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May 2057</w:t>
            </w:r>
          </w:p>
        </w:tc>
        <w:tc>
          <w:tcPr>
            <w:tcW w:w="16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Fixed</w:t>
            </w:r>
          </w:p>
        </w:tc>
        <w:tc>
          <w:tcPr>
            <w:tcW w:w="10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2.7 %</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21,035</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21,365</w:t>
            </w:r>
          </w:p>
        </w:tc>
        <w:tc>
          <w:tcPr>
            <w:tcW w:w="0" w:type="dxa"/>
            <w:vAlign w:val="bottom"/>
          </w:tcPr>
          <w:p>
            <w:pPr>
              <w:spacing w:after="0"/>
              <w:rPr>
                <w:sz w:val="1"/>
                <w:szCs w:val="1"/>
                <w:color w:val="auto"/>
              </w:rPr>
            </w:pPr>
          </w:p>
        </w:tc>
      </w:tr>
      <w:tr>
        <w:trPr>
          <w:trHeight w:val="145"/>
        </w:trPr>
        <w:tc>
          <w:tcPr>
            <w:tcW w:w="27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Hotel Indigo Loan</w:t>
            </w:r>
          </w:p>
        </w:tc>
        <w:tc>
          <w:tcPr>
            <w:tcW w:w="13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October 2028</w:t>
            </w:r>
          </w:p>
        </w:tc>
        <w:tc>
          <w:tcPr>
            <w:tcW w:w="1600" w:type="dxa"/>
            <w:vAlign w:val="bottom"/>
            <w:gridSpan w:val="3"/>
          </w:tcPr>
          <w:p>
            <w:pPr>
              <w:ind w:left="120"/>
              <w:spacing w:after="0" w:line="145" w:lineRule="exact"/>
              <w:rPr>
                <w:sz w:val="20"/>
                <w:szCs w:val="20"/>
                <w:color w:val="auto"/>
              </w:rPr>
            </w:pPr>
            <w:r>
              <w:rPr>
                <w:rFonts w:ascii="Times New Roman" w:cs="Times New Roman" w:eastAsia="Times New Roman" w:hAnsi="Times New Roman"/>
                <w:sz w:val="15"/>
                <w:szCs w:val="15"/>
                <w:color w:val="auto"/>
              </w:rPr>
              <w:t>SOFR plus 2.5%,</w:t>
            </w:r>
          </w:p>
        </w:tc>
        <w:tc>
          <w:tcPr>
            <w:tcW w:w="108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6.4 %</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16,149</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19,024</w:t>
            </w:r>
          </w:p>
        </w:tc>
        <w:tc>
          <w:tcPr>
            <w:tcW w:w="0" w:type="dxa"/>
            <w:vAlign w:val="bottom"/>
          </w:tcPr>
          <w:p>
            <w:pPr>
              <w:spacing w:after="0"/>
              <w:rPr>
                <w:sz w:val="1"/>
                <w:szCs w:val="1"/>
                <w:color w:val="auto"/>
              </w:rPr>
            </w:pPr>
          </w:p>
        </w:tc>
      </w:tr>
      <w:tr>
        <w:trPr>
          <w:trHeight w:val="179"/>
        </w:trPr>
        <w:tc>
          <w:tcPr>
            <w:tcW w:w="2720" w:type="dxa"/>
            <w:vAlign w:val="bottom"/>
            <w:gridSpan w:val="3"/>
            <w:vMerge w:val="continue"/>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600" w:type="dxa"/>
            <w:vAlign w:val="bottom"/>
            <w:gridSpan w:val="3"/>
          </w:tcPr>
          <w:p>
            <w:pPr>
              <w:ind w:left="120"/>
              <w:spacing w:after="0"/>
              <w:rPr>
                <w:sz w:val="20"/>
                <w:szCs w:val="20"/>
                <w:color w:val="auto"/>
              </w:rPr>
            </w:pPr>
            <w:r>
              <w:rPr>
                <w:rFonts w:ascii="Times New Roman" w:cs="Times New Roman" w:eastAsia="Times New Roman" w:hAnsi="Times New Roman"/>
                <w:sz w:val="15"/>
                <w:szCs w:val="15"/>
                <w:color w:val="auto"/>
              </w:rPr>
              <w:t>floor 2.5%</w:t>
            </w:r>
          </w:p>
        </w:tc>
        <w:tc>
          <w:tcPr>
            <w:tcW w:w="10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Lodge 30A JV Loan</w:t>
            </w:r>
          </w:p>
        </w:tc>
        <w:tc>
          <w:tcPr>
            <w:tcW w:w="1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January 2028</w:t>
            </w:r>
          </w:p>
        </w:tc>
        <w:tc>
          <w:tcPr>
            <w:tcW w:w="16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Fixed</w:t>
            </w:r>
          </w:p>
        </w:tc>
        <w:tc>
          <w:tcPr>
            <w:tcW w:w="10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3.8 %</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13,165</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Breakfast Point Hotel Loan</w:t>
            </w: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November 2042</w:t>
            </w:r>
          </w:p>
        </w:tc>
        <w:tc>
          <w:tcPr>
            <w:tcW w:w="1600" w:type="dxa"/>
            <w:vAlign w:val="bottom"/>
            <w:gridSpan w:val="3"/>
          </w:tcPr>
          <w:p>
            <w:pPr>
              <w:ind w:left="120"/>
              <w:spacing w:after="0" w:line="203" w:lineRule="exact"/>
              <w:rPr>
                <w:sz w:val="20"/>
                <w:szCs w:val="20"/>
                <w:color w:val="auto"/>
              </w:rPr>
            </w:pPr>
            <w:r>
              <w:rPr>
                <w:rFonts w:ascii="Times New Roman" w:cs="Times New Roman" w:eastAsia="Times New Roman" w:hAnsi="Times New Roman"/>
                <w:sz w:val="15"/>
                <w:szCs w:val="15"/>
                <w:color w:val="auto"/>
              </w:rPr>
              <w:t xml:space="preserve">Fixed </w:t>
            </w:r>
            <w:r>
              <w:rPr>
                <w:rFonts w:ascii="Times New Roman" w:cs="Times New Roman" w:eastAsia="Times New Roman" w:hAnsi="Times New Roman"/>
                <w:sz w:val="22"/>
                <w:szCs w:val="22"/>
                <w:color w:val="auto"/>
                <w:vertAlign w:val="superscript"/>
              </w:rPr>
              <w:t>(b)</w:t>
            </w: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6.0 %</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12,566</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14,978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May 2028-May</w:t>
            </w: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Community Development District debt</w:t>
            </w:r>
          </w:p>
        </w:tc>
        <w:tc>
          <w:tcPr>
            <w:tcW w:w="1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2039</w:t>
            </w:r>
          </w:p>
        </w:tc>
        <w:tc>
          <w:tcPr>
            <w:tcW w:w="16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Fixed</w:t>
            </w:r>
          </w:p>
        </w:tc>
        <w:tc>
          <w:tcPr>
            <w:tcW w:w="10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3.6 to 6.0 %</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2,604</w:t>
            </w:r>
          </w:p>
        </w:tc>
        <w:tc>
          <w:tcPr>
            <w:tcW w:w="0" w:type="dxa"/>
            <w:vAlign w:val="bottom"/>
          </w:tcPr>
          <w:p>
            <w:pPr>
              <w:spacing w:after="0"/>
              <w:rPr>
                <w:sz w:val="1"/>
                <w:szCs w:val="1"/>
                <w:color w:val="auto"/>
              </w:rPr>
            </w:pPr>
          </w:p>
        </w:tc>
      </w:tr>
      <w:tr>
        <w:trPr>
          <w:trHeight w:val="145"/>
        </w:trPr>
        <w:tc>
          <w:tcPr>
            <w:tcW w:w="27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Topsail Hotel Loan</w:t>
            </w:r>
          </w:p>
        </w:tc>
        <w:tc>
          <w:tcPr>
            <w:tcW w:w="13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July 2027</w:t>
            </w:r>
          </w:p>
        </w:tc>
        <w:tc>
          <w:tcPr>
            <w:tcW w:w="1600" w:type="dxa"/>
            <w:vAlign w:val="bottom"/>
            <w:gridSpan w:val="3"/>
          </w:tcPr>
          <w:p>
            <w:pPr>
              <w:ind w:left="120"/>
              <w:spacing w:after="0" w:line="145" w:lineRule="exact"/>
              <w:rPr>
                <w:sz w:val="20"/>
                <w:szCs w:val="20"/>
                <w:color w:val="auto"/>
              </w:rPr>
            </w:pPr>
            <w:r>
              <w:rPr>
                <w:rFonts w:ascii="Times New Roman" w:cs="Times New Roman" w:eastAsia="Times New Roman" w:hAnsi="Times New Roman"/>
                <w:sz w:val="15"/>
                <w:szCs w:val="15"/>
                <w:color w:val="auto"/>
              </w:rPr>
              <w:t>SOFR plus 2.1%,</w:t>
            </w:r>
          </w:p>
        </w:tc>
        <w:tc>
          <w:tcPr>
            <w:tcW w:w="108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6.0 %</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999</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11,215</w:t>
            </w:r>
          </w:p>
        </w:tc>
        <w:tc>
          <w:tcPr>
            <w:tcW w:w="0" w:type="dxa"/>
            <w:vAlign w:val="bottom"/>
          </w:tcPr>
          <w:p>
            <w:pPr>
              <w:spacing w:after="0"/>
              <w:rPr>
                <w:sz w:val="1"/>
                <w:szCs w:val="1"/>
                <w:color w:val="auto"/>
              </w:rPr>
            </w:pPr>
          </w:p>
        </w:tc>
      </w:tr>
      <w:tr>
        <w:trPr>
          <w:trHeight w:val="179"/>
        </w:trPr>
        <w:tc>
          <w:tcPr>
            <w:tcW w:w="2720" w:type="dxa"/>
            <w:vAlign w:val="bottom"/>
            <w:gridSpan w:val="3"/>
            <w:vMerge w:val="continue"/>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600" w:type="dxa"/>
            <w:vAlign w:val="bottom"/>
            <w:gridSpan w:val="3"/>
          </w:tcPr>
          <w:p>
            <w:pPr>
              <w:ind w:left="120"/>
              <w:spacing w:after="0"/>
              <w:rPr>
                <w:sz w:val="20"/>
                <w:szCs w:val="20"/>
                <w:color w:val="auto"/>
              </w:rPr>
            </w:pPr>
            <w:r>
              <w:rPr>
                <w:rFonts w:ascii="Times New Roman" w:cs="Times New Roman" w:eastAsia="Times New Roman" w:hAnsi="Times New Roman"/>
                <w:sz w:val="15"/>
                <w:szCs w:val="15"/>
                <w:color w:val="auto"/>
              </w:rPr>
              <w:t>floor 3.0%</w:t>
            </w:r>
          </w:p>
        </w:tc>
        <w:tc>
          <w:tcPr>
            <w:tcW w:w="10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70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Watersound Town Center Grocery Loan</w:t>
            </w:r>
          </w:p>
        </w:tc>
        <w:tc>
          <w:tcPr>
            <w:tcW w:w="130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N/A</w:t>
            </w:r>
          </w:p>
        </w:tc>
        <w:tc>
          <w:tcPr>
            <w:tcW w:w="1600" w:type="dxa"/>
            <w:vAlign w:val="bottom"/>
            <w:gridSpan w:val="3"/>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N/A</w:t>
            </w:r>
          </w:p>
        </w:tc>
        <w:tc>
          <w:tcPr>
            <w:tcW w:w="1080" w:type="dxa"/>
            <w:vAlign w:val="bottom"/>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N/A</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w:t>
            </w:r>
          </w:p>
        </w:tc>
        <w:tc>
          <w:tcPr>
            <w:tcW w:w="1300" w:type="dxa"/>
            <w:vAlign w:val="bottom"/>
            <w:gridSpan w:val="2"/>
            <w:vMerge w:val="continue"/>
            <w:shd w:val="clear" w:color="auto" w:fill="CCEEFF"/>
          </w:tcPr>
          <w:p>
            <w:pPr>
              <w:spacing w:after="0"/>
              <w:rPr>
                <w:sz w:val="12"/>
                <w:szCs w:val="12"/>
                <w:color w:val="auto"/>
              </w:rPr>
            </w:pPr>
          </w:p>
        </w:tc>
        <w:tc>
          <w:tcPr>
            <w:tcW w:w="1600" w:type="dxa"/>
            <w:vAlign w:val="bottom"/>
            <w:gridSpan w:val="3"/>
            <w:vMerge w:val="continue"/>
            <w:shd w:val="clear" w:color="auto" w:fill="CCEEFF"/>
          </w:tcPr>
          <w:p>
            <w:pPr>
              <w:spacing w:after="0"/>
              <w:rPr>
                <w:sz w:val="12"/>
                <w:szCs w:val="12"/>
                <w:color w:val="auto"/>
              </w:rPr>
            </w:pPr>
          </w:p>
        </w:tc>
        <w:tc>
          <w:tcPr>
            <w:tcW w:w="1080" w:type="dxa"/>
            <w:vAlign w:val="bottom"/>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gridSpan w:val="2"/>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gridSpan w:val="2"/>
          </w:tcPr>
          <w:p>
            <w:pPr>
              <w:spacing w:after="0" w:line="202" w:lineRule="exact"/>
              <w:rPr>
                <w:sz w:val="20"/>
                <w:szCs w:val="20"/>
                <w:color w:val="auto"/>
              </w:rPr>
            </w:pPr>
            <w:r>
              <w:rPr>
                <w:rFonts w:ascii="Times New Roman" w:cs="Times New Roman" w:eastAsia="Times New Roman" w:hAnsi="Times New Roman"/>
                <w:sz w:val="16"/>
                <w:szCs w:val="16"/>
                <w:color w:val="auto"/>
              </w:rPr>
              <w:t xml:space="preserve">Airport Hotel Loan </w:t>
            </w:r>
            <w:r>
              <w:rPr>
                <w:rFonts w:ascii="Times New Roman" w:cs="Times New Roman" w:eastAsia="Times New Roman" w:hAnsi="Times New Roman"/>
                <w:sz w:val="23"/>
                <w:szCs w:val="23"/>
                <w:color w:val="auto"/>
                <w:vertAlign w:val="superscript"/>
              </w:rPr>
              <w:t>(c)</w:t>
            </w: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N/A</w:t>
            </w:r>
          </w:p>
        </w:tc>
        <w:tc>
          <w:tcPr>
            <w:tcW w:w="16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N/A</w:t>
            </w:r>
          </w:p>
        </w:tc>
        <w:tc>
          <w:tcPr>
            <w:tcW w:w="108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N/A</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6"/>
                <w:szCs w:val="16"/>
                <w:color w:val="auto"/>
              </w:rPr>
              <w:t xml:space="preserve">Beckrich Building III Loan </w:t>
            </w:r>
            <w:r>
              <w:rPr>
                <w:rFonts w:ascii="Times New Roman" w:cs="Times New Roman" w:eastAsia="Times New Roman" w:hAnsi="Times New Roman"/>
                <w:sz w:val="23"/>
                <w:szCs w:val="23"/>
                <w:color w:val="auto"/>
                <w:vertAlign w:val="superscript"/>
              </w:rPr>
              <w:t>(c)</w:t>
            </w:r>
          </w:p>
        </w:tc>
        <w:tc>
          <w:tcPr>
            <w:tcW w:w="1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N/A</w:t>
            </w:r>
          </w:p>
        </w:tc>
        <w:tc>
          <w:tcPr>
            <w:tcW w:w="16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N/A</w:t>
            </w:r>
          </w:p>
        </w:tc>
        <w:tc>
          <w:tcPr>
            <w:tcW w:w="108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N/A</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0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Total principal outstanding</w:t>
            </w:r>
          </w:p>
        </w:tc>
        <w:tc>
          <w:tcPr>
            <w:tcW w:w="120" w:type="dxa"/>
            <w:vAlign w:val="bottom"/>
            <w:tcBorders>
              <w:bottom w:val="single" w:sz="8" w:color="CCEEFF"/>
            </w:tcBorders>
          </w:tcPr>
          <w:p>
            <w:pPr>
              <w:spacing w:after="0"/>
              <w:rPr>
                <w:sz w:val="17"/>
                <w:szCs w:val="17"/>
                <w:color w:val="auto"/>
              </w:rPr>
            </w:pPr>
          </w:p>
        </w:tc>
        <w:tc>
          <w:tcPr>
            <w:tcW w:w="11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3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366,078</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396,008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Unamortized discount and debt issuance costs</w:t>
            </w: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(4,379)</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(4,849)</w:t>
            </w:r>
          </w:p>
        </w:tc>
        <w:tc>
          <w:tcPr>
            <w:tcW w:w="0" w:type="dxa"/>
            <w:vAlign w:val="bottom"/>
          </w:tcPr>
          <w:p>
            <w:pPr>
              <w:spacing w:after="0"/>
              <w:rPr>
                <w:sz w:val="1"/>
                <w:szCs w:val="1"/>
                <w:color w:val="auto"/>
              </w:rPr>
            </w:pPr>
          </w:p>
        </w:tc>
      </w:tr>
      <w:tr>
        <w:trPr>
          <w:trHeight w:val="196"/>
        </w:trPr>
        <w:tc>
          <w:tcPr>
            <w:tcW w:w="27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Total debt, net</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361,699</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391,159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380" w:right="159" w:hanging="330"/>
        <w:spacing w:after="0" w:line="267" w:lineRule="auto"/>
        <w:tabs>
          <w:tab w:leader="none" w:pos="3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Pier Park Resort Hotel JV entered into an interest rate swap that matures in April 2027 and fixed the variable rate on the notional amount of related debt, initially at $42.0 million, amortizing to $38.7 million at swap maturity, to a rate of 3.2%. See Note 5. </w:t>
      </w:r>
      <w:r>
        <w:rPr>
          <w:rFonts w:ascii="Times New Roman" w:cs="Times New Roman" w:eastAsia="Times New Roman" w:hAnsi="Times New Roman"/>
          <w:sz w:val="16"/>
          <w:szCs w:val="16"/>
          <w:i w:val="1"/>
          <w:iCs w:val="1"/>
          <w:color w:val="auto"/>
        </w:rPr>
        <w:t>Financial Instruments and Fair Value Measurements</w:t>
      </w:r>
      <w:r>
        <w:rPr>
          <w:rFonts w:ascii="Times New Roman" w:cs="Times New Roman" w:eastAsia="Times New Roman" w:hAnsi="Times New Roman"/>
          <w:sz w:val="16"/>
          <w:szCs w:val="16"/>
          <w:color w:val="auto"/>
        </w:rPr>
        <w:t xml:space="preserve"> for additional information.</w:t>
      </w:r>
    </w:p>
    <w:p>
      <w:pPr>
        <w:spacing w:after="0" w:line="1" w:lineRule="exact"/>
        <w:rPr>
          <w:rFonts w:ascii="Times New Roman" w:cs="Times New Roman" w:eastAsia="Times New Roman" w:hAnsi="Times New Roman"/>
          <w:sz w:val="16"/>
          <w:szCs w:val="16"/>
          <w:color w:val="auto"/>
        </w:rPr>
      </w:pPr>
    </w:p>
    <w:p>
      <w:pPr>
        <w:ind w:left="380" w:right="279" w:hanging="330"/>
        <w:spacing w:after="0" w:line="264" w:lineRule="auto"/>
        <w:tabs>
          <w:tab w:leader="none" w:pos="3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Breakfast Point Hotel Loan interest rate is fixed through November 2027 and in December 2027 the rate will adjust to the 1-year constant maturity Treasury rate plus 3.3% from December 2027 through November 2042, with a minimum rate of 6.0% throughout the term of the loan.</w:t>
      </w:r>
    </w:p>
    <w:p>
      <w:pPr>
        <w:ind w:left="380" w:hanging="330"/>
        <w:spacing w:after="0"/>
        <w:tabs>
          <w:tab w:leader="none" w:pos="3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first nine months of 2026, the loan was paid in full.</w:t>
      </w:r>
    </w:p>
    <w:p>
      <w:pPr>
        <w:spacing w:after="0" w:line="114"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The Company’s indebtedness consists of various loans on real and leasehold property. These loans are typically secured by various interests in the property such as assignment of rents, leases, deposits, permits, plans, specifications, fees, agreements, approvals, contracts, licenses, construction contracts, development contracts, service contracts, franchise agreements, the borrower’s assets, improvements, and security interests in the rents, personal property, management agreements, construction agreements, improvements, accounts, profits, leases and fixtures (collectively, “Security Interests”). The specific Security Interests vary from loan to loan. As of September 30, 2026, the weighted average effective interest rate of total outstanding debt was 4.7%, of which 85.4% includes fixed or swapped interest rates, and the average remaining life was 19.8 years.</w:t>
      </w:r>
    </w:p>
    <w:p>
      <w:pPr>
        <w:spacing w:after="0" w:line="192"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In 2023, the Watersound Origins Crossings JV refinanced into a $52.9 million loan, insured by the U.S. Department of Housing and Urban Development (“HUD”), for a multi-family community located near the entrance to the Watersound Origins residential community (the “Watersound Origins Crossings JV Loan”). The loan provides for monthly payments of principal and interest through maturity in April 2058. The loan includes a prepayment premium due to the lender of 1% - 7% for any principal that is prepaid through April 2033. The loan is secured by the real property and certain other Security Interests.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 xml:space="preserve">In 2020, the Pier Park Resort Hotel JV entered into a loan with an initial amount of $52.5 million up to a maximum of $60.0 million through additional earn-out requests (the “Pier Park Resort Hotel JV Loan”). The loan was entered into to finance the construction of a hotel in the Pier Park area of Panama City Beach, Florida. The loan provides for monthly principal and interest payments with a final balloon payment at maturity in April 2027. The loan is secured by the real property and certain other Security Interests. In connection with the loan, as guarantors, the Company and the Company’s JV partner entered into a guarantee based on each partner’s ownership interest in favor of the lender, to guarantee the payment and performance of the borrower. As guarantor, the Company’s liability under the Pier Park Resort Hotel JV Loan can be released upon reaching and maintaining certain debt service coverage. In addition, the guarantee can become full recourse in the case of the failure of the guarantor to abide by or perform any of the covenants or warranties to be performed on the part of such guarantor. The Pier Park Resort Hotel JV entered into an interest rate swap to hedge cash flows tied to changes in the underlying floating interest rate tied to SOFR. The interest rate swap matures in April 2027 and fixed the variable rate on the notional amount of related debt, initially at $42.0 million, amortizing to $38.7 million at swap maturity, to a rate of 3.2%. See Note 5. </w:t>
      </w:r>
      <w:r>
        <w:rPr>
          <w:rFonts w:ascii="Times New Roman" w:cs="Times New Roman" w:eastAsia="Times New Roman" w:hAnsi="Times New Roman"/>
          <w:sz w:val="18"/>
          <w:szCs w:val="18"/>
          <w:i w:val="1"/>
          <w:iCs w:val="1"/>
          <w:color w:val="auto"/>
        </w:rPr>
        <w:t>Financial Instruments and Fair Value Measurements</w:t>
      </w:r>
      <w:r>
        <w:rPr>
          <w:rFonts w:ascii="Times New Roman" w:cs="Times New Roman" w:eastAsia="Times New Roman" w:hAnsi="Times New Roman"/>
          <w:sz w:val="18"/>
          <w:szCs w:val="18"/>
          <w:color w:val="auto"/>
        </w:rPr>
        <w:t xml:space="preserve"> for additional information. The Company is currently in the process of refinancing the Pier Park Resort Hotel JV Loan.</w:t>
      </w:r>
    </w:p>
    <w:p>
      <w:pPr>
        <w:spacing w:after="0" w:line="197"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In 2022, the Mexico Beach Crossings JV entered into a $43.5 million loan, insured by HUD, to finance the construction of a multi-family community in Mexico Beach, Florida (the “Mexico Beach Crossings JV Loan”). The loan provides for monthly principal and interest payments through maturity in March 2064. The loan includes a prepayment premium due to the lender of 1% - 8% for any principal that is prepaid through March 2034. The loan is secured by the real property and certain other Security Interests.</w:t>
      </w:r>
    </w:p>
    <w:p>
      <w:pPr>
        <w:spacing w:after="0" w:line="183"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In September 2025, the Pier Park North JV refinanced into a $40.0 million loan (the “PPN JV Loan”). The loan provides for monthly payments of principal and interest with a final balloon payment at maturity in October 2035. The loan may not be prepaid prior to October 2029. Commencing in October 2029 through May 2035, any principal prepaid is subject to a prepayment fee equal to the greater of (i) a prepayment ratio, as outlined in the loan agreement, or (ii) 1% of the amount prepaid. From June 2035 through maturity, the loan may be prepaid without a prepayment fee upon prior written notice. The loan is secured by a first lien on, and Security Interest in, a majority of the Pier Park North JV’s property. In connection with the loan, the Company entered into a limited guarantee in favor of the lender with respect to environmental indemnity matters and specified non-recourse carveouts outlined in the loan agreement. During the nine months ended September 30, 2025, the Company incurred $0.3 million of loan costs due to the refinance.</w:t>
      </w:r>
    </w:p>
    <w:p>
      <w:pPr>
        <w:spacing w:after="0" w:line="188"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In 2018, the Pier Park Crossings JV entered into a $36.6 million loan, insured by HUD, to finance the construction of a multi-family community in Panama City Beach, Florida (the “PPC JV Loan”). The loan provides for monthly principal and interest payments through maturity in June 2060. The loan includes a prepayment premium due to the lender of 2% - 6% for any additional principal that is prepaid through August 2031. The loan is secured by the real property and certain other Security Interests.</w:t>
      </w:r>
    </w:p>
    <w:p>
      <w:pPr>
        <w:spacing w:after="0" w:line="183"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In 2022, a wholly-owned subsidiary of the Company entered into a $37.0 million loan, which is guaranteed by the Company, to finance the acquisition of a hotel located on Scenic Highway 30A (“The Pearl Hotel Loan”). The loan provides for monthly principal and interest payments with a final balloon payment at maturity in December 2032. The loan includes a prepayment fee due to the lender of 1% - 2% of the outstanding principal balance if the loan is refinanced with another financial institution through December 2027. The loan is secured by the real property and certain other Security Interests.</w:t>
      </w:r>
    </w:p>
    <w:p>
      <w:pPr>
        <w:spacing w:after="0" w:line="187" w:lineRule="exact"/>
        <w:rPr>
          <w:sz w:val="20"/>
          <w:szCs w:val="20"/>
          <w:color w:val="auto"/>
        </w:rPr>
      </w:pPr>
    </w:p>
    <w:p>
      <w:pPr>
        <w:ind w:left="60" w:right="199" w:firstLine="324"/>
        <w:spacing w:after="0" w:line="255" w:lineRule="auto"/>
        <w:rPr>
          <w:sz w:val="20"/>
          <w:szCs w:val="20"/>
          <w:color w:val="auto"/>
        </w:rPr>
      </w:pPr>
      <w:r>
        <w:rPr>
          <w:rFonts w:ascii="Times New Roman" w:cs="Times New Roman" w:eastAsia="Times New Roman" w:hAnsi="Times New Roman"/>
          <w:sz w:val="18"/>
          <w:szCs w:val="18"/>
          <w:color w:val="auto"/>
        </w:rPr>
        <w:t>In February 2025, a wholly-owned subsidiary of the Company refinanced into a $27.8 million loan, insured by HUD, for a multi-family community in Panama City, Florida (the “North Bay Landing Loan”). The loan provides for monthly payments of principal and interest through maturity in March 2060. The loan includes a prepayment premium due to the lender of 1% - 9% for any principal that is prepaid through March 2035. The loan is secured by the real property and certain other Security Interests. The nine months ended September 30, 2025 include a less than $0.1 million loss on early extinguishment of debt related to unamortized debt issuance costs, included within other (expense) income, net on the condensed consolidated statements of income.</w:t>
      </w:r>
    </w:p>
    <w:p>
      <w:pPr>
        <w:spacing w:after="0" w:line="189" w:lineRule="exact"/>
        <w:rPr>
          <w:sz w:val="20"/>
          <w:szCs w:val="20"/>
          <w:color w:val="auto"/>
        </w:rPr>
      </w:pPr>
    </w:p>
    <w:p>
      <w:pPr>
        <w:ind w:left="60" w:right="439" w:firstLine="324"/>
        <w:spacing w:after="0" w:line="282" w:lineRule="auto"/>
        <w:rPr>
          <w:sz w:val="20"/>
          <w:szCs w:val="20"/>
          <w:color w:val="auto"/>
        </w:rPr>
      </w:pPr>
      <w:r>
        <w:rPr>
          <w:rFonts w:ascii="Times New Roman" w:cs="Times New Roman" w:eastAsia="Times New Roman" w:hAnsi="Times New Roman"/>
          <w:sz w:val="18"/>
          <w:szCs w:val="18"/>
          <w:color w:val="auto"/>
        </w:rPr>
        <w:t>In 2021, a wholly-owned subsidiary of the Company entered into a $28.0 million loan, which is guaranteed by the Company, to finance the construction of an inn and amenity center near the Watersound Camp Creek residential</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139"/>
        <w:spacing w:after="0" w:line="274" w:lineRule="auto"/>
        <w:rPr>
          <w:sz w:val="20"/>
          <w:szCs w:val="20"/>
          <w:color w:val="auto"/>
        </w:rPr>
      </w:pPr>
      <w:r>
        <w:rPr>
          <w:rFonts w:ascii="Times New Roman" w:cs="Times New Roman" w:eastAsia="Times New Roman" w:hAnsi="Times New Roman"/>
          <w:sz w:val="17"/>
          <w:szCs w:val="17"/>
          <w:color w:val="auto"/>
        </w:rPr>
        <w:t>community (the “Watersound Camp Creek Loan”). The loan provides for monthly principal and interest payments through maturity in December 2047. The loan is secured by the real property and certain other Security Interests. As guarantor, the Company’s liability under the loan has been reduced to 25% of the outstanding principal amount upon the project reaching and maintaining a certain debt service coverage ratio over a prescribed period, which will be reassessed based on future performance. In addition, the guarantee can become full recourse in the case of the failure of guarantor to abide by or perform any of the covenants, warranties or other certain obligations to be performed on the part of such guarantor.</w:t>
      </w:r>
    </w:p>
    <w:p>
      <w:pPr>
        <w:spacing w:after="0" w:line="173"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In 2022, the Pier Park Crossings Phase II JV refinanced into a $22.9 million loan, insured by HUD, for a multi-family community in Panama City Beach, Florida (the “PPC II JV Loan”). The loan provides for monthly payments of principal and interest through maturity in May 2057. The loan includes a prepayment premium due to the lender of 1% - 6% for any additional principal that is prepaid through May 2032. The loan is secured by the real property and certain other Security Interests.</w:t>
      </w:r>
    </w:p>
    <w:p>
      <w:pPr>
        <w:spacing w:after="0" w:line="183" w:lineRule="exact"/>
        <w:rPr>
          <w:sz w:val="20"/>
          <w:szCs w:val="20"/>
          <w:color w:val="auto"/>
        </w:rPr>
      </w:pPr>
    </w:p>
    <w:p>
      <w:pPr>
        <w:ind w:left="60" w:right="239" w:firstLine="324"/>
        <w:spacing w:after="0" w:line="256" w:lineRule="auto"/>
        <w:rPr>
          <w:sz w:val="20"/>
          <w:szCs w:val="20"/>
          <w:color w:val="auto"/>
        </w:rPr>
      </w:pPr>
      <w:r>
        <w:rPr>
          <w:rFonts w:ascii="Times New Roman" w:cs="Times New Roman" w:eastAsia="Times New Roman" w:hAnsi="Times New Roman"/>
          <w:sz w:val="18"/>
          <w:szCs w:val="18"/>
          <w:color w:val="auto"/>
        </w:rPr>
        <w:t>In 2021, a wholly-owned subsidiary of the Company entered into a $21.2 million loan, which is guaranteed by the Company, to finance the construction of a hotel in Panama City, Florida (the “Hotel Indigo Loan”). The loan provides for monthly principal and interest payments with a final balloon payment at maturity in October 2028. The loan includes an option for an extension of the maturity date by sixty months, subject to certain conditions, which would provide for continued principal and interest payments with a final balloon payment at the extended maturity date. The loan is secured by the leasehold property and certain other Security Interests.</w:t>
      </w:r>
    </w:p>
    <w:p>
      <w:pPr>
        <w:spacing w:after="0" w:line="187"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In 2021, The Lodge 30A JV entered into a $15.0 million loan to finance the construction of a boutique hotel in Seagrove Beach, Florida (the “Lodge 30A JV Loan”). The loan provides for monthly principal and interest payments with a final balloon payment at maturity in January 2028. The loan is secured by the real property and certain other Security Interests. In connection with the loan, the Company, wholly-owned subsidiaries of the Company and the Company’s JV partner entered into a joint and several payment and performance guarantee in favor of the lender. As guarantor, the Company’s liability under the loan has been reduced to 25% of the outstanding principal balance upon the project reaching and maintaining a certain debt service coverage ratio over a prescribed period, which will be reassessed based on future performance. The Company receives a monthly fee related to the guarantee from its JV partner based on the JV partner’s ownership percentage.</w:t>
      </w:r>
    </w:p>
    <w:p>
      <w:pPr>
        <w:spacing w:after="0" w:line="188"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In 2020, a wholly-owned subsidiary of the Company entered into a $16.8 million loan, which is guaranteed by the Company, to finance the construction of a hotel in the Breakfast Point area of Panama City Beach, Florida (the “Breakfast Point Hotel Loan”). The loan provides for monthly principal and interest payments through maturity in November 2042. The loan is secured by the real property and certain other Security Interests.</w:t>
      </w:r>
    </w:p>
    <w:p>
      <w:pPr>
        <w:spacing w:after="0" w:line="180"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Community Development District (“CDD”) bonds financed the construction of infrastructure improvements at some of the Company’s projects. The principal and interest payments on the bonds are paid by assessments on the properties benefited by the improvements financed by the bonds. CDD debt is secured by certain real estate or other collateral. The Company has recorded a liability for CDD debt that is associated with platted property, which is the point at which it becomes fixed and determinable. Additionally, the Company has recorded a liability for the portion of the CDD debt that is associated with unplatted property if it is probable and reasonably estimable that the Company will ultimately be responsible for repayment. The Company’s total CDD debt assigned to property it owns was $8.5 million and $9.0 million as of September 30, 2026 and December 31, 2025, respectively. The Company pays interest on this total outstanding CDD debt.</w:t>
      </w:r>
    </w:p>
    <w:p>
      <w:pPr>
        <w:spacing w:after="0" w:line="188" w:lineRule="exact"/>
        <w:rPr>
          <w:sz w:val="20"/>
          <w:szCs w:val="20"/>
          <w:color w:val="auto"/>
        </w:rPr>
      </w:pPr>
    </w:p>
    <w:p>
      <w:pPr>
        <w:ind w:left="60" w:right="379" w:firstLine="324"/>
        <w:spacing w:after="0" w:line="261" w:lineRule="auto"/>
        <w:rPr>
          <w:sz w:val="20"/>
          <w:szCs w:val="20"/>
          <w:color w:val="auto"/>
        </w:rPr>
      </w:pPr>
      <w:r>
        <w:rPr>
          <w:rFonts w:ascii="Times New Roman" w:cs="Times New Roman" w:eastAsia="Times New Roman" w:hAnsi="Times New Roman"/>
          <w:sz w:val="18"/>
          <w:szCs w:val="18"/>
          <w:color w:val="auto"/>
        </w:rPr>
        <w:t>In 2022, a wholly-owned subsidiary of the Company entered into a $13.7 million loan, which is guaranteed by the Company, to finance the construction of a hotel in Santa Rosa Beach, Florida (the “Topsail Hotel Loan”). The loan provides for monthly principal and interest payments with a final balloon payment at maturity in July 2027. The loan is secured by the real property and certain other Security Interests.</w:t>
      </w:r>
    </w:p>
    <w:p>
      <w:pPr>
        <w:spacing w:after="0" w:line="180" w:lineRule="exact"/>
        <w:rPr>
          <w:sz w:val="20"/>
          <w:szCs w:val="20"/>
          <w:color w:val="auto"/>
        </w:rPr>
      </w:pPr>
    </w:p>
    <w:p>
      <w:pPr>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In 2021, a wholly-owned subsidiary of the Company entered into a $12.0 million loan, to finance the construction of a building in the Watersound Town Center near the Watersound Origins residential community (the “Watersound Town Center Grocery Loan”). In the second quarter of 2026, the loan was paid in full.</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399" w:firstLine="324"/>
        <w:spacing w:after="0" w:line="282" w:lineRule="auto"/>
        <w:rPr>
          <w:sz w:val="20"/>
          <w:szCs w:val="20"/>
          <w:color w:val="auto"/>
        </w:rPr>
      </w:pPr>
      <w:r>
        <w:rPr>
          <w:rFonts w:ascii="Times New Roman" w:cs="Times New Roman" w:eastAsia="Times New Roman" w:hAnsi="Times New Roman"/>
          <w:sz w:val="18"/>
          <w:szCs w:val="18"/>
          <w:color w:val="auto"/>
        </w:rPr>
        <w:t>In 2020, a wholly-owned subsidiary of the Company entered into a $15.3 million loan, to finance construction of a hotel in Panama City, Florida (the “Airport Hotel Loan”). In the second quarter of 2026, the loan was paid in full.</w:t>
      </w:r>
    </w:p>
    <w:p>
      <w:pPr>
        <w:spacing w:after="0" w:line="162" w:lineRule="exact"/>
        <w:rPr>
          <w:sz w:val="20"/>
          <w:szCs w:val="20"/>
          <w:color w:val="auto"/>
        </w:rPr>
      </w:pPr>
    </w:p>
    <w:p>
      <w:pPr>
        <w:jc w:val="both"/>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In 2019, a wholly-owned subsidiary of the Company entered into a $5.5 million loan, to finance the construction of an office building in Panama City Beach, Florida (the “Beckrich Building III Loan”). In the first quarter of 2026, the loan was paid in full.</w:t>
      </w:r>
    </w:p>
    <w:p>
      <w:pPr>
        <w:spacing w:after="0" w:line="176" w:lineRule="exact"/>
        <w:rPr>
          <w:sz w:val="20"/>
          <w:szCs w:val="20"/>
          <w:color w:val="auto"/>
        </w:rPr>
      </w:pPr>
    </w:p>
    <w:p>
      <w:pPr>
        <w:ind w:left="60" w:right="859" w:firstLine="324"/>
        <w:spacing w:after="0" w:line="312" w:lineRule="auto"/>
        <w:rPr>
          <w:sz w:val="20"/>
          <w:szCs w:val="20"/>
          <w:color w:val="auto"/>
        </w:rPr>
      </w:pPr>
      <w:r>
        <w:rPr>
          <w:rFonts w:ascii="Times New Roman" w:cs="Times New Roman" w:eastAsia="Times New Roman" w:hAnsi="Times New Roman"/>
          <w:sz w:val="17"/>
          <w:szCs w:val="17"/>
          <w:color w:val="auto"/>
        </w:rPr>
        <w:t>The Company’s financing agreements are subject to various customary debt covenants and as of both September 30, 2026 and December 31, 2025, the Company was in compliance with the financial debt covenants.</w:t>
      </w:r>
    </w:p>
    <w:p>
      <w:pPr>
        <w:spacing w:after="0" w:line="140" w:lineRule="exact"/>
        <w:rPr>
          <w:sz w:val="20"/>
          <w:szCs w:val="20"/>
          <w:color w:val="auto"/>
        </w:rPr>
      </w:pPr>
    </w:p>
    <w:p>
      <w:pPr>
        <w:ind w:left="60" w:right="479" w:firstLine="324"/>
        <w:spacing w:after="0" w:line="261" w:lineRule="auto"/>
        <w:rPr>
          <w:sz w:val="20"/>
          <w:szCs w:val="20"/>
          <w:color w:val="auto"/>
        </w:rPr>
      </w:pPr>
      <w:r>
        <w:rPr>
          <w:rFonts w:ascii="Times New Roman" w:cs="Times New Roman" w:eastAsia="Times New Roman" w:hAnsi="Times New Roman"/>
          <w:sz w:val="18"/>
          <w:szCs w:val="18"/>
          <w:color w:val="auto"/>
        </w:rPr>
        <w:t>As of September 30, 2026, property, receivables and inventory that were pledged as collateral related to the Company’s debt agreements, had an approximate carrying amount of $442.0 million. These assets are included within investment in real estate, net, property and equipment, net and accounts receivable and other assets on the condensed consolidated balance sheets.</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aggregate maturities of debt subsequent to September 30, 2026, for the years ending December 31 are:</w:t>
      </w:r>
    </w:p>
    <w:p>
      <w:pPr>
        <w:spacing w:after="0" w:line="257"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w:t>
            </w: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57,355</w:t>
            </w: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34,166</w:t>
            </w: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6,768</w:t>
            </w: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2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6,917</w:t>
            </w:r>
          </w:p>
        </w:tc>
      </w:tr>
      <w:tr>
        <w:trPr>
          <w:trHeight w:val="216"/>
        </w:trPr>
        <w:tc>
          <w:tcPr>
            <w:tcW w:w="20" w:type="dxa"/>
            <w:vAlign w:val="bottom"/>
          </w:tcPr>
          <w:p>
            <w:pPr>
              <w:spacing w:after="0"/>
              <w:rPr>
                <w:sz w:val="18"/>
                <w:szCs w:val="18"/>
                <w:color w:val="auto"/>
              </w:rPr>
            </w:pPr>
          </w:p>
        </w:tc>
        <w:tc>
          <w:tcPr>
            <w:tcW w:w="3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7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258,561</w:t>
            </w:r>
          </w:p>
        </w:tc>
      </w:tr>
      <w:tr>
        <w:trPr>
          <w:trHeight w:val="210"/>
        </w:trPr>
        <w:tc>
          <w:tcPr>
            <w:tcW w:w="20" w:type="dxa"/>
            <w:vAlign w:val="bottom"/>
          </w:tcPr>
          <w:p>
            <w:pPr>
              <w:spacing w:after="0"/>
              <w:rPr>
                <w:sz w:val="18"/>
                <w:szCs w:val="18"/>
                <w:color w:val="auto"/>
              </w:rPr>
            </w:pPr>
          </w:p>
        </w:tc>
        <w:tc>
          <w:tcPr>
            <w:tcW w:w="3480" w:type="dxa"/>
            <w:vAlign w:val="bottom"/>
            <w:tcBorders>
              <w:bottom w:val="single" w:sz="8" w:color="CCEEFF"/>
            </w:tcBorders>
            <w:shd w:val="clear" w:color="auto" w:fill="CCEEFF"/>
          </w:tcPr>
          <w:p>
            <w:pPr>
              <w:spacing w:after="0"/>
              <w:rPr>
                <w:sz w:val="18"/>
                <w:szCs w:val="18"/>
                <w:color w:val="auto"/>
              </w:rPr>
            </w:pPr>
          </w:p>
        </w:tc>
        <w:tc>
          <w:tcPr>
            <w:tcW w:w="27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366,078</w:t>
            </w: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Accounts Payable and Other Liabilities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Accounts payable and other liabilities consist of the following:</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2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380" w:type="dxa"/>
            <w:vAlign w:val="bottom"/>
            <w:tcBorders>
              <w:bottom w:val="single" w:sz="8" w:color="CCEEFF"/>
            </w:tcBorders>
          </w:tcPr>
          <w:p>
            <w:pPr>
              <w:spacing w:after="0"/>
              <w:rPr>
                <w:sz w:val="15"/>
                <w:szCs w:val="15"/>
                <w:color w:val="auto"/>
              </w:rPr>
            </w:pPr>
          </w:p>
        </w:tc>
        <w:tc>
          <w:tcPr>
            <w:tcW w:w="15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18,786</w:t>
            </w:r>
          </w:p>
        </w:tc>
        <w:tc>
          <w:tcPr>
            <w:tcW w:w="180" w:type="dxa"/>
            <w:vAlign w:val="bottom"/>
            <w:gridSpan w:val="2"/>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17,227</w:t>
            </w: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2,125</w:t>
            </w: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w:t>
            </w: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8,543</w:t>
            </w: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5,196</w:t>
            </w: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Club membership deposits</w:t>
            </w: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w:t>
            </w: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Advance deposits</w:t>
            </w: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6,505</w:t>
            </w: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expense for Senior Notes held by SPE</w:t>
            </w:r>
          </w:p>
        </w:tc>
        <w:tc>
          <w:tcPr>
            <w:tcW w:w="15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w:t>
            </w:r>
          </w:p>
        </w:tc>
      </w:tr>
      <w:tr>
        <w:trPr>
          <w:trHeight w:val="210"/>
        </w:trPr>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Total accounts payable and other liabilities</w:t>
            </w:r>
          </w:p>
        </w:tc>
        <w:tc>
          <w:tcPr>
            <w:tcW w:w="154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62,693</w:t>
            </w:r>
          </w:p>
        </w:tc>
        <w:tc>
          <w:tcPr>
            <w:tcW w:w="180" w:type="dxa"/>
            <w:vAlign w:val="bottom"/>
            <w:gridSpan w:val="2"/>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48,297</w:t>
            </w:r>
          </w:p>
        </w:tc>
      </w:tr>
      <w:tr>
        <w:trPr>
          <w:trHeight w:val="20"/>
        </w:trPr>
        <w:tc>
          <w:tcPr>
            <w:tcW w:w="53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59" w:firstLine="324"/>
        <w:spacing w:after="0" w:line="282" w:lineRule="auto"/>
        <w:rPr>
          <w:sz w:val="20"/>
          <w:szCs w:val="20"/>
          <w:color w:val="auto"/>
        </w:rPr>
      </w:pPr>
      <w:r>
        <w:rPr>
          <w:rFonts w:ascii="Times New Roman" w:cs="Times New Roman" w:eastAsia="Times New Roman" w:hAnsi="Times New Roman"/>
          <w:sz w:val="18"/>
          <w:szCs w:val="18"/>
          <w:color w:val="auto"/>
        </w:rPr>
        <w:t>Accounts payable as of September 30, 2026 and December 31, 2025, primarily include payables and retainage related to the Company’s development and construction projects.</w:t>
      </w:r>
    </w:p>
    <w:p>
      <w:pPr>
        <w:spacing w:after="0" w:line="162" w:lineRule="exact"/>
        <w:rPr>
          <w:sz w:val="20"/>
          <w:szCs w:val="20"/>
          <w:color w:val="auto"/>
        </w:rPr>
      </w:pPr>
    </w:p>
    <w:p>
      <w:pPr>
        <w:ind w:left="60" w:right="159" w:firstLine="324"/>
        <w:spacing w:after="0" w:line="282" w:lineRule="auto"/>
        <w:rPr>
          <w:sz w:val="20"/>
          <w:szCs w:val="20"/>
          <w:color w:val="auto"/>
        </w:rPr>
      </w:pPr>
      <w:r>
        <w:rPr>
          <w:rFonts w:ascii="Times New Roman" w:cs="Times New Roman" w:eastAsia="Times New Roman" w:hAnsi="Times New Roman"/>
          <w:sz w:val="18"/>
          <w:szCs w:val="18"/>
          <w:color w:val="auto"/>
        </w:rPr>
        <w:t>Other accrued liabilities include $7.0 million of accrued property taxes as of September 30, 2026, which are generally paid annually in November. As of December 31, 2025, the Company had no accrued property taxes.</w:t>
      </w:r>
    </w:p>
    <w:p>
      <w:pPr>
        <w:spacing w:after="0" w:line="162" w:lineRule="exact"/>
        <w:rPr>
          <w:sz w:val="20"/>
          <w:szCs w:val="20"/>
          <w:color w:val="auto"/>
        </w:rPr>
      </w:pPr>
    </w:p>
    <w:p>
      <w:pPr>
        <w:jc w:val="both"/>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Advance deposits consist of deposits received on hotel rooms and related hospitality activities. Advance deposits are recorded as accounts payable and other liabilities in the condensed consolidated balance sheets without regard to whether they are refundable and are recognized as income at the time the service is provided for the related deposit.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Deferred Revenue</w:t>
      </w:r>
    </w:p>
    <w:p>
      <w:pPr>
        <w:spacing w:after="0" w:line="229" w:lineRule="exact"/>
        <w:rPr>
          <w:sz w:val="20"/>
          <w:szCs w:val="20"/>
          <w:color w:val="auto"/>
        </w:rPr>
      </w:pPr>
    </w:p>
    <w:p>
      <w:pPr>
        <w:ind w:left="60" w:right="159"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2026 and December 31, 2025, deferred revenue includes club initiation fees of $50.2 million and $45.9 million, respectively, and other deferred revenue of $13.3 million and $12.8 million, respectively.</w:t>
      </w:r>
    </w:p>
    <w:p>
      <w:pPr>
        <w:spacing w:after="0" w:line="162" w:lineRule="exact"/>
        <w:rPr>
          <w:sz w:val="20"/>
          <w:szCs w:val="20"/>
          <w:color w:val="auto"/>
        </w:rPr>
      </w:pPr>
    </w:p>
    <w:p>
      <w:pPr>
        <w:ind w:left="60" w:right="179" w:firstLine="324"/>
        <w:spacing w:after="0" w:line="312" w:lineRule="auto"/>
        <w:rPr>
          <w:sz w:val="20"/>
          <w:szCs w:val="20"/>
          <w:color w:val="auto"/>
        </w:rPr>
      </w:pPr>
      <w:r>
        <w:rPr>
          <w:rFonts w:ascii="Times New Roman" w:cs="Times New Roman" w:eastAsia="Times New Roman" w:hAnsi="Times New Roman"/>
          <w:sz w:val="17"/>
          <w:szCs w:val="17"/>
          <w:color w:val="auto"/>
        </w:rPr>
        <w:t>Club initiation fees are recognized as revenue over the estimated average duration of membership, which is evaluated periodically. The following table presents the changes in club initiation fees related to contracts with customers:</w:t>
      </w:r>
    </w:p>
    <w:p>
      <w:pPr>
        <w:spacing w:after="0" w:line="13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40" w:type="dxa"/>
            <w:vAlign w:val="bottom"/>
          </w:tcPr>
          <w:p>
            <w:pPr>
              <w:spacing w:after="0"/>
              <w:rPr>
                <w:sz w:val="13"/>
                <w:szCs w:val="13"/>
                <w:color w:val="auto"/>
              </w:rPr>
            </w:pP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68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45,929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45,885</w:t>
            </w:r>
          </w:p>
        </w:tc>
      </w:tr>
      <w:tr>
        <w:trPr>
          <w:trHeight w:val="216"/>
        </w:trPr>
        <w:tc>
          <w:tcPr>
            <w:tcW w:w="6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New club memberships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10,387</w:t>
            </w:r>
          </w:p>
        </w:tc>
      </w:tr>
      <w:tr>
        <w:trPr>
          <w:trHeight w:val="216"/>
        </w:trPr>
        <w:tc>
          <w:tcPr>
            <w:tcW w:w="6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Revenue from amounts included in contract liability opening balance</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(10,737)</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(9,828)</w:t>
            </w:r>
          </w:p>
        </w:tc>
      </w:tr>
      <w:tr>
        <w:trPr>
          <w:trHeight w:val="216"/>
        </w:trPr>
        <w:tc>
          <w:tcPr>
            <w:tcW w:w="6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Revenue from current period new memberships</w:t>
            </w:r>
          </w:p>
        </w:tc>
        <w:tc>
          <w:tcPr>
            <w:tcW w:w="2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(984)</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r>
      <w:tr>
        <w:trPr>
          <w:trHeight w:val="210"/>
        </w:trPr>
        <w:tc>
          <w:tcPr>
            <w:tcW w:w="6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end of period</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50,213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45,711</w:t>
            </w:r>
          </w:p>
        </w:tc>
      </w:tr>
      <w:tr>
        <w:trPr>
          <w:trHeight w:val="20"/>
        </w:trPr>
        <w:tc>
          <w:tcPr>
            <w:tcW w:w="6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Remaining performance obligations represent contracted revenue that has not been recognized related to club initiation fees. As of September 30, 2026, remaining performance obligations were $50.2 million, of which the Company expects to recognize as revenue $3.8 million in 2026, $26.2 million in 2027 through 2028, $15.3 million in 2029 through 2030 and $4.9 million thereafter.</w:t>
      </w:r>
    </w:p>
    <w:p>
      <w:pPr>
        <w:spacing w:after="0" w:line="180" w:lineRule="exact"/>
        <w:rPr>
          <w:sz w:val="20"/>
          <w:szCs w:val="20"/>
          <w:color w:val="auto"/>
        </w:rPr>
      </w:pPr>
    </w:p>
    <w:p>
      <w:pPr>
        <w:jc w:val="both"/>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Other deferred revenue as of September 30, 2026 and December 31, 2025, includes $10.2 million and $10.9 million, respectively, related to a 2006 agreement pursuant to which the Company agreed to sell land to the Florida Department of Transportation. Revenue is recognized when title to a specific parcel is legally transferred.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229" w:lineRule="exact"/>
        <w:rPr>
          <w:sz w:val="20"/>
          <w:szCs w:val="20"/>
          <w:color w:val="auto"/>
        </w:rPr>
      </w:pPr>
    </w:p>
    <w:p>
      <w:pPr>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Income tax expense (benefit) attributable to income from operations differed from the amount computed by applying the statutory federal income tax rate of 21.0% as of September 30, 2026 and 2025 to pre-tax income as a result of the following:</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60" w:type="dxa"/>
            <w:vAlign w:val="bottom"/>
            <w:gridSpan w:val="12"/>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60" w:type="dxa"/>
            <w:vAlign w:val="bottom"/>
          </w:tcPr>
          <w:p>
            <w:pPr>
              <w:spacing w:after="0"/>
              <w:rPr>
                <w:sz w:val="13"/>
                <w:szCs w:val="13"/>
                <w:color w:val="auto"/>
              </w:rPr>
            </w:pPr>
          </w:p>
        </w:tc>
        <w:tc>
          <w:tcPr>
            <w:tcW w:w="3020" w:type="dxa"/>
            <w:vAlign w:val="bottom"/>
            <w:gridSpan w:val="11"/>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3"/>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680" w:type="dxa"/>
            <w:vAlign w:val="bottom"/>
            <w:tcBorders>
              <w:bottom w:val="single" w:sz="8" w:color="auto"/>
            </w:tcBorders>
            <w:gridSpan w:val="3"/>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20" w:type="dxa"/>
            <w:vAlign w:val="bottom"/>
            <w:tcBorders>
              <w:bottom w:val="single" w:sz="8" w:color="auto"/>
            </w:tcBorders>
            <w:gridSpan w:val="3"/>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4"/>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36"/>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3"/>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3"/>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vMerge w:val="continue"/>
          </w:tcPr>
          <w:p>
            <w:pPr>
              <w:spacing w:after="0"/>
              <w:rPr>
                <w:sz w:val="12"/>
                <w:szCs w:val="12"/>
                <w:color w:val="auto"/>
              </w:rPr>
            </w:pPr>
          </w:p>
        </w:tc>
        <w:tc>
          <w:tcPr>
            <w:tcW w:w="820" w:type="dxa"/>
            <w:vAlign w:val="bottom"/>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4"/>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$ 10,491</w:t>
            </w: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$ 11,327</w:t>
            </w: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$ 25,800</w:t>
            </w: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$ 24,389</w:t>
            </w: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6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State and local income taxes, net of</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620" w:type="dxa"/>
            <w:vAlign w:val="bottom"/>
            <w:gridSpan w:val="3"/>
          </w:tcPr>
          <w:p>
            <w:pPr>
              <w:ind w:left="20"/>
              <w:spacing w:after="0" w:line="242" w:lineRule="exact"/>
              <w:rPr>
                <w:sz w:val="20"/>
                <w:szCs w:val="20"/>
                <w:color w:val="auto"/>
              </w:rPr>
            </w:pPr>
            <w:r>
              <w:rPr>
                <w:rFonts w:ascii="Times New Roman" w:cs="Times New Roman" w:eastAsia="Times New Roman" w:hAnsi="Times New Roman"/>
                <w:sz w:val="18"/>
                <w:szCs w:val="18"/>
                <w:color w:val="auto"/>
              </w:rPr>
              <w:t xml:space="preserve">federal income tax effect </w:t>
            </w:r>
            <w:r>
              <w:rPr>
                <w:rFonts w:ascii="Times New Roman" w:cs="Times New Roman" w:eastAsia="Times New Roman" w:hAnsi="Times New Roman"/>
                <w:sz w:val="26"/>
                <w:szCs w:val="26"/>
                <w:color w:val="auto"/>
                <w:vertAlign w:val="superscript"/>
              </w:rPr>
              <w:t>(a)</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4.4 %</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5,412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5,114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Energy related tax credits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Nontaxable or nondeductible and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items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0.1 %</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0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Total income tax expense</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$ 12,895</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25.8</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$ 13,735</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25.5</w:t>
            </w:r>
          </w:p>
        </w:tc>
        <w:tc>
          <w:tcPr>
            <w:tcW w:w="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$ 31,523</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25.7</w:t>
            </w:r>
          </w:p>
        </w:tc>
        <w:tc>
          <w:tcPr>
            <w:tcW w:w="260" w:type="dxa"/>
            <w:vAlign w:val="bottom"/>
            <w:tcBorders>
              <w:top w:val="single" w:sz="8" w:color="CCEEFF"/>
              <w:bottom w:val="single" w:sz="8" w:color="CCEEFF"/>
            </w:tcBorders>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w w:val="77"/>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$ 29,492</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6"/>
          <w:szCs w:val="16"/>
          <w:color w:val="auto"/>
        </w:rPr>
        <w:t>(a)</w:t>
        <w:tab/>
        <w:t>State taxes in Florida make up all of the tax effect in this category.</w:t>
      </w:r>
    </w:p>
    <w:p>
      <w:pPr>
        <w:spacing w:after="0" w:line="122" w:lineRule="exact"/>
        <w:rPr>
          <w:sz w:val="20"/>
          <w:szCs w:val="20"/>
          <w:color w:val="auto"/>
        </w:rPr>
      </w:pPr>
    </w:p>
    <w:p>
      <w:pPr>
        <w:ind w:left="60" w:right="199" w:firstLine="324"/>
        <w:spacing w:after="0" w:line="312" w:lineRule="auto"/>
        <w:rPr>
          <w:sz w:val="20"/>
          <w:szCs w:val="20"/>
          <w:color w:val="auto"/>
        </w:rPr>
      </w:pPr>
      <w:r>
        <w:rPr>
          <w:rFonts w:ascii="Times New Roman" w:cs="Times New Roman" w:eastAsia="Times New Roman" w:hAnsi="Times New Roman"/>
          <w:sz w:val="17"/>
          <w:szCs w:val="17"/>
          <w:color w:val="auto"/>
        </w:rPr>
        <w:t>As of September 30, 2026 and December 31, 2025, the Company had income tax payable of $9.2 million and $2.1 million, respectively, included within accounts payable and other liabilities on the condensed consolidated balance sheets.</w:t>
      </w:r>
    </w:p>
    <w:p>
      <w:pPr>
        <w:spacing w:after="0" w:line="140"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In general, a valuation allowance is recorded if, based on all available positive and negative evidence, it is more likely than not that some portion or all of the deferred tax assets will not be realized. Realization of the Company’s deferred tax assets is dependent upon the Company generating sufficient taxable income in future years in the appropriate tax jurisdictions to obtain a benefit from the reversal of deductible temporary differences and from loss carryforwards. As of both September 30, 2026 and December 31, 2025, the Company did not have a valuation allowance.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Significant judgment is required in evaluating the Company's uncertain tax positions and determining its provision for income taxes. The Company regularly assesses the likelihood of adverse outcomes resulting from potential examinations to determine the adequacy of its provision for income taxes and applies a “more-likely-than-not” in determining the financial statement recognition and measurement of a tax position taken or expected to be taken in the tax returns. The Company has not identified any material unrecognized tax benefits as of September 30, 2026 or December 31, 2025.</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Accumulated Other Comprehensive Income</w:t>
      </w:r>
    </w:p>
    <w:p>
      <w:pPr>
        <w:spacing w:after="0" w:line="229" w:lineRule="exact"/>
        <w:rPr>
          <w:sz w:val="20"/>
          <w:szCs w:val="20"/>
          <w:color w:val="auto"/>
        </w:rPr>
      </w:pPr>
    </w:p>
    <w:p>
      <w:pPr>
        <w:ind w:left="60" w:right="739" w:firstLine="324"/>
        <w:spacing w:after="0" w:line="282" w:lineRule="auto"/>
        <w:rPr>
          <w:sz w:val="20"/>
          <w:szCs w:val="20"/>
          <w:color w:val="auto"/>
        </w:rPr>
      </w:pPr>
      <w:r>
        <w:rPr>
          <w:rFonts w:ascii="Times New Roman" w:cs="Times New Roman" w:eastAsia="Times New Roman" w:hAnsi="Times New Roman"/>
          <w:sz w:val="18"/>
          <w:szCs w:val="18"/>
          <w:color w:val="auto"/>
        </w:rPr>
        <w:t>Following is a summary of the changes in the balances of accumulated other comprehensive income, which is presented net of tax:</w:t>
      </w:r>
    </w:p>
    <w:p>
      <w:pPr>
        <w:spacing w:after="0" w:line="169" w:lineRule="exact"/>
        <w:rPr>
          <w:sz w:val="20"/>
          <w:szCs w:val="20"/>
          <w:color w:val="auto"/>
        </w:rPr>
      </w:pPr>
    </w:p>
    <w:p>
      <w:pPr>
        <w:jc w:val="center"/>
        <w:ind w:left="5380"/>
        <w:spacing w:after="0"/>
        <w:rPr>
          <w:sz w:val="20"/>
          <w:szCs w:val="20"/>
          <w:color w:val="auto"/>
        </w:rPr>
      </w:pPr>
      <w:r>
        <w:rPr>
          <w:rFonts w:ascii="Times New Roman" w:cs="Times New Roman" w:eastAsia="Times New Roman" w:hAnsi="Times New Roman"/>
          <w:sz w:val="14"/>
          <w:szCs w:val="14"/>
          <w:b w:val="1"/>
          <w:bCs w:val="1"/>
          <w:color w:val="auto"/>
        </w:rPr>
        <w:t>Unrealized</w:t>
      </w:r>
    </w:p>
    <w:p>
      <w:pPr>
        <w:spacing w:after="0" w:line="6" w:lineRule="exact"/>
        <w:rPr>
          <w:sz w:val="20"/>
          <w:szCs w:val="20"/>
          <w:color w:val="auto"/>
        </w:rPr>
      </w:pPr>
    </w:p>
    <w:p>
      <w:pPr>
        <w:jc w:val="center"/>
        <w:ind w:left="5380"/>
        <w:spacing w:after="0"/>
        <w:rPr>
          <w:sz w:val="20"/>
          <w:szCs w:val="20"/>
          <w:color w:val="auto"/>
        </w:rPr>
      </w:pPr>
      <w:r>
        <w:rPr>
          <w:rFonts w:ascii="Times New Roman" w:cs="Times New Roman" w:eastAsia="Times New Roman" w:hAnsi="Times New Roman"/>
          <w:sz w:val="14"/>
          <w:szCs w:val="14"/>
          <w:b w:val="1"/>
          <w:bCs w:val="1"/>
          <w:color w:val="auto"/>
        </w:rPr>
        <w:t>Gain (Loss) on</w:t>
      </w:r>
    </w:p>
    <w:tbl>
      <w:tblPr>
        <w:tblLayout w:type="fixed"/>
        <w:tblInd w:w="60" w:type="dxa"/>
        <w:tblCellMar>
          <w:top w:w="0" w:type="dxa"/>
          <w:left w:w="0" w:type="dxa"/>
          <w:bottom w:w="0" w:type="dxa"/>
          <w:right w:w="0" w:type="dxa"/>
        </w:tblCellMar>
      </w:tblPr>
      <w:tr>
        <w:trPr>
          <w:trHeight w:val="145"/>
        </w:trPr>
        <w:tc>
          <w:tcPr>
            <w:tcW w:w="5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rPr>
              <w:t>Cash Flow</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73"/>
        </w:trPr>
        <w:tc>
          <w:tcPr>
            <w:tcW w:w="5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Hedges</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5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 as of December 31, 2025</w:t>
            </w:r>
          </w:p>
        </w:tc>
        <w:tc>
          <w:tcPr>
            <w:tcW w:w="6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594</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594</w:t>
            </w:r>
          </w:p>
        </w:tc>
      </w:tr>
      <w:tr>
        <w:trPr>
          <w:trHeight w:val="210"/>
        </w:trPr>
        <w:tc>
          <w:tcPr>
            <w:tcW w:w="5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16"/>
        </w:trPr>
        <w:tc>
          <w:tcPr>
            <w:tcW w:w="5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w:t>
            </w:r>
          </w:p>
        </w:tc>
        <w:tc>
          <w:tcPr>
            <w:tcW w:w="6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r>
      <w:tr>
        <w:trPr>
          <w:trHeight w:val="209"/>
        </w:trPr>
        <w:tc>
          <w:tcPr>
            <w:tcW w:w="5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6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w:t>
            </w:r>
          </w:p>
        </w:tc>
      </w:tr>
      <w:tr>
        <w:trPr>
          <w:trHeight w:val="209"/>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Other comprehensive loss attributable to non-controlling interest</w:t>
            </w:r>
          </w:p>
        </w:tc>
        <w:tc>
          <w:tcPr>
            <w:tcW w:w="6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10"/>
        </w:trPr>
        <w:tc>
          <w:tcPr>
            <w:tcW w:w="5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 as of September 30, 2026</w:t>
            </w:r>
          </w:p>
        </w:tc>
        <w:tc>
          <w:tcPr>
            <w:tcW w:w="6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356</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356</w:t>
            </w:r>
          </w:p>
        </w:tc>
      </w:tr>
      <w:tr>
        <w:trPr>
          <w:trHeight w:val="20"/>
        </w:trPr>
        <w:tc>
          <w:tcPr>
            <w:tcW w:w="5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Following is a summary of the tax effects allocated to other comprehensive (loss) income:</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11"/>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380" w:type="dxa"/>
            <w:vAlign w:val="bottom"/>
          </w:tcPr>
          <w:p>
            <w:pPr>
              <w:spacing w:after="0"/>
              <w:rPr>
                <w:sz w:val="10"/>
                <w:szCs w:val="10"/>
                <w:color w:val="auto"/>
              </w:rPr>
            </w:pPr>
          </w:p>
        </w:tc>
        <w:tc>
          <w:tcPr>
            <w:tcW w:w="780" w:type="dxa"/>
            <w:vAlign w:val="bottom"/>
            <w:gridSpan w:val="3"/>
          </w:tcPr>
          <w:p>
            <w:pPr>
              <w:jc w:val="right"/>
              <w:ind w:right="23"/>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Before-</w:t>
            </w:r>
          </w:p>
        </w:tc>
        <w:tc>
          <w:tcPr>
            <w:tcW w:w="1080" w:type="dxa"/>
            <w:vAlign w:val="bottom"/>
            <w:gridSpan w:val="5"/>
          </w:tcPr>
          <w:p>
            <w:pPr>
              <w:jc w:val="right"/>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​​​Tax (Expense)</w:t>
            </w:r>
          </w:p>
        </w:tc>
        <w:tc>
          <w:tcPr>
            <w:tcW w:w="920" w:type="dxa"/>
            <w:vAlign w:val="bottom"/>
            <w:gridSpan w:val="4"/>
          </w:tcPr>
          <w:p>
            <w:pPr>
              <w:jc w:val="right"/>
              <w:ind w:right="70"/>
              <w:spacing w:after="0" w:line="118" w:lineRule="exact"/>
              <w:rPr>
                <w:sz w:val="20"/>
                <w:szCs w:val="20"/>
                <w:color w:val="auto"/>
              </w:rPr>
            </w:pPr>
            <w:r>
              <w:rPr>
                <w:rFonts w:ascii="Times New Roman" w:cs="Times New Roman" w:eastAsia="Times New Roman" w:hAnsi="Times New Roman"/>
                <w:sz w:val="13"/>
                <w:szCs w:val="13"/>
                <w:b w:val="1"/>
                <w:bCs w:val="1"/>
                <w:color w:val="auto"/>
              </w:rPr>
              <w:t>​​​  Net-of-</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Tax Amount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Tax Amount</w:t>
            </w:r>
          </w:p>
        </w:tc>
        <w:tc>
          <w:tcPr>
            <w:tcW w:w="0" w:type="dxa"/>
            <w:vAlign w:val="bottom"/>
          </w:tcPr>
          <w:p>
            <w:pPr>
              <w:spacing w:after="0"/>
              <w:rPr>
                <w:sz w:val="1"/>
                <w:szCs w:val="1"/>
                <w:color w:val="auto"/>
              </w:rPr>
            </w:pPr>
          </w:p>
        </w:tc>
      </w:tr>
      <w:tr>
        <w:trPr>
          <w:trHeight w:val="210"/>
        </w:trPr>
        <w:tc>
          <w:tcPr>
            <w:tcW w:w="54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w:t>
            </w:r>
          </w:p>
        </w:tc>
        <w:tc>
          <w:tcPr>
            <w:tcW w:w="6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Reclassification adjustment for net (gain) loss included in earnings</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538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unrealized (loss) gain</w:t>
            </w:r>
          </w:p>
        </w:tc>
        <w:tc>
          <w:tcPr>
            <w:tcW w:w="6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(loss) income</w:t>
            </w:r>
          </w:p>
        </w:tc>
        <w:tc>
          <w:tcPr>
            <w:tcW w:w="660" w:type="dxa"/>
            <w:vAlign w:val="bottom"/>
          </w:tcPr>
          <w:p>
            <w:pPr>
              <w:spacing w:after="0"/>
              <w:rPr>
                <w:sz w:val="18"/>
                <w:szCs w:val="18"/>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gridSpan w:val="2"/>
          </w:tcPr>
          <w:p>
            <w:pPr>
              <w:jc w:val="right"/>
              <w:ind w:right="6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11"/>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380" w:type="dxa"/>
            <w:vAlign w:val="bottom"/>
          </w:tcPr>
          <w:p>
            <w:pPr>
              <w:spacing w:after="0"/>
              <w:rPr>
                <w:sz w:val="10"/>
                <w:szCs w:val="10"/>
                <w:color w:val="auto"/>
              </w:rPr>
            </w:pPr>
          </w:p>
        </w:tc>
        <w:tc>
          <w:tcPr>
            <w:tcW w:w="780" w:type="dxa"/>
            <w:vAlign w:val="bottom"/>
            <w:gridSpan w:val="3"/>
          </w:tcPr>
          <w:p>
            <w:pPr>
              <w:jc w:val="right"/>
              <w:ind w:right="23"/>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Before-</w:t>
            </w:r>
          </w:p>
        </w:tc>
        <w:tc>
          <w:tcPr>
            <w:tcW w:w="1080" w:type="dxa"/>
            <w:vAlign w:val="bottom"/>
            <w:gridSpan w:val="5"/>
          </w:tcPr>
          <w:p>
            <w:pPr>
              <w:jc w:val="right"/>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​​​Tax (Expense)</w:t>
            </w:r>
          </w:p>
        </w:tc>
        <w:tc>
          <w:tcPr>
            <w:tcW w:w="920" w:type="dxa"/>
            <w:vAlign w:val="bottom"/>
            <w:gridSpan w:val="4"/>
          </w:tcPr>
          <w:p>
            <w:pPr>
              <w:jc w:val="right"/>
              <w:ind w:right="70"/>
              <w:spacing w:after="0" w:line="118" w:lineRule="exact"/>
              <w:rPr>
                <w:sz w:val="20"/>
                <w:szCs w:val="20"/>
                <w:color w:val="auto"/>
              </w:rPr>
            </w:pPr>
            <w:r>
              <w:rPr>
                <w:rFonts w:ascii="Times New Roman" w:cs="Times New Roman" w:eastAsia="Times New Roman" w:hAnsi="Times New Roman"/>
                <w:sz w:val="13"/>
                <w:szCs w:val="13"/>
                <w:b w:val="1"/>
                <w:bCs w:val="1"/>
                <w:color w:val="auto"/>
              </w:rPr>
              <w:t>​​​  Net-of-</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Tax Amount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Tax Amount</w:t>
            </w:r>
          </w:p>
        </w:tc>
        <w:tc>
          <w:tcPr>
            <w:tcW w:w="0" w:type="dxa"/>
            <w:vAlign w:val="bottom"/>
          </w:tcPr>
          <w:p>
            <w:pPr>
              <w:spacing w:after="0"/>
              <w:rPr>
                <w:sz w:val="1"/>
                <w:szCs w:val="1"/>
                <w:color w:val="auto"/>
              </w:rPr>
            </w:pPr>
          </w:p>
        </w:tc>
      </w:tr>
      <w:tr>
        <w:trPr>
          <w:trHeight w:val="210"/>
        </w:trPr>
        <w:tc>
          <w:tcPr>
            <w:tcW w:w="54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w:t>
            </w:r>
          </w:p>
        </w:tc>
        <w:tc>
          <w:tcPr>
            <w:tcW w:w="6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rate swap - unconsolidated affiliate</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adjustment for net (gain) loss included in earnings</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(355)</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53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Net unrealized (loss) gain</w:t>
            </w:r>
          </w:p>
        </w:tc>
        <w:tc>
          <w:tcPr>
            <w:tcW w:w="66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(loss) income</w:t>
            </w:r>
          </w:p>
        </w:tc>
        <w:tc>
          <w:tcPr>
            <w:tcW w:w="6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w:t>
            </w: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1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38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Before-</w:t>
            </w:r>
          </w:p>
        </w:tc>
        <w:tc>
          <w:tcPr>
            <w:tcW w:w="1080" w:type="dxa"/>
            <w:vAlign w:val="bottom"/>
            <w:gridSpan w:val="5"/>
          </w:tcPr>
          <w:p>
            <w:pPr>
              <w:jc w:val="right"/>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​​​Tax (Expense)</w:t>
            </w:r>
          </w:p>
        </w:tc>
        <w:tc>
          <w:tcPr>
            <w:tcW w:w="940" w:type="dxa"/>
            <w:vAlign w:val="bottom"/>
            <w:gridSpan w:val="5"/>
          </w:tcPr>
          <w:p>
            <w:pPr>
              <w:jc w:val="right"/>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  Net-of-</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38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Tax Amount</w:t>
            </w: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Tax Amount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w:t>
            </w:r>
          </w:p>
        </w:tc>
        <w:tc>
          <w:tcPr>
            <w:tcW w:w="6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gridSpan w:val="2"/>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Reclassification adjustment for net (gain) loss included in earnings</w:t>
            </w:r>
          </w:p>
        </w:tc>
        <w:tc>
          <w:tcPr>
            <w:tcW w:w="6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(761)</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unrealized (loss) gain</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(452)</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1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(loss) income</w:t>
            </w:r>
          </w:p>
        </w:tc>
        <w:tc>
          <w:tcPr>
            <w:tcW w:w="680" w:type="dxa"/>
            <w:vAlign w:val="bottom"/>
            <w:gridSpan w:val="2"/>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(452)</w:t>
            </w:r>
          </w:p>
        </w:tc>
        <w:tc>
          <w:tcPr>
            <w:tcW w:w="140" w:type="dxa"/>
            <w:vAlign w:val="bottom"/>
            <w:gridSpan w:val="2"/>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c>
          <w:tcPr>
            <w:tcW w:w="20" w:type="dxa"/>
            <w:vAlign w:val="bottom"/>
            <w:tcBorders>
              <w:bottom w:val="single" w:sz="8" w:color="auto"/>
            </w:tcBorders>
          </w:tcPr>
          <w:p>
            <w:pPr>
              <w:spacing w:after="0"/>
              <w:rPr>
                <w:sz w:val="18"/>
                <w:szCs w:val="18"/>
                <w:color w:val="auto"/>
              </w:rPr>
            </w:pPr>
          </w:p>
        </w:tc>
        <w:tc>
          <w:tcPr>
            <w:tcW w:w="160" w:type="dxa"/>
            <w:vAlign w:val="bottom"/>
            <w:gridSpan w:val="2"/>
          </w:tcPr>
          <w:p>
            <w:pPr>
              <w:spacing w:after="0"/>
              <w:rPr>
                <w:sz w:val="18"/>
                <w:szCs w:val="18"/>
                <w:color w:val="auto"/>
              </w:rPr>
            </w:pPr>
          </w:p>
        </w:tc>
        <w:tc>
          <w:tcPr>
            <w:tcW w:w="22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(372)</w:t>
            </w: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ind w:left="4380"/>
              <w:spacing w:after="0"/>
              <w:rPr>
                <w:sz w:val="20"/>
                <w:szCs w:val="20"/>
                <w:color w:val="auto"/>
              </w:rPr>
            </w:pPr>
            <w:r>
              <w:rPr>
                <w:rFonts w:ascii="Times New Roman" w:cs="Times New Roman" w:eastAsia="Times New Roman" w:hAnsi="Times New Roman"/>
                <w:sz w:val="18"/>
                <w:szCs w:val="18"/>
                <w:color w:val="auto"/>
              </w:rPr>
              <w:t>35</w:t>
            </w: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540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380" w:type="dxa"/>
            <w:vAlign w:val="bottom"/>
          </w:tcPr>
          <w:p>
            <w:pPr>
              <w:spacing w:after="0"/>
              <w:rPr>
                <w:sz w:val="15"/>
                <w:szCs w:val="15"/>
                <w:color w:val="auto"/>
              </w:rPr>
            </w:pPr>
          </w:p>
        </w:tc>
        <w:tc>
          <w:tcPr>
            <w:tcW w:w="680" w:type="dxa"/>
            <w:vAlign w:val="bottom"/>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7"/>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0" w:type="dxa"/>
            <w:vAlign w:val="bottom"/>
          </w:tcPr>
          <w:p>
            <w:pPr>
              <w:spacing w:after="0"/>
              <w:rPr>
                <w:sz w:val="1"/>
                <w:szCs w:val="1"/>
                <w:color w:val="auto"/>
              </w:rPr>
            </w:pPr>
          </w:p>
        </w:tc>
      </w:tr>
      <w:tr>
        <w:trPr>
          <w:trHeight w:val="117"/>
        </w:trPr>
        <w:tc>
          <w:tcPr>
            <w:tcW w:w="538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right"/>
              <w:ind w:right="116"/>
              <w:spacing w:after="0" w:line="118" w:lineRule="exact"/>
              <w:rPr>
                <w:sz w:val="20"/>
                <w:szCs w:val="20"/>
                <w:color w:val="auto"/>
              </w:rPr>
            </w:pPr>
            <w:r>
              <w:rPr>
                <w:rFonts w:ascii="Times New Roman" w:cs="Times New Roman" w:eastAsia="Times New Roman" w:hAnsi="Times New Roman"/>
                <w:sz w:val="13"/>
                <w:szCs w:val="13"/>
                <w:b w:val="1"/>
                <w:bCs w:val="1"/>
                <w:color w:val="auto"/>
              </w:rPr>
              <w:t>Before-</w:t>
            </w:r>
          </w:p>
        </w:tc>
        <w:tc>
          <w:tcPr>
            <w:tcW w:w="24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tcPr>
          <w:p>
            <w:pPr>
              <w:jc w:val="center"/>
              <w:ind w:right="16"/>
              <w:spacing w:after="0" w:line="118" w:lineRule="exact"/>
              <w:rPr>
                <w:sz w:val="20"/>
                <w:szCs w:val="20"/>
                <w:color w:val="auto"/>
              </w:rPr>
            </w:pPr>
            <w:r>
              <w:rPr>
                <w:rFonts w:ascii="Times New Roman" w:cs="Times New Roman" w:eastAsia="Times New Roman" w:hAnsi="Times New Roman"/>
                <w:sz w:val="13"/>
                <w:szCs w:val="13"/>
                <w:b w:val="1"/>
                <w:bCs w:val="1"/>
                <w:color w:val="auto"/>
              </w:rPr>
              <w:t>Tax Benefit</w:t>
            </w:r>
          </w:p>
        </w:tc>
        <w:tc>
          <w:tcPr>
            <w:tcW w:w="940" w:type="dxa"/>
            <w:vAlign w:val="bottom"/>
            <w:gridSpan w:val="3"/>
          </w:tcPr>
          <w:p>
            <w:pPr>
              <w:jc w:val="right"/>
              <w:ind w:right="90"/>
              <w:spacing w:after="0" w:line="118" w:lineRule="exact"/>
              <w:rPr>
                <w:sz w:val="20"/>
                <w:szCs w:val="20"/>
                <w:color w:val="auto"/>
              </w:rPr>
            </w:pPr>
            <w:r>
              <w:rPr>
                <w:rFonts w:ascii="Times New Roman" w:cs="Times New Roman" w:eastAsia="Times New Roman" w:hAnsi="Times New Roman"/>
                <w:sz w:val="13"/>
                <w:szCs w:val="13"/>
                <w:b w:val="1"/>
                <w:bCs w:val="1"/>
                <w:color w:val="auto"/>
              </w:rPr>
              <w:t>​​​  Net-of-</w:t>
            </w:r>
          </w:p>
        </w:tc>
        <w:tc>
          <w:tcPr>
            <w:tcW w:w="0" w:type="dxa"/>
            <w:vAlign w:val="bottom"/>
          </w:tcPr>
          <w:p>
            <w:pPr>
              <w:spacing w:after="0"/>
              <w:rPr>
                <w:sz w:val="1"/>
                <w:szCs w:val="1"/>
                <w:color w:val="auto"/>
              </w:rPr>
            </w:pPr>
          </w:p>
        </w:tc>
      </w:tr>
      <w:tr>
        <w:trPr>
          <w:trHeight w:val="173"/>
        </w:trPr>
        <w:tc>
          <w:tcPr>
            <w:tcW w:w="538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Tax Amount</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6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Tax Amount</w:t>
            </w: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 - unconsolidated joint venture</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 adjustment for net (gain) loss included in earnings</w:t>
            </w:r>
          </w:p>
        </w:tc>
        <w:tc>
          <w:tcPr>
            <w:tcW w:w="6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0" w:type="dxa"/>
            <w:vAlign w:val="bottom"/>
          </w:tcPr>
          <w:p>
            <w:pPr>
              <w:spacing w:after="0"/>
              <w:rPr>
                <w:sz w:val="1"/>
                <w:szCs w:val="1"/>
                <w:color w:val="auto"/>
              </w:rPr>
            </w:pPr>
          </w:p>
        </w:tc>
      </w:tr>
      <w:tr>
        <w:trPr>
          <w:trHeight w:val="210"/>
        </w:trPr>
        <w:tc>
          <w:tcPr>
            <w:tcW w:w="53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Net unrealized (loss) gain</w:t>
            </w:r>
          </w:p>
        </w:tc>
        <w:tc>
          <w:tcPr>
            <w:tcW w:w="6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0" w:type="dxa"/>
            <w:vAlign w:val="bottom"/>
          </w:tcPr>
          <w:p>
            <w:pPr>
              <w:spacing w:after="0"/>
              <w:rPr>
                <w:sz w:val="1"/>
                <w:szCs w:val="1"/>
                <w:color w:val="auto"/>
              </w:rPr>
            </w:pPr>
          </w:p>
        </w:tc>
      </w:tr>
      <w:tr>
        <w:trPr>
          <w:trHeight w:val="209"/>
        </w:trPr>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 income</w:t>
            </w:r>
          </w:p>
        </w:tc>
        <w:tc>
          <w:tcPr>
            <w:tcW w:w="6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(1,231)</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(1,007)</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Stockholders’ Equity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ind w:left="60" w:right="279" w:firstLine="324"/>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2026 and 2025, the Company paid dividends of $0.16 and $0.14, respectively, per share on the Company’s common stock for a total of $9.1 million and $8.1 million, respectively. During the nine months ended September 30, 2026 and 2025, the Company paid dividends of $0.48 and $0.42, respectively, per share on the Company’s common stock for a total of $27.4 million and $24.4 million, respectively.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229" w:lineRule="exact"/>
        <w:rPr>
          <w:sz w:val="20"/>
          <w:szCs w:val="20"/>
          <w:color w:val="auto"/>
        </w:rPr>
      </w:pPr>
    </w:p>
    <w:p>
      <w:pPr>
        <w:ind w:left="60" w:right="339" w:firstLine="324"/>
        <w:spacing w:after="0" w:line="266" w:lineRule="auto"/>
        <w:rPr>
          <w:sz w:val="20"/>
          <w:szCs w:val="20"/>
          <w:color w:val="auto"/>
        </w:rPr>
      </w:pPr>
      <w:r>
        <w:rPr>
          <w:rFonts w:ascii="Times New Roman" w:cs="Times New Roman" w:eastAsia="Times New Roman" w:hAnsi="Times New Roman"/>
          <w:sz w:val="18"/>
          <w:szCs w:val="18"/>
          <w:color w:val="auto"/>
        </w:rPr>
        <w:t>The Company’s Board of Directors (the “Board”) approved a stock repurchase program (the “Stock Repurchase Program”) pursuant to which the Company is authorized to repurchase shares of its common stock. The program has no expiration date.</w:t>
      </w:r>
    </w:p>
    <w:p>
      <w:pPr>
        <w:spacing w:after="0" w:line="176" w:lineRule="exact"/>
        <w:rPr>
          <w:sz w:val="20"/>
          <w:szCs w:val="20"/>
          <w:color w:val="auto"/>
        </w:rPr>
      </w:pPr>
    </w:p>
    <w:p>
      <w:pPr>
        <w:ind w:left="60" w:right="79" w:firstLine="324"/>
        <w:spacing w:after="0" w:line="268" w:lineRule="auto"/>
        <w:rPr>
          <w:sz w:val="20"/>
          <w:szCs w:val="20"/>
          <w:color w:val="auto"/>
        </w:rPr>
      </w:pPr>
      <w:r>
        <w:rPr>
          <w:rFonts w:ascii="Times New Roman" w:cs="Times New Roman" w:eastAsia="Times New Roman" w:hAnsi="Times New Roman"/>
          <w:sz w:val="17"/>
          <w:szCs w:val="17"/>
          <w:color w:val="auto"/>
        </w:rPr>
        <w:t>During the three months ended September 30, 2026, the Company repurchased 412,800 shares of its common stock outstanding at an average repurchase price of $65.82, per share, for an aggregate purchase price of $27.2 million, excluding the excise tax on stock repurchases in excess of issuances. During the three months ended September 30, 2025, the Company repurchased 176,085 shares of its common stock outstanding at an average repurchase price of $49.45, per share, for an aggregate purchase price of $8.7 million, excluding the excise tax on stock repurchases in excess of issuances. During the nine months ended September 30, 2026, the Company repurchased 988,637 shares of its common stock outstanding at an average repurchase price of $65.65, per share, for an aggregate purchase price of $64.9 million, excluding the excise tax on stock repurchases in excess of issuances. During the nine months ended September 30, 2025, the Company repurchased 535,099 shares of its common stock outstanding at an average repurchase price of $46.64, per share, for an aggregate purchase price of $24.9 million, excluding the excise tax on stock repurchases in excess of issuances. In May 2026, the Board increased the total authorization under the Stock Repurchase Program to $200.0 million. As of September 30, 2026, the Company had a total authority of $145.8 million available for purchase of shares of its common stock. The Company may repurchase its common stock in open market purchases from time to time, in privately negotiated transactions or otherwise, pursuant to Rule 10b-18 under the Securities Exchange Act of 1934, as amended (the “Exchange Act”). The timing and amount of any additional stock to be repurchased will depend upon a variety of factors. Repurchases may be commenced or suspended at any time or from time to time without prior notice. The Stock Repurchase Program will continue until otherwise modified or terminated by the Company’s Board at any time in its sole discretion.</w:t>
      </w:r>
    </w:p>
    <w:p>
      <w:pPr>
        <w:spacing w:after="0" w:line="1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Issuance of Common Stock for Employee Compensation</w:t>
      </w:r>
    </w:p>
    <w:p>
      <w:pPr>
        <w:spacing w:after="0" w:line="229"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In 2026, the Company granted 28,411 restricted stock awards to certain employees pursuant to the Company’s 2025 Performance and Equity Incentive Plan (the “2025 Plan”). The restricted stock awards vest in equal annual installments on the first, second and third annual anniversary of the grant date, subject to the recipient’s continued employment through and on the applicable vesting date. During the nine months ended September 30, 2026, 1,766 unvested restricted shares were forfeited. The weighted average grant date fair value of the restricted stock awards was $72.69 per share.</w:t>
      </w:r>
    </w:p>
    <w:p>
      <w:pPr>
        <w:spacing w:after="0" w:line="183" w:lineRule="exact"/>
        <w:rPr>
          <w:sz w:val="20"/>
          <w:szCs w:val="20"/>
          <w:color w:val="auto"/>
        </w:rPr>
      </w:pPr>
    </w:p>
    <w:p>
      <w:pPr>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In 2025, the Company granted 16,076 restricted stock awards to certain employees pursuant to the Company’s 2015 Performance and Equity Incentive Plan (the “2015 Plan”). The restricted stock awards vest in equal annual installments on the first, second and third annual anniversary of the grant date, subject to the recipient’s continued employment</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through and on the applicable vesting date. During the nine months ended September 30, 2026, 5,359 of the restricted shares vested on the annual anniversary. During the nine months ended September 30, 2026, 899 unvested restricted shares were forfeited. The weighted average grant date fair value of the restricted stock awards was $46.24 per share.</w:t>
      </w:r>
    </w:p>
    <w:p>
      <w:pPr>
        <w:spacing w:after="0" w:line="176" w:lineRule="exact"/>
        <w:rPr>
          <w:sz w:val="20"/>
          <w:szCs w:val="20"/>
          <w:color w:val="auto"/>
        </w:rPr>
      </w:pPr>
    </w:p>
    <w:p>
      <w:pPr>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In 2024, the Company granted 26,744 restricted stock awards to certain employees pursuant to the 2015 Plan. The restricted stock awards vest in equal annual installments on the first, second and third annual anniversary of the grant date, subject to the recipient’s continued employment through and on the applicable vesting date. During the nine months ended September 30, 2026 and 2025, 8,050 and 8,051, respectively, of the restricted shares vested on the annual anniversaries. During the nine months ended September 30, 2026, 730 unvested restricted shares were forfeited. The weighted average grant date fair value of the restricted stock awards was $54.16 per share.</w:t>
      </w:r>
    </w:p>
    <w:p>
      <w:pPr>
        <w:spacing w:after="0" w:line="187" w:lineRule="exact"/>
        <w:rPr>
          <w:sz w:val="20"/>
          <w:szCs w:val="20"/>
          <w:color w:val="auto"/>
        </w:rPr>
      </w:pPr>
    </w:p>
    <w:p>
      <w:pPr>
        <w:ind w:left="60" w:right="239" w:firstLine="324"/>
        <w:spacing w:after="0" w:line="258" w:lineRule="auto"/>
        <w:rPr>
          <w:sz w:val="20"/>
          <w:szCs w:val="20"/>
          <w:color w:val="auto"/>
        </w:rPr>
      </w:pPr>
      <w:r>
        <w:rPr>
          <w:rFonts w:ascii="Times New Roman" w:cs="Times New Roman" w:eastAsia="Times New Roman" w:hAnsi="Times New Roman"/>
          <w:sz w:val="18"/>
          <w:szCs w:val="18"/>
          <w:color w:val="auto"/>
        </w:rPr>
        <w:t>In March 2023, the Company granted 12,796 restricted stock awards to certain employees pursuant to the 2015 Plan. The restricted stock awards vested in equal annual installments on the first, second and third annual anniversary of the grant date, subject to the recipient’s continued employment through and on the applicable vesting date. During the nine months ended September 30, 2026 and 2025, 3,187 and 3,185, respectively, of the restricted shares vested on the annual anniversaries. The weighted average grant date fair value of the restricted stock awards was $39.42 per share.</w:t>
      </w:r>
    </w:p>
    <w:p>
      <w:pPr>
        <w:spacing w:after="0" w:line="183"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In February 2023, the Company granted 17,943 restricted stock awards to certain employees pursuant to the 2015 Plan. The restricted stock awards vested in equal annual installments on the first, second and third annual anniversary of the grant date, subject to the recipient’s continued employment through and on the applicable vesting date. During the nine months ended September 30, 2026 and 2025, 5,982 and 5,979, respectively, of the restricted shares vested on the annual anniversaries. The weighted average grant date fair value of the restricted stock awards was $44.30 per share.</w:t>
      </w:r>
    </w:p>
    <w:p>
      <w:pPr>
        <w:spacing w:after="0" w:line="183" w:lineRule="exact"/>
        <w:rPr>
          <w:sz w:val="20"/>
          <w:szCs w:val="20"/>
          <w:color w:val="auto"/>
        </w:rPr>
      </w:pPr>
    </w:p>
    <w:p>
      <w:pPr>
        <w:ind w:left="60" w:right="239" w:firstLine="324"/>
        <w:spacing w:after="0" w:line="258" w:lineRule="auto"/>
        <w:rPr>
          <w:sz w:val="20"/>
          <w:szCs w:val="20"/>
          <w:color w:val="auto"/>
        </w:rPr>
      </w:pPr>
      <w:r>
        <w:rPr>
          <w:rFonts w:ascii="Times New Roman" w:cs="Times New Roman" w:eastAsia="Times New Roman" w:hAnsi="Times New Roman"/>
          <w:sz w:val="18"/>
          <w:szCs w:val="18"/>
          <w:color w:val="auto"/>
        </w:rPr>
        <w:t>In 2022, the Company granted 25,594 restricted stock awards to certain employees pursuant to the 2015 Plan. The restricted stock awards vested in equal annual installments on the first, second and third annual anniversary of the grant date, subject to the recipient’s continued employment through and on the applicable vesting date. During the nine months ended September 30, 2025, 7,664 of the restricted shares vested on the annual anniversary. The weighted average grant date fair value of the restricted stock awards was $46.73 per share.</w:t>
      </w:r>
    </w:p>
    <w:p>
      <w:pPr>
        <w:spacing w:after="0" w:line="183"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During 2025, 2024, 2023 and 2022, the Company granted 3,332, 5,418, 5,760 and 4,361, respectively, restricted stock awards to an employee pursuant to the 2015 Plan, with a weighted average grant date fair value of $46.24, $54.16, $44.30 and $55.73, respectively, per share. The restricted stock awards vest in January 2030, subject to the recipient’s continued employment through and on the applicable vesting date.</w:t>
      </w:r>
    </w:p>
    <w:p>
      <w:pPr>
        <w:spacing w:after="0" w:line="180" w:lineRule="exact"/>
        <w:rPr>
          <w:sz w:val="20"/>
          <w:szCs w:val="20"/>
          <w:color w:val="auto"/>
        </w:rPr>
      </w:pPr>
    </w:p>
    <w:p>
      <w:pPr>
        <w:ind w:left="60" w:right="119" w:firstLine="324"/>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2026, the Company repurchased 4,835 shares of its common stock outstanding at an average repurchase price of $68.85, per share, for an aggregate purchase price of $0.3 million, excluding the excise tax on stock repurchases in excess of issuances, related to shares withheld from vested restricted stock awards to satisfy employees’ minimum statutory tax withholding requirements.</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Following is a summary of non-vested restricted share activity:</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2740" w:type="dxa"/>
            <w:vAlign w:val="bottom"/>
            <w:gridSpan w:val="4"/>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0" w:type="dxa"/>
            <w:vAlign w:val="bottom"/>
          </w:tcPr>
          <w:p>
            <w:pPr>
              <w:spacing w:after="0"/>
              <w:rPr>
                <w:sz w:val="1"/>
                <w:szCs w:val="1"/>
                <w:color w:val="auto"/>
              </w:rPr>
            </w:pPr>
          </w:p>
        </w:tc>
      </w:tr>
      <w:tr>
        <w:trPr>
          <w:trHeight w:val="117"/>
        </w:trPr>
        <w:tc>
          <w:tcPr>
            <w:tcW w:w="3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160" w:type="dxa"/>
            <w:vAlign w:val="bottom"/>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14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2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49"/>
        </w:trPr>
        <w:tc>
          <w:tcPr>
            <w:tcW w:w="3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Non-Vested Restricted Shares</w:t>
            </w:r>
          </w:p>
        </w:tc>
        <w:tc>
          <w:tcPr>
            <w:tcW w:w="12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12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73"/>
        </w:trPr>
        <w:tc>
          <w:tcPr>
            <w:tcW w:w="3260" w:type="dxa"/>
            <w:vAlign w:val="bottom"/>
            <w:gridSpan w:val="2"/>
            <w:vMerge w:val="continue"/>
          </w:tcPr>
          <w:p>
            <w:pPr>
              <w:spacing w:after="0"/>
              <w:rPr>
                <w:sz w:val="15"/>
                <w:szCs w:val="15"/>
                <w:color w:val="auto"/>
              </w:rPr>
            </w:pPr>
          </w:p>
        </w:tc>
        <w:tc>
          <w:tcPr>
            <w:tcW w:w="12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5"/>
                <w:szCs w:val="15"/>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28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10"/>
        </w:trPr>
        <w:tc>
          <w:tcPr>
            <w:tcW w:w="3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60,217</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49.02</w:t>
            </w:r>
          </w:p>
        </w:tc>
        <w:tc>
          <w:tcPr>
            <w:tcW w:w="1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65,688</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49.31</w:t>
            </w:r>
          </w:p>
        </w:tc>
        <w:tc>
          <w:tcPr>
            <w:tcW w:w="0" w:type="dxa"/>
            <w:vAlign w:val="bottom"/>
          </w:tcPr>
          <w:p>
            <w:pPr>
              <w:spacing w:after="0"/>
              <w:rPr>
                <w:sz w:val="1"/>
                <w:szCs w:val="1"/>
                <w:color w:val="auto"/>
              </w:rPr>
            </w:pPr>
          </w:p>
        </w:tc>
      </w:tr>
      <w:tr>
        <w:trPr>
          <w:trHeight w:val="216"/>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28,411</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72.69</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19,408</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46.24</w:t>
            </w:r>
          </w:p>
        </w:tc>
        <w:tc>
          <w:tcPr>
            <w:tcW w:w="0" w:type="dxa"/>
            <w:vAlign w:val="bottom"/>
          </w:tcPr>
          <w:p>
            <w:pPr>
              <w:spacing w:after="0"/>
              <w:rPr>
                <w:sz w:val="1"/>
                <w:szCs w:val="1"/>
                <w:color w:val="auto"/>
              </w:rPr>
            </w:pPr>
          </w:p>
        </w:tc>
      </w:tr>
      <w:tr>
        <w:trPr>
          <w:trHeight w:val="216"/>
        </w:trPr>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(22,578)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47.59</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(24,879)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47.61</w:t>
            </w:r>
          </w:p>
        </w:tc>
        <w:tc>
          <w:tcPr>
            <w:tcW w:w="0" w:type="dxa"/>
            <w:vAlign w:val="bottom"/>
          </w:tcPr>
          <w:p>
            <w:pPr>
              <w:spacing w:after="0"/>
              <w:rPr>
                <w:sz w:val="1"/>
                <w:szCs w:val="1"/>
                <w:color w:val="auto"/>
              </w:rPr>
            </w:pPr>
          </w:p>
        </w:tc>
      </w:tr>
      <w:tr>
        <w:trPr>
          <w:trHeight w:val="216"/>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(3,395)</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61.70</w:t>
            </w:r>
          </w:p>
        </w:tc>
        <w:tc>
          <w:tcPr>
            <w:tcW w:w="1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2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62,655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60,217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49.02</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Stock based compensation cost is measured at the grant date based on the fair value of the award and is typically recognized as expense on a straight-line basis over the requisite service period, which is the vesting period. Forfeitures are accounted for as they occur. During the three months ended September 30, 2026 and 2025, the Company recorded</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319"/>
        <w:spacing w:after="0" w:line="266" w:lineRule="auto"/>
        <w:rPr>
          <w:sz w:val="20"/>
          <w:szCs w:val="20"/>
          <w:color w:val="auto"/>
        </w:rPr>
      </w:pPr>
      <w:r>
        <w:rPr>
          <w:rFonts w:ascii="Times New Roman" w:cs="Times New Roman" w:eastAsia="Times New Roman" w:hAnsi="Times New Roman"/>
          <w:sz w:val="18"/>
          <w:szCs w:val="18"/>
          <w:color w:val="auto"/>
        </w:rPr>
        <w:t>expense of $0.4 million and $0.3 million, respectively, and during the nine months ended September 30, 2026 and 2025, the Company recorded expense of $1.0 million and $0.9 million, respectively, related to restricted stock awards for employee compensation.</w:t>
      </w:r>
    </w:p>
    <w:p>
      <w:pPr>
        <w:spacing w:after="0" w:line="176"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As of September 30, 2026 and December 31, 2025, unrecognized compensation costs, related to non-vested restricted stock awards, were $2.5 million and $1.7 million, respectively. As of September 30, 2026, unrecognized compensation costs will be recognized over a weighted average period of 2.3 years.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 Revenue Recognition</w:t>
      </w:r>
    </w:p>
    <w:p>
      <w:pPr>
        <w:spacing w:after="0" w:line="229"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Revenue consists primarily of real estate sales, hospitality operations and leasing operations. Other revenue consists of real estate brokerage business, title insurance agency and insurance agency business revenue (collectively, “Business Services”) and mitigation bank credit sales revenue. Taxes collected from customers and remitted to governmental authorities (e.g., sales tax) are excluded from revenue, cost of revenue and expenses. The following represents revenue disaggregated by segment, goods or service and timing:</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2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8"/>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r>
      <w:tr>
        <w:trPr>
          <w:trHeight w:val="196"/>
        </w:trPr>
        <w:tc>
          <w:tcPr>
            <w:tcW w:w="22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Hospitality</w:t>
            </w:r>
          </w:p>
        </w:tc>
        <w:tc>
          <w:tcPr>
            <w:tcW w:w="100" w:type="dxa"/>
            <w:vAlign w:val="bottom"/>
          </w:tcPr>
          <w:p>
            <w:pPr>
              <w:spacing w:after="0"/>
              <w:rPr>
                <w:sz w:val="17"/>
                <w:szCs w:val="17"/>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80" w:type="dxa"/>
            <w:vAlign w:val="bottom"/>
          </w:tcPr>
          <w:p>
            <w:pPr>
              <w:spacing w:after="0"/>
              <w:rPr>
                <w:sz w:val="17"/>
                <w:szCs w:val="17"/>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7"/>
                <w:szCs w:val="17"/>
                <w:color w:val="auto"/>
              </w:rPr>
            </w:pPr>
          </w:p>
        </w:tc>
        <w:tc>
          <w:tcPr>
            <w:tcW w:w="74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37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 by Major Good/Service:</w:t>
            </w: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r>
      <w:tr>
        <w:trPr>
          <w:trHeight w:val="216"/>
        </w:trPr>
        <w:tc>
          <w:tcPr>
            <w:tcW w:w="3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Real estate revenue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46,185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(a)</w:t>
            </w:r>
            <w:r>
              <w:rPr>
                <w:rFonts w:ascii="Times New Roman" w:cs="Times New Roman" w:eastAsia="Times New Roman" w:hAnsi="Times New Roman"/>
                <w:sz w:val="17"/>
                <w:szCs w:val="17"/>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23,456</w:t>
            </w:r>
          </w:p>
        </w:tc>
        <w:tc>
          <w:tcPr>
            <w:tcW w:w="12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6,404</w:t>
            </w:r>
          </w:p>
        </w:tc>
        <w:tc>
          <w:tcPr>
            <w:tcW w:w="12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76,045</w:t>
            </w:r>
          </w:p>
        </w:tc>
      </w:tr>
      <w:tr>
        <w:trPr>
          <w:trHeight w:val="216"/>
        </w:trPr>
        <w:tc>
          <w:tcPr>
            <w:tcW w:w="3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Hospitality revenue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66,021</w:t>
            </w:r>
          </w:p>
        </w:tc>
      </w:tr>
      <w:tr>
        <w:trPr>
          <w:trHeight w:val="216"/>
        </w:trPr>
        <w:tc>
          <w:tcPr>
            <w:tcW w:w="37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Leasing revenue</w:t>
            </w: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12,959</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14,119</w:t>
            </w:r>
          </w:p>
        </w:tc>
      </w:tr>
      <w:tr>
        <w:trPr>
          <w:trHeight w:val="210"/>
        </w:trPr>
        <w:tc>
          <w:tcPr>
            <w:tcW w:w="37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46,185</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67,100</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36,415</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6,485</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156,185</w:t>
            </w:r>
          </w:p>
        </w:tc>
      </w:tr>
      <w:tr>
        <w:trPr>
          <w:trHeight w:val="20"/>
        </w:trPr>
        <w:tc>
          <w:tcPr>
            <w:tcW w:w="2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96"/>
        </w:trPr>
        <w:tc>
          <w:tcPr>
            <w:tcW w:w="22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16"/>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Timing of Revenue Recognition:</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3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Recognized at a point in time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46,185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49,902</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23,456</w:t>
            </w:r>
          </w:p>
        </w:tc>
        <w:tc>
          <w:tcPr>
            <w:tcW w:w="12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6,404</w:t>
            </w:r>
          </w:p>
        </w:tc>
        <w:tc>
          <w:tcPr>
            <w:tcW w:w="12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125,947</w:t>
            </w:r>
          </w:p>
        </w:tc>
      </w:tr>
      <w:tr>
        <w:trPr>
          <w:trHeight w:val="216"/>
        </w:trPr>
        <w:tc>
          <w:tcPr>
            <w:tcW w:w="3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Recognized over time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16,119</w:t>
            </w:r>
          </w:p>
        </w:tc>
      </w:tr>
      <w:tr>
        <w:trPr>
          <w:trHeight w:val="216"/>
        </w:trPr>
        <w:tc>
          <w:tcPr>
            <w:tcW w:w="37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Over lease term</w:t>
            </w: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12,959</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14,119</w:t>
            </w:r>
          </w:p>
        </w:tc>
      </w:tr>
      <w:tr>
        <w:trPr>
          <w:trHeight w:val="209"/>
        </w:trPr>
        <w:tc>
          <w:tcPr>
            <w:tcW w:w="37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46,185</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67,100</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36,415</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6,485</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156,185</w:t>
            </w:r>
          </w:p>
        </w:tc>
      </w:tr>
      <w:tr>
        <w:trPr>
          <w:trHeight w:val="20"/>
        </w:trPr>
        <w:tc>
          <w:tcPr>
            <w:tcW w:w="2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1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r>
    </w:tbl>
    <w:p>
      <w:pPr>
        <w:spacing w:after="0" w:line="81" w:lineRule="exact"/>
        <w:rPr>
          <w:sz w:val="20"/>
          <w:szCs w:val="20"/>
          <w:color w:val="auto"/>
        </w:rPr>
      </w:pPr>
    </w:p>
    <w:p>
      <w:pPr>
        <w:ind w:left="380" w:right="339" w:hanging="330"/>
        <w:spacing w:after="0" w:line="281" w:lineRule="auto"/>
        <w:tabs>
          <w:tab w:leader="none" w:pos="3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three months ended September 30, 2026, include revenue of $31.4 million for the initial net present value of additional land sold to the Latitude Margaritaville Watersound JV. See Note 4. </w:t>
      </w:r>
      <w:r>
        <w:rPr>
          <w:rFonts w:ascii="Times New Roman" w:cs="Times New Roman" w:eastAsia="Times New Roman" w:hAnsi="Times New Roman"/>
          <w:sz w:val="16"/>
          <w:szCs w:val="16"/>
          <w:i w:val="1"/>
          <w:iCs w:val="1"/>
          <w:color w:val="auto"/>
        </w:rPr>
        <w:t>Joint Ventures</w:t>
      </w:r>
      <w:r>
        <w:rPr>
          <w:rFonts w:ascii="Times New Roman" w:cs="Times New Roman" w:eastAsia="Times New Roman" w:hAnsi="Times New Roman"/>
          <w:sz w:val="16"/>
          <w:szCs w:val="16"/>
          <w:color w:val="auto"/>
        </w:rPr>
        <w:t xml:space="preserve"> and Note 18. </w:t>
      </w:r>
      <w:r>
        <w:rPr>
          <w:rFonts w:ascii="Times New Roman" w:cs="Times New Roman" w:eastAsia="Times New Roman" w:hAnsi="Times New Roman"/>
          <w:sz w:val="16"/>
          <w:szCs w:val="16"/>
          <w:i w:val="1"/>
          <w:iCs w:val="1"/>
          <w:color w:val="auto"/>
        </w:rPr>
        <w:t>Related Party Transactions</w:t>
      </w:r>
      <w:r>
        <w:rPr>
          <w:rFonts w:ascii="Times New Roman" w:cs="Times New Roman" w:eastAsia="Times New Roman" w:hAnsi="Times New Roman"/>
          <w:sz w:val="16"/>
          <w:szCs w:val="16"/>
          <w:color w:val="auto"/>
        </w:rPr>
        <w:t xml:space="preserve"> for additional information.</w:t>
      </w: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7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gridSpan w:val="8"/>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3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100" w:type="dxa"/>
            <w:vAlign w:val="bottom"/>
          </w:tcPr>
          <w:p>
            <w:pPr>
              <w:spacing w:after="0"/>
              <w:rPr>
                <w:sz w:val="17"/>
                <w:szCs w:val="17"/>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Hospitality</w:t>
            </w:r>
          </w:p>
        </w:tc>
        <w:tc>
          <w:tcPr>
            <w:tcW w:w="100" w:type="dxa"/>
            <w:vAlign w:val="bottom"/>
          </w:tcPr>
          <w:p>
            <w:pPr>
              <w:spacing w:after="0"/>
              <w:rPr>
                <w:sz w:val="17"/>
                <w:szCs w:val="17"/>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80" w:type="dxa"/>
            <w:vAlign w:val="bottom"/>
          </w:tcPr>
          <w:p>
            <w:pPr>
              <w:spacing w:after="0"/>
              <w:rPr>
                <w:sz w:val="17"/>
                <w:szCs w:val="17"/>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7"/>
                <w:szCs w:val="17"/>
                <w:color w:val="auto"/>
              </w:rPr>
            </w:pP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3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 by Major Good/Service:</w:t>
            </w: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Real estate revenue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36,772</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44,988</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1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83,831</w:t>
            </w:r>
          </w:p>
        </w:tc>
        <w:tc>
          <w:tcPr>
            <w:tcW w:w="20" w:type="dxa"/>
            <w:vAlign w:val="bottom"/>
          </w:tcPr>
          <w:p>
            <w:pPr>
              <w:spacing w:after="0"/>
              <w:rPr>
                <w:sz w:val="18"/>
                <w:szCs w:val="18"/>
                <w:color w:val="auto"/>
              </w:rPr>
            </w:pPr>
          </w:p>
        </w:tc>
      </w:tr>
      <w:tr>
        <w:trPr>
          <w:trHeight w:val="216"/>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Hospitality revenue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60,572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60,572</w:t>
            </w:r>
          </w:p>
        </w:tc>
        <w:tc>
          <w:tcPr>
            <w:tcW w:w="20" w:type="dxa"/>
            <w:vAlign w:val="bottom"/>
          </w:tcPr>
          <w:p>
            <w:pPr>
              <w:spacing w:after="0"/>
              <w:rPr>
                <w:sz w:val="18"/>
                <w:szCs w:val="18"/>
                <w:color w:val="auto"/>
              </w:rPr>
            </w:pPr>
          </w:p>
        </w:tc>
      </w:tr>
      <w:tr>
        <w:trPr>
          <w:trHeight w:val="216"/>
        </w:trPr>
        <w:tc>
          <w:tcPr>
            <w:tcW w:w="37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Leasing revenue</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15,511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16,673</w:t>
            </w:r>
          </w:p>
        </w:tc>
        <w:tc>
          <w:tcPr>
            <w:tcW w:w="20" w:type="dxa"/>
            <w:vAlign w:val="bottom"/>
          </w:tcPr>
          <w:p>
            <w:pPr>
              <w:spacing w:after="0"/>
              <w:rPr>
                <w:sz w:val="18"/>
                <w:szCs w:val="18"/>
                <w:color w:val="auto"/>
              </w:rPr>
            </w:pPr>
          </w:p>
        </w:tc>
      </w:tr>
      <w:tr>
        <w:trPr>
          <w:trHeight w:val="210"/>
        </w:trPr>
        <w:tc>
          <w:tcPr>
            <w:tcW w:w="3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36,781</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61,660</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60,499</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2,136</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161,076</w:t>
            </w:r>
          </w:p>
        </w:tc>
        <w:tc>
          <w:tcPr>
            <w:tcW w:w="20" w:type="dxa"/>
            <w:vAlign w:val="bottom"/>
          </w:tcPr>
          <w:p>
            <w:pPr>
              <w:spacing w:after="0"/>
              <w:rPr>
                <w:sz w:val="18"/>
                <w:szCs w:val="18"/>
                <w:color w:val="auto"/>
              </w:rPr>
            </w:pPr>
          </w:p>
        </w:tc>
      </w:tr>
      <w:tr>
        <w:trPr>
          <w:trHeight w:val="20"/>
        </w:trPr>
        <w:tc>
          <w:tcPr>
            <w:tcW w:w="3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Timing of Revenue Recognition:</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Recognized at a point in time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36,772</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46,694</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44,988</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1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130,525</w:t>
            </w:r>
          </w:p>
        </w:tc>
        <w:tc>
          <w:tcPr>
            <w:tcW w:w="20" w:type="dxa"/>
            <w:vAlign w:val="bottom"/>
          </w:tcPr>
          <w:p>
            <w:pPr>
              <w:spacing w:after="0"/>
              <w:rPr>
                <w:sz w:val="18"/>
                <w:szCs w:val="18"/>
                <w:color w:val="auto"/>
              </w:rPr>
            </w:pPr>
          </w:p>
        </w:tc>
      </w:tr>
      <w:tr>
        <w:trPr>
          <w:trHeight w:val="216"/>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Recognized over time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13,878</w:t>
            </w:r>
          </w:p>
        </w:tc>
        <w:tc>
          <w:tcPr>
            <w:tcW w:w="20" w:type="dxa"/>
            <w:vAlign w:val="bottom"/>
          </w:tcPr>
          <w:p>
            <w:pPr>
              <w:spacing w:after="0"/>
              <w:rPr>
                <w:sz w:val="18"/>
                <w:szCs w:val="18"/>
                <w:color w:val="auto"/>
              </w:rPr>
            </w:pPr>
          </w:p>
        </w:tc>
      </w:tr>
      <w:tr>
        <w:trPr>
          <w:trHeight w:val="216"/>
        </w:trPr>
        <w:tc>
          <w:tcPr>
            <w:tcW w:w="37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Over lease term</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15,511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16,673</w:t>
            </w:r>
          </w:p>
        </w:tc>
        <w:tc>
          <w:tcPr>
            <w:tcW w:w="20" w:type="dxa"/>
            <w:vAlign w:val="bottom"/>
          </w:tcPr>
          <w:p>
            <w:pPr>
              <w:spacing w:after="0"/>
              <w:rPr>
                <w:sz w:val="18"/>
                <w:szCs w:val="18"/>
                <w:color w:val="auto"/>
              </w:rPr>
            </w:pPr>
          </w:p>
        </w:tc>
      </w:tr>
      <w:tr>
        <w:trPr>
          <w:trHeight w:val="209"/>
        </w:trPr>
        <w:tc>
          <w:tcPr>
            <w:tcW w:w="3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36,781</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61,660</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60,499</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2,136</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161,076</w:t>
            </w:r>
          </w:p>
        </w:tc>
        <w:tc>
          <w:tcPr>
            <w:tcW w:w="20" w:type="dxa"/>
            <w:vAlign w:val="bottom"/>
          </w:tcPr>
          <w:p>
            <w:pPr>
              <w:spacing w:after="0"/>
              <w:rPr>
                <w:sz w:val="18"/>
                <w:szCs w:val="18"/>
                <w:color w:val="auto"/>
              </w:rPr>
            </w:pPr>
          </w:p>
        </w:tc>
      </w:tr>
      <w:tr>
        <w:trPr>
          <w:trHeight w:val="20"/>
        </w:trPr>
        <w:tc>
          <w:tcPr>
            <w:tcW w:w="3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28"/>
        </w:trPr>
        <w:tc>
          <w:tcPr>
            <w:tcW w:w="3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3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2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8"/>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r>
      <w:tr>
        <w:trPr>
          <w:trHeight w:val="196"/>
        </w:trPr>
        <w:tc>
          <w:tcPr>
            <w:tcW w:w="22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Hospitality</w:t>
            </w:r>
          </w:p>
        </w:tc>
        <w:tc>
          <w:tcPr>
            <w:tcW w:w="100" w:type="dxa"/>
            <w:vAlign w:val="bottom"/>
          </w:tcPr>
          <w:p>
            <w:pPr>
              <w:spacing w:after="0"/>
              <w:rPr>
                <w:sz w:val="17"/>
                <w:szCs w:val="17"/>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80" w:type="dxa"/>
            <w:vAlign w:val="bottom"/>
          </w:tcPr>
          <w:p>
            <w:pPr>
              <w:spacing w:after="0"/>
              <w:rPr>
                <w:sz w:val="17"/>
                <w:szCs w:val="17"/>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7"/>
                <w:szCs w:val="17"/>
                <w:color w:val="auto"/>
              </w:rPr>
            </w:pPr>
          </w:p>
        </w:tc>
        <w:tc>
          <w:tcPr>
            <w:tcW w:w="74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37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 by Major Good/Service:</w:t>
            </w: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r>
      <w:tr>
        <w:trPr>
          <w:trHeight w:val="216"/>
        </w:trPr>
        <w:tc>
          <w:tcPr>
            <w:tcW w:w="3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Real estate revenue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127,353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(a)</w:t>
            </w: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7,120</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35,002</w:t>
            </w:r>
          </w:p>
        </w:tc>
        <w:tc>
          <w:tcPr>
            <w:tcW w:w="12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15,851</w:t>
            </w:r>
          </w:p>
        </w:tc>
        <w:tc>
          <w:tcPr>
            <w:tcW w:w="12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185,326</w:t>
            </w:r>
          </w:p>
        </w:tc>
      </w:tr>
      <w:tr>
        <w:trPr>
          <w:trHeight w:val="216"/>
        </w:trPr>
        <w:tc>
          <w:tcPr>
            <w:tcW w:w="3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Hospitality revenue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184,937</w:t>
            </w:r>
          </w:p>
        </w:tc>
      </w:tr>
      <w:tr>
        <w:trPr>
          <w:trHeight w:val="216"/>
        </w:trPr>
        <w:tc>
          <w:tcPr>
            <w:tcW w:w="37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Leasing revenue</w:t>
            </w: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3,027</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40,482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43,795</w:t>
            </w:r>
          </w:p>
        </w:tc>
      </w:tr>
      <w:tr>
        <w:trPr>
          <w:trHeight w:val="210"/>
        </w:trPr>
        <w:tc>
          <w:tcPr>
            <w:tcW w:w="37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127,353</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195,084</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75,484</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16,137</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414,058</w:t>
            </w:r>
          </w:p>
        </w:tc>
      </w:tr>
      <w:tr>
        <w:trPr>
          <w:trHeight w:val="20"/>
        </w:trPr>
        <w:tc>
          <w:tcPr>
            <w:tcW w:w="2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97"/>
        </w:trPr>
        <w:tc>
          <w:tcPr>
            <w:tcW w:w="22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16"/>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Timing of Revenue Recognition:</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3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Recognized at a point in time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127,353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145,308</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35,002</w:t>
            </w:r>
          </w:p>
        </w:tc>
        <w:tc>
          <w:tcPr>
            <w:tcW w:w="12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15,851</w:t>
            </w:r>
          </w:p>
        </w:tc>
        <w:tc>
          <w:tcPr>
            <w:tcW w:w="12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323,514</w:t>
            </w:r>
          </w:p>
        </w:tc>
      </w:tr>
      <w:tr>
        <w:trPr>
          <w:trHeight w:val="216"/>
        </w:trPr>
        <w:tc>
          <w:tcPr>
            <w:tcW w:w="3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Recognized over time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46,749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46,749</w:t>
            </w:r>
          </w:p>
        </w:tc>
      </w:tr>
      <w:tr>
        <w:trPr>
          <w:trHeight w:val="216"/>
        </w:trPr>
        <w:tc>
          <w:tcPr>
            <w:tcW w:w="37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Over lease term</w:t>
            </w: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3,027</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40,482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43,795</w:t>
            </w:r>
          </w:p>
        </w:tc>
      </w:tr>
      <w:tr>
        <w:trPr>
          <w:trHeight w:val="210"/>
        </w:trPr>
        <w:tc>
          <w:tcPr>
            <w:tcW w:w="37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127,353</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195,084</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75,484</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16,137</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414,058</w:t>
            </w:r>
          </w:p>
        </w:tc>
      </w:tr>
      <w:tr>
        <w:trPr>
          <w:trHeight w:val="20"/>
        </w:trPr>
        <w:tc>
          <w:tcPr>
            <w:tcW w:w="2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1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r>
    </w:tbl>
    <w:p>
      <w:pPr>
        <w:spacing w:after="0" w:line="81" w:lineRule="exact"/>
        <w:rPr>
          <w:sz w:val="20"/>
          <w:szCs w:val="20"/>
          <w:color w:val="auto"/>
        </w:rPr>
      </w:pPr>
    </w:p>
    <w:p>
      <w:pPr>
        <w:ind w:left="380" w:right="379" w:hanging="330"/>
        <w:spacing w:after="0" w:line="281" w:lineRule="auto"/>
        <w:tabs>
          <w:tab w:leader="none" w:pos="3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nine months ended September 30, 2026, include revenue of $31.4 million for the initial net present value of additional land sold to the Latitude Margaritaville Watersound JV. See Note 4. </w:t>
      </w:r>
      <w:r>
        <w:rPr>
          <w:rFonts w:ascii="Times New Roman" w:cs="Times New Roman" w:eastAsia="Times New Roman" w:hAnsi="Times New Roman"/>
          <w:sz w:val="16"/>
          <w:szCs w:val="16"/>
          <w:i w:val="1"/>
          <w:iCs w:val="1"/>
          <w:color w:val="auto"/>
        </w:rPr>
        <w:t>Joint Ventures</w:t>
      </w:r>
      <w:r>
        <w:rPr>
          <w:rFonts w:ascii="Times New Roman" w:cs="Times New Roman" w:eastAsia="Times New Roman" w:hAnsi="Times New Roman"/>
          <w:sz w:val="16"/>
          <w:szCs w:val="16"/>
          <w:color w:val="auto"/>
        </w:rPr>
        <w:t xml:space="preserve"> and Note 18. </w:t>
      </w:r>
      <w:r>
        <w:rPr>
          <w:rFonts w:ascii="Times New Roman" w:cs="Times New Roman" w:eastAsia="Times New Roman" w:hAnsi="Times New Roman"/>
          <w:sz w:val="16"/>
          <w:szCs w:val="16"/>
          <w:i w:val="1"/>
          <w:iCs w:val="1"/>
          <w:color w:val="auto"/>
        </w:rPr>
        <w:t>Related Party Transactions</w:t>
      </w:r>
      <w:r>
        <w:rPr>
          <w:rFonts w:ascii="Times New Roman" w:cs="Times New Roman" w:eastAsia="Times New Roman" w:hAnsi="Times New Roman"/>
          <w:sz w:val="16"/>
          <w:szCs w:val="16"/>
          <w:color w:val="auto"/>
        </w:rPr>
        <w:t xml:space="preserve"> for additional information.</w:t>
      </w: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7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gridSpan w:val="8"/>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3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100" w:type="dxa"/>
            <w:vAlign w:val="bottom"/>
          </w:tcPr>
          <w:p>
            <w:pPr>
              <w:spacing w:after="0"/>
              <w:rPr>
                <w:sz w:val="17"/>
                <w:szCs w:val="17"/>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Hospitality</w:t>
            </w:r>
          </w:p>
        </w:tc>
        <w:tc>
          <w:tcPr>
            <w:tcW w:w="100" w:type="dxa"/>
            <w:vAlign w:val="bottom"/>
          </w:tcPr>
          <w:p>
            <w:pPr>
              <w:spacing w:after="0"/>
              <w:rPr>
                <w:sz w:val="17"/>
                <w:szCs w:val="17"/>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80" w:type="dxa"/>
            <w:vAlign w:val="bottom"/>
          </w:tcPr>
          <w:p>
            <w:pPr>
              <w:spacing w:after="0"/>
              <w:rPr>
                <w:sz w:val="17"/>
                <w:szCs w:val="17"/>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7"/>
                <w:szCs w:val="17"/>
                <w:color w:val="auto"/>
              </w:rPr>
            </w:pP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3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 by Major Good/Service:</w:t>
            </w: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Real estate revenue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107,735</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52,572</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4,271</w:t>
            </w:r>
          </w:p>
        </w:tc>
        <w:tc>
          <w:tcPr>
            <w:tcW w:w="1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165,978</w:t>
            </w:r>
          </w:p>
        </w:tc>
        <w:tc>
          <w:tcPr>
            <w:tcW w:w="20" w:type="dxa"/>
            <w:vAlign w:val="bottom"/>
          </w:tcPr>
          <w:p>
            <w:pPr>
              <w:spacing w:after="0"/>
              <w:rPr>
                <w:sz w:val="18"/>
                <w:szCs w:val="18"/>
                <w:color w:val="auto"/>
              </w:rPr>
            </w:pPr>
          </w:p>
        </w:tc>
      </w:tr>
      <w:tr>
        <w:trPr>
          <w:trHeight w:val="216"/>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Hospitality revenue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168,954</w:t>
            </w:r>
          </w:p>
        </w:tc>
        <w:tc>
          <w:tcPr>
            <w:tcW w:w="20" w:type="dxa"/>
            <w:vAlign w:val="bottom"/>
          </w:tcPr>
          <w:p>
            <w:pPr>
              <w:spacing w:after="0"/>
              <w:rPr>
                <w:sz w:val="18"/>
                <w:szCs w:val="18"/>
                <w:color w:val="auto"/>
              </w:rPr>
            </w:pPr>
          </w:p>
        </w:tc>
      </w:tr>
      <w:tr>
        <w:trPr>
          <w:trHeight w:val="216"/>
        </w:trPr>
        <w:tc>
          <w:tcPr>
            <w:tcW w:w="37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Leasing revenue</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3,013</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45,933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49,423</w:t>
            </w:r>
          </w:p>
        </w:tc>
        <w:tc>
          <w:tcPr>
            <w:tcW w:w="20" w:type="dxa"/>
            <w:vAlign w:val="bottom"/>
          </w:tcPr>
          <w:p>
            <w:pPr>
              <w:spacing w:after="0"/>
              <w:rPr>
                <w:sz w:val="18"/>
                <w:szCs w:val="18"/>
                <w:color w:val="auto"/>
              </w:rPr>
            </w:pPr>
          </w:p>
        </w:tc>
      </w:tr>
      <w:tr>
        <w:trPr>
          <w:trHeight w:val="210"/>
        </w:trPr>
        <w:tc>
          <w:tcPr>
            <w:tcW w:w="3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107,863</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173,367</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98,505</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4,620</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384,355</w:t>
            </w:r>
          </w:p>
        </w:tc>
        <w:tc>
          <w:tcPr>
            <w:tcW w:w="20" w:type="dxa"/>
            <w:vAlign w:val="bottom"/>
          </w:tcPr>
          <w:p>
            <w:pPr>
              <w:spacing w:after="0"/>
              <w:rPr>
                <w:sz w:val="18"/>
                <w:szCs w:val="18"/>
                <w:color w:val="auto"/>
              </w:rPr>
            </w:pPr>
          </w:p>
        </w:tc>
      </w:tr>
      <w:tr>
        <w:trPr>
          <w:trHeight w:val="20"/>
        </w:trPr>
        <w:tc>
          <w:tcPr>
            <w:tcW w:w="3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Timing of Revenue Recognition:</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Recognized at a point in time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107,735</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129,146</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52,572</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4,271</w:t>
            </w:r>
          </w:p>
        </w:tc>
        <w:tc>
          <w:tcPr>
            <w:tcW w:w="1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293,724</w:t>
            </w:r>
          </w:p>
        </w:tc>
        <w:tc>
          <w:tcPr>
            <w:tcW w:w="20" w:type="dxa"/>
            <w:vAlign w:val="bottom"/>
          </w:tcPr>
          <w:p>
            <w:pPr>
              <w:spacing w:after="0"/>
              <w:rPr>
                <w:sz w:val="18"/>
                <w:szCs w:val="18"/>
                <w:color w:val="auto"/>
              </w:rPr>
            </w:pPr>
          </w:p>
        </w:tc>
      </w:tr>
      <w:tr>
        <w:trPr>
          <w:trHeight w:val="216"/>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Recognized over time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41,208</w:t>
            </w:r>
          </w:p>
        </w:tc>
        <w:tc>
          <w:tcPr>
            <w:tcW w:w="20" w:type="dxa"/>
            <w:vAlign w:val="bottom"/>
          </w:tcPr>
          <w:p>
            <w:pPr>
              <w:spacing w:after="0"/>
              <w:rPr>
                <w:sz w:val="18"/>
                <w:szCs w:val="18"/>
                <w:color w:val="auto"/>
              </w:rPr>
            </w:pPr>
          </w:p>
        </w:tc>
      </w:tr>
      <w:tr>
        <w:trPr>
          <w:trHeight w:val="216"/>
        </w:trPr>
        <w:tc>
          <w:tcPr>
            <w:tcW w:w="37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Over lease term</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3,013</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45,933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49,423</w:t>
            </w:r>
          </w:p>
        </w:tc>
        <w:tc>
          <w:tcPr>
            <w:tcW w:w="20" w:type="dxa"/>
            <w:vAlign w:val="bottom"/>
          </w:tcPr>
          <w:p>
            <w:pPr>
              <w:spacing w:after="0"/>
              <w:rPr>
                <w:sz w:val="18"/>
                <w:szCs w:val="18"/>
                <w:color w:val="auto"/>
              </w:rPr>
            </w:pPr>
          </w:p>
        </w:tc>
      </w:tr>
      <w:tr>
        <w:trPr>
          <w:trHeight w:val="210"/>
        </w:trPr>
        <w:tc>
          <w:tcPr>
            <w:tcW w:w="3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107,863</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173,367</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98,505</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4,620</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384,355</w:t>
            </w:r>
          </w:p>
        </w:tc>
        <w:tc>
          <w:tcPr>
            <w:tcW w:w="20" w:type="dxa"/>
            <w:vAlign w:val="bottom"/>
          </w:tcPr>
          <w:p>
            <w:pPr>
              <w:spacing w:after="0"/>
              <w:rPr>
                <w:sz w:val="18"/>
                <w:szCs w:val="18"/>
                <w:color w:val="auto"/>
              </w:rPr>
            </w:pPr>
          </w:p>
        </w:tc>
      </w:tr>
      <w:tr>
        <w:trPr>
          <w:trHeight w:val="20"/>
        </w:trPr>
        <w:tc>
          <w:tcPr>
            <w:tcW w:w="3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42"/>
        </w:trPr>
        <w:tc>
          <w:tcPr>
            <w:tcW w:w="3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3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15. Other (Expense) Income, Net</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Other (expense) income, net consists of the following:</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gridSpan w:val="6"/>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40" w:type="dxa"/>
            <w:vAlign w:val="bottom"/>
            <w:gridSpan w:val="5"/>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5"/>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4"/>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340" w:type="dxa"/>
            <w:vAlign w:val="bottom"/>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12"/>
                <w:szCs w:val="12"/>
                <w:color w:val="auto"/>
              </w:rPr>
            </w:pPr>
          </w:p>
        </w:tc>
        <w:tc>
          <w:tcPr>
            <w:tcW w:w="280" w:type="dxa"/>
            <w:vAlign w:val="bottom"/>
            <w:gridSpan w:val="2"/>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220" w:type="dxa"/>
            <w:vAlign w:val="bottom"/>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Investment income, net</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jc w:val="center"/>
              <w:ind w:right="1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dividend and accretion income</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income from investments in SPEs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interest income</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investment income, net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3,584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3,117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10,117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9,747</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gridSpan w:val="2"/>
          </w:tcPr>
          <w:p>
            <w:pPr>
              <w:jc w:val="center"/>
              <w:ind w:right="15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incurred for project financing and other interest expense</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16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Interest expense and amortization of discount and issuance costs for</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Senior Notes issued by SPE</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(6,677)</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(6,664)</w:t>
            </w:r>
          </w:p>
        </w:tc>
        <w:tc>
          <w:tcPr>
            <w:tcW w:w="0" w:type="dxa"/>
            <w:vAlign w:val="bottom"/>
          </w:tcPr>
          <w:p>
            <w:pPr>
              <w:spacing w:after="0"/>
              <w:rPr>
                <w:sz w:val="1"/>
                <w:szCs w:val="1"/>
                <w:color w:val="auto"/>
              </w:rPr>
            </w:pPr>
          </w:p>
        </w:tc>
      </w:tr>
      <w:tr>
        <w:trPr>
          <w:trHeight w:val="210"/>
        </w:trPr>
        <w:tc>
          <w:tcPr>
            <w:tcW w:w="51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(6,808)</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(7,786)</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(20,782)</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(23,321)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 in (loss) income from unconsolidated joint ventures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(8,217)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3,480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21,186</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(expense) income, net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center"/>
              <w:ind w:right="15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gain on disposition of assets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Miscellaneous expense, net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Other (expense) income, net</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2,195</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(755)</w:t>
            </w:r>
          </w:p>
        </w:tc>
        <w:tc>
          <w:tcPr>
            <w:tcW w:w="1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other (expense) income, net</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(11,586)</w:t>
            </w: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1,006</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(11,638)</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Investment Income, Net</w:t>
      </w:r>
    </w:p>
    <w:p>
      <w:pPr>
        <w:spacing w:after="0" w:line="229" w:lineRule="exact"/>
        <w:rPr>
          <w:sz w:val="20"/>
          <w:szCs w:val="20"/>
          <w:color w:val="auto"/>
        </w:rPr>
      </w:pPr>
    </w:p>
    <w:p>
      <w:pPr>
        <w:ind w:left="60" w:right="419" w:firstLine="324"/>
        <w:spacing w:after="0" w:line="282" w:lineRule="auto"/>
        <w:rPr>
          <w:sz w:val="20"/>
          <w:szCs w:val="20"/>
          <w:color w:val="auto"/>
        </w:rPr>
      </w:pPr>
      <w:r>
        <w:rPr>
          <w:rFonts w:ascii="Times New Roman" w:cs="Times New Roman" w:eastAsia="Times New Roman" w:hAnsi="Times New Roman"/>
          <w:sz w:val="18"/>
          <w:szCs w:val="18"/>
          <w:color w:val="auto"/>
        </w:rPr>
        <w:t>Interest, dividend and accretion income includes interest income accrued or received on the Company’s cash, cash equivalents and other investments.</w:t>
      </w:r>
    </w:p>
    <w:p>
      <w:pPr>
        <w:spacing w:after="0" w:line="162" w:lineRule="exact"/>
        <w:rPr>
          <w:sz w:val="20"/>
          <w:szCs w:val="20"/>
          <w:color w:val="auto"/>
        </w:rPr>
      </w:pPr>
    </w:p>
    <w:p>
      <w:pPr>
        <w:ind w:left="60" w:right="219" w:firstLine="324"/>
        <w:spacing w:after="0" w:line="289" w:lineRule="auto"/>
        <w:rPr>
          <w:sz w:val="20"/>
          <w:szCs w:val="20"/>
          <w:color w:val="auto"/>
        </w:rPr>
      </w:pPr>
      <w:r>
        <w:rPr>
          <w:rFonts w:ascii="Times New Roman" w:cs="Times New Roman" w:eastAsia="Times New Roman" w:hAnsi="Times New Roman"/>
          <w:sz w:val="17"/>
          <w:szCs w:val="17"/>
          <w:color w:val="auto"/>
        </w:rPr>
        <w:t xml:space="preserve">Interest income from investments in SPEs primarily includes interest earned on the investments held by Panama City Timber Finance Company, LLC, which is used to pay the interest expense for Senior Notes held by Northwest Florida Timber Finance, LLC. See Note 5. </w:t>
      </w:r>
      <w:r>
        <w:rPr>
          <w:rFonts w:ascii="Times New Roman" w:cs="Times New Roman" w:eastAsia="Times New Roman" w:hAnsi="Times New Roman"/>
          <w:sz w:val="17"/>
          <w:szCs w:val="17"/>
          <w:i w:val="1"/>
          <w:iCs w:val="1"/>
          <w:color w:val="auto"/>
        </w:rPr>
        <w:t>Financial Instruments and Fair Value Measurements</w:t>
      </w:r>
      <w:r>
        <w:rPr>
          <w:rFonts w:ascii="Times New Roman" w:cs="Times New Roman" w:eastAsia="Times New Roman" w:hAnsi="Times New Roman"/>
          <w:sz w:val="17"/>
          <w:szCs w:val="17"/>
          <w:color w:val="auto"/>
        </w:rPr>
        <w:t xml:space="preserve"> for additional information.</w:t>
      </w:r>
    </w:p>
    <w:p>
      <w:pPr>
        <w:spacing w:after="0" w:line="158" w:lineRule="exact"/>
        <w:rPr>
          <w:sz w:val="20"/>
          <w:szCs w:val="20"/>
          <w:color w:val="auto"/>
        </w:rPr>
      </w:pPr>
    </w:p>
    <w:p>
      <w:pPr>
        <w:jc w:val="both"/>
        <w:ind w:left="60" w:right="879" w:firstLine="324"/>
        <w:spacing w:after="0" w:line="266" w:lineRule="auto"/>
        <w:rPr>
          <w:sz w:val="20"/>
          <w:szCs w:val="20"/>
          <w:color w:val="auto"/>
        </w:rPr>
      </w:pPr>
      <w:r>
        <w:rPr>
          <w:rFonts w:ascii="Times New Roman" w:cs="Times New Roman" w:eastAsia="Times New Roman" w:hAnsi="Times New Roman"/>
          <w:sz w:val="18"/>
          <w:szCs w:val="18"/>
          <w:color w:val="auto"/>
        </w:rPr>
        <w:t xml:space="preserve">Other interest income includes interest earned on the Company’s initial unimproved land contribution to the unconsolidated Latitude Margaritaville Watersound JV as home sales are transacted in the community and other receivables. See Note 4. </w:t>
      </w:r>
      <w:r>
        <w:rPr>
          <w:rFonts w:ascii="Times New Roman" w:cs="Times New Roman" w:eastAsia="Times New Roman" w:hAnsi="Times New Roman"/>
          <w:sz w:val="18"/>
          <w:szCs w:val="18"/>
          <w:i w:val="1"/>
          <w:iCs w:val="1"/>
          <w:color w:val="auto"/>
        </w:rPr>
        <w:t>Joint Ventures</w:t>
      </w:r>
      <w:r>
        <w:rPr>
          <w:rFonts w:ascii="Times New Roman" w:cs="Times New Roman" w:eastAsia="Times New Roman" w:hAnsi="Times New Roman"/>
          <w:sz w:val="18"/>
          <w:szCs w:val="18"/>
          <w:color w:val="auto"/>
        </w:rPr>
        <w:t xml:space="preserve"> for additional information.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Interest expense includes interest incurred related to the Company’s project financing, Senior Notes issued by Northwest Florida Timber Finance, LLC, CDD debt and finance leases. Interest expense also includes amortization of debt discount and premium and debt issuance costs. See Note 8. </w:t>
      </w:r>
      <w:r>
        <w:rPr>
          <w:rFonts w:ascii="Times New Roman" w:cs="Times New Roman" w:eastAsia="Times New Roman" w:hAnsi="Times New Roman"/>
          <w:sz w:val="18"/>
          <w:szCs w:val="18"/>
          <w:i w:val="1"/>
          <w:iCs w:val="1"/>
          <w:color w:val="auto"/>
        </w:rPr>
        <w:t>Debt, Net</w:t>
      </w:r>
      <w:r>
        <w:rPr>
          <w:rFonts w:ascii="Times New Roman" w:cs="Times New Roman" w:eastAsia="Times New Roman" w:hAnsi="Times New Roman"/>
          <w:sz w:val="18"/>
          <w:szCs w:val="18"/>
          <w:color w:val="auto"/>
        </w:rPr>
        <w:t xml:space="preserve"> for additional information. Discount and issuance costs for the Senior Notes issued by Northwest Florida Timber Finance, LLC, are amortized based on the effective interest method at an effective rate of 4.9%. See Note 5. </w:t>
      </w:r>
      <w:r>
        <w:rPr>
          <w:rFonts w:ascii="Times New Roman" w:cs="Times New Roman" w:eastAsia="Times New Roman" w:hAnsi="Times New Roman"/>
          <w:sz w:val="18"/>
          <w:szCs w:val="18"/>
          <w:i w:val="1"/>
          <w:iCs w:val="1"/>
          <w:color w:val="auto"/>
        </w:rPr>
        <w:t>Financial Instruments and Fair Value Measurements</w:t>
      </w:r>
      <w:r>
        <w:rPr>
          <w:rFonts w:ascii="Times New Roman" w:cs="Times New Roman" w:eastAsia="Times New Roman" w:hAnsi="Times New Roman"/>
          <w:sz w:val="18"/>
          <w:szCs w:val="18"/>
          <w:color w:val="auto"/>
        </w:rPr>
        <w:t xml:space="preserve"> for additional information.</w:t>
      </w:r>
    </w:p>
    <w:p>
      <w:pPr>
        <w:spacing w:after="0" w:line="187" w:lineRule="exact"/>
        <w:rPr>
          <w:sz w:val="20"/>
          <w:szCs w:val="20"/>
          <w:color w:val="auto"/>
        </w:rPr>
      </w:pPr>
    </w:p>
    <w:p>
      <w:pPr>
        <w:ind w:left="60" w:right="119" w:firstLine="324"/>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2026 and 2025, the Company did not capitalize interest related to projects under development or construction.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Equity in (Loss) Income from Unconsolidated Joint Ventures</w:t>
      </w:r>
    </w:p>
    <w:p>
      <w:pPr>
        <w:spacing w:after="0" w:line="229" w:lineRule="exact"/>
        <w:rPr>
          <w:sz w:val="20"/>
          <w:szCs w:val="20"/>
          <w:color w:val="auto"/>
        </w:rPr>
      </w:pPr>
    </w:p>
    <w:p>
      <w:pPr>
        <w:ind w:left="60" w:right="139" w:firstLine="324"/>
        <w:spacing w:after="0" w:line="282" w:lineRule="auto"/>
        <w:rPr>
          <w:sz w:val="20"/>
          <w:szCs w:val="20"/>
          <w:color w:val="auto"/>
        </w:rPr>
      </w:pPr>
      <w:r>
        <w:rPr>
          <w:rFonts w:ascii="Times New Roman" w:cs="Times New Roman" w:eastAsia="Times New Roman" w:hAnsi="Times New Roman"/>
          <w:sz w:val="18"/>
          <w:szCs w:val="18"/>
          <w:color w:val="auto"/>
        </w:rPr>
        <w:t>Equity in (loss) income from unconsolidated joint ventures includes the Company’s proportionate share of earnings or losses of unconsolidated JVs accounted for using the equity method and intra-entity profit elimination. Equity in</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(loss) income from unconsolidated joint ventures includes income of $3.5 million and $4.9 million during the three months ended September 30, 2026 and 2025, respectively, and $13.5 million and $26.0 million during the nine months ended September 30, 2026 and 2025, respectively, related to the Latitude Margaritaville Watersound JV. The Latitude Margaritaville Watersound JV completed 67 and 82 home sale transactions during the three months ended</w:t>
      </w:r>
    </w:p>
    <w:p>
      <w:pPr>
        <w:spacing w:after="0" w:line="3" w:lineRule="exact"/>
        <w:rPr>
          <w:sz w:val="20"/>
          <w:szCs w:val="20"/>
          <w:color w:val="auto"/>
        </w:rPr>
      </w:pPr>
    </w:p>
    <w:p>
      <w:pPr>
        <w:ind w:left="60" w:right="79"/>
        <w:spacing w:after="0" w:line="251" w:lineRule="auto"/>
        <w:rPr>
          <w:sz w:val="20"/>
          <w:szCs w:val="20"/>
          <w:color w:val="auto"/>
        </w:rPr>
      </w:pPr>
      <w:r>
        <w:rPr>
          <w:rFonts w:ascii="Times New Roman" w:cs="Times New Roman" w:eastAsia="Times New Roman" w:hAnsi="Times New Roman"/>
          <w:sz w:val="18"/>
          <w:szCs w:val="18"/>
          <w:color w:val="auto"/>
        </w:rPr>
        <w:t xml:space="preserve">September 30, 2026 and 2025, respectively, and 236 and 411 home sale transactions during the nine months ended September 30, 2026 and 2025, respectively. Equity in (loss) income from unconsolidated joint ventures also includes loss related to the Watersound Fountains Independent Living JV of $0.9 million and $1.1 million during the three months ended September 30, 2026 and 2025, respectively, and $2.7 million and $3.1 million during the nine months ended September 30, 2026 and 2025, respectively. The community is under lease-up. Equity in (loss) income from unconsolidated joint ventures also includes loss related to the Pier Park RI JV of $0.6 million and $1.6 million during the nine months ended September 30, 2026 and 2025, respectively. The nine months ended September 30, 2025, include start-up, depreciation and interest expenses for the project. Equity in (loss) income from unconsolidated joint ventures includes intra-entity profit elimination, based on the Company’s ownership interest, of $10.9 million during each of the three and nine months ended September 30, 2026, related to an additional land sale to the Latitude Margaritaville Watersound JV, a pro-rata portion of which will be recognized as each home on the land is sold by the JV. See Note 4. </w:t>
      </w:r>
      <w:r>
        <w:rPr>
          <w:rFonts w:ascii="Times New Roman" w:cs="Times New Roman" w:eastAsia="Times New Roman" w:hAnsi="Times New Roman"/>
          <w:sz w:val="18"/>
          <w:szCs w:val="18"/>
          <w:i w:val="1"/>
          <w:iCs w:val="1"/>
          <w:color w:val="auto"/>
        </w:rPr>
        <w:t>Joint Ventures</w:t>
      </w:r>
      <w:r>
        <w:rPr>
          <w:rFonts w:ascii="Times New Roman" w:cs="Times New Roman" w:eastAsia="Times New Roman" w:hAnsi="Times New Roman"/>
          <w:sz w:val="18"/>
          <w:szCs w:val="18"/>
          <w:color w:val="auto"/>
        </w:rPr>
        <w:t xml:space="preserve"> and Note 18. </w:t>
      </w:r>
      <w:r>
        <w:rPr>
          <w:rFonts w:ascii="Times New Roman" w:cs="Times New Roman" w:eastAsia="Times New Roman" w:hAnsi="Times New Roman"/>
          <w:sz w:val="18"/>
          <w:szCs w:val="18"/>
          <w:i w:val="1"/>
          <w:iCs w:val="1"/>
          <w:color w:val="auto"/>
        </w:rPr>
        <w:t>Related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Transactions </w:t>
      </w:r>
      <w:r>
        <w:rPr>
          <w:rFonts w:ascii="Times New Roman" w:cs="Times New Roman" w:eastAsia="Times New Roman" w:hAnsi="Times New Roman"/>
          <w:sz w:val="18"/>
          <w:szCs w:val="18"/>
          <w:color w:val="auto"/>
        </w:rPr>
        <w:t>for additional information.</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229" w:lineRule="exact"/>
        <w:rPr>
          <w:sz w:val="20"/>
          <w:szCs w:val="20"/>
          <w:color w:val="auto"/>
        </w:rPr>
      </w:pPr>
    </w:p>
    <w:p>
      <w:pPr>
        <w:ind w:left="60" w:right="319" w:firstLine="324"/>
        <w:spacing w:after="0" w:line="312" w:lineRule="auto"/>
        <w:rPr>
          <w:sz w:val="20"/>
          <w:szCs w:val="20"/>
          <w:color w:val="auto"/>
        </w:rPr>
      </w:pPr>
      <w:r>
        <w:rPr>
          <w:rFonts w:ascii="Times New Roman" w:cs="Times New Roman" w:eastAsia="Times New Roman" w:hAnsi="Times New Roman"/>
          <w:sz w:val="17"/>
          <w:szCs w:val="17"/>
          <w:color w:val="auto"/>
        </w:rPr>
        <w:t>(Loss) gain on disposition of assets during the three and nine months ended September 30, 2025, primarily includes gain on the sale of the Company’s Pilatus PC-12 NG aircraft (“N850J”) previously used in hospitality operations.</w:t>
      </w:r>
    </w:p>
    <w:p>
      <w:pPr>
        <w:spacing w:after="0" w:line="140" w:lineRule="exact"/>
        <w:rPr>
          <w:sz w:val="20"/>
          <w:szCs w:val="20"/>
          <w:color w:val="auto"/>
        </w:rPr>
      </w:pPr>
    </w:p>
    <w:p>
      <w:pPr>
        <w:ind w:left="60" w:right="79" w:firstLine="324"/>
        <w:spacing w:after="0" w:line="281" w:lineRule="auto"/>
        <w:rPr>
          <w:sz w:val="20"/>
          <w:szCs w:val="20"/>
          <w:color w:val="auto"/>
        </w:rPr>
      </w:pPr>
      <w:r>
        <w:rPr>
          <w:rFonts w:ascii="Times New Roman" w:cs="Times New Roman" w:eastAsia="Times New Roman" w:hAnsi="Times New Roman"/>
          <w:sz w:val="17"/>
          <w:szCs w:val="17"/>
          <w:color w:val="auto"/>
        </w:rPr>
        <w:t>Miscellaneous expense, net for the nine months ended September 30, 2026, primarily includes expense for design costs for certain commercial assets the Company is no longer pursuing, loss on early extinguishment of debt, fees related to loans and other income and expense items. Miscellaneous expense, net for the three and nine months ended September 30, 2025, primarily includes loss on early extinguishment of debt, fees related to loans and other income and expense items.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16. Segment Information</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 conducts primarily all of its business in the following three reportable segments: (1) residential,</w:t>
      </w:r>
    </w:p>
    <w:p>
      <w:pPr>
        <w:spacing w:after="0" w:line="27" w:lineRule="exact"/>
        <w:rPr>
          <w:sz w:val="20"/>
          <w:szCs w:val="20"/>
          <w:color w:val="auto"/>
        </w:rPr>
      </w:pPr>
    </w:p>
    <w:p>
      <w:pPr>
        <w:ind w:left="60" w:right="299" w:hanging="10"/>
        <w:spacing w:after="0" w:line="255" w:lineRule="auto"/>
        <w:tabs>
          <w:tab w:leader="none" w:pos="3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hospitality and (3) commercial. The Company’s reportable segments are strategic business units that offer different products and services. They are each managed separately and decisions about allocations of resources are determined by management based on these strategic business units.</w:t>
      </w:r>
    </w:p>
    <w:p>
      <w:pPr>
        <w:spacing w:after="0" w:line="186"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The accounting policies of the segments are set forth in Note 2 to the Company’s consolidated financial statements contained in Item 15 of the Company’s Annual Report on Form 10-K for the year ended December 31, 2025. Total revenue represents sales to unaffiliated customers, as reported in the Company’s condensed consolidated statements of income. All significant intercompany transactions have been eliminated in consolidation. The Company uses total segment revenue, gross profit and income before income taxes and non-controlling interest and other qualitative measures for purposes of making decisions about allocating resources to each segment and assessing each segment’s performance, which the Company believes represents current performance measures.</w:t>
      </w:r>
    </w:p>
    <w:p>
      <w:pPr>
        <w:spacing w:after="0" w:line="189"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The Company’s President, Chief Executive Officer and Chairman of the Board is the Chief Operating Decision maker (the “CODM”). For the residential, hospitality and commercial segments, the CODM uses segment revenue, gross profit and income before income taxes and non-controlling interest to allocate resources (including employees, property, and financial or capital resources) for each segment predominantly in the annual budget and forecasting process. The CODM considers budget-to-actual variances on a monthly basis for the profit measures when making decisions about allocating capital and personnel to the segments. The CODM also uses segment revenue and gross profit for evaluating product pricing and segment income before income taxes and non-controlling interest to assess the performance for each segment by comparing the results and return on assets of each segment with one another and in the compensation of certain employees.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419" w:firstLine="324"/>
        <w:spacing w:after="0" w:line="282" w:lineRule="auto"/>
        <w:rPr>
          <w:sz w:val="20"/>
          <w:szCs w:val="20"/>
          <w:color w:val="auto"/>
        </w:rPr>
      </w:pPr>
      <w:r>
        <w:rPr>
          <w:rFonts w:ascii="Times New Roman" w:cs="Times New Roman" w:eastAsia="Times New Roman" w:hAnsi="Times New Roman"/>
          <w:sz w:val="18"/>
          <w:szCs w:val="18"/>
          <w:color w:val="auto"/>
        </w:rPr>
        <w:t>The Company does not allocate income taxes or certain unusual items to segments. In addition, the hospitality and commercial segments have significant non-cash depreciation and amortization in reported profit or loss.</w:t>
      </w:r>
    </w:p>
    <w:p>
      <w:pPr>
        <w:spacing w:after="0" w:line="162" w:lineRule="exact"/>
        <w:rPr>
          <w:sz w:val="20"/>
          <w:szCs w:val="20"/>
          <w:color w:val="auto"/>
        </w:rPr>
      </w:pPr>
    </w:p>
    <w:p>
      <w:pPr>
        <w:jc w:val="both"/>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The caption entitled “Other” consists of Business Services revenue and cost of revenue; mitigation bank credit sales revenue and cost of revenue; corporate operating expenses; corporate depreciation and amortization and corporate other income and expense items.</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Information by business segment is as follows:</w:t>
      </w:r>
    </w:p>
    <w:p>
      <w:pPr>
        <w:spacing w:after="0" w:line="23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gridSpan w:val="5"/>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5"/>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5"/>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520" w:type="dxa"/>
            <w:vAlign w:val="bottom"/>
            <w:gridSpan w:val="2"/>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2"/>
                <w:szCs w:val="12"/>
                <w:color w:val="auto"/>
              </w:rPr>
            </w:pPr>
          </w:p>
        </w:tc>
        <w:tc>
          <w:tcPr>
            <w:tcW w:w="2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2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2"/>
                <w:szCs w:val="12"/>
                <w:color w:val="auto"/>
              </w:rPr>
            </w:pPr>
          </w:p>
        </w:tc>
        <w:tc>
          <w:tcPr>
            <w:tcW w:w="240" w:type="dxa"/>
            <w:vAlign w:val="bottom"/>
            <w:gridSpan w:val="2"/>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80"/>
              <w:spacing w:after="0" w:line="216" w:lineRule="exact"/>
              <w:rPr>
                <w:sz w:val="20"/>
                <w:szCs w:val="20"/>
                <w:color w:val="auto"/>
              </w:rPr>
            </w:pPr>
            <w:r>
              <w:rPr>
                <w:rFonts w:ascii="Times New Roman" w:cs="Times New Roman" w:eastAsia="Times New Roman" w:hAnsi="Times New Roman"/>
                <w:sz w:val="17"/>
                <w:szCs w:val="17"/>
                <w:color w:val="auto"/>
              </w:rPr>
              <w:t xml:space="preserve">Residential </w:t>
            </w:r>
            <w:r>
              <w:rPr>
                <w:rFonts w:ascii="Times New Roman" w:cs="Times New Roman" w:eastAsia="Times New Roman" w:hAnsi="Times New Roman"/>
                <w:sz w:val="25"/>
                <w:szCs w:val="25"/>
                <w:color w:val="auto"/>
                <w:vertAlign w:val="superscript"/>
              </w:rPr>
              <w:t>(a)</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46,185</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36,781</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127,353</w:t>
            </w:r>
          </w:p>
        </w:tc>
        <w:tc>
          <w:tcPr>
            <w:tcW w:w="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80"/>
              <w:spacing w:after="0" w:line="216" w:lineRule="exact"/>
              <w:rPr>
                <w:sz w:val="20"/>
                <w:szCs w:val="20"/>
                <w:color w:val="auto"/>
              </w:rPr>
            </w:pPr>
            <w:r>
              <w:rPr>
                <w:rFonts w:ascii="Times New Roman" w:cs="Times New Roman" w:eastAsia="Times New Roman" w:hAnsi="Times New Roman"/>
                <w:sz w:val="17"/>
                <w:szCs w:val="17"/>
                <w:color w:val="auto"/>
              </w:rPr>
              <w:t xml:space="preserve">Hospitality </w:t>
            </w:r>
            <w:r>
              <w:rPr>
                <w:rFonts w:ascii="Times New Roman" w:cs="Times New Roman" w:eastAsia="Times New Roman" w:hAnsi="Times New Roman"/>
                <w:sz w:val="25"/>
                <w:szCs w:val="25"/>
                <w:color w:val="auto"/>
                <w:vertAlign w:val="superscript"/>
              </w:rPr>
              <w:t>(b)</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67,100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61,660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195,084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80"/>
              <w:spacing w:after="0" w:line="216" w:lineRule="exact"/>
              <w:rPr>
                <w:sz w:val="20"/>
                <w:szCs w:val="20"/>
                <w:color w:val="auto"/>
              </w:rPr>
            </w:pPr>
            <w:r>
              <w:rPr>
                <w:rFonts w:ascii="Times New Roman" w:cs="Times New Roman" w:eastAsia="Times New Roman" w:hAnsi="Times New Roman"/>
                <w:sz w:val="17"/>
                <w:szCs w:val="17"/>
                <w:color w:val="auto"/>
              </w:rPr>
              <w:t xml:space="preserve">Commercial </w:t>
            </w:r>
            <w:r>
              <w:rPr>
                <w:rFonts w:ascii="Times New Roman" w:cs="Times New Roman" w:eastAsia="Times New Roman" w:hAnsi="Times New Roman"/>
                <w:sz w:val="25"/>
                <w:szCs w:val="25"/>
                <w:color w:val="auto"/>
                <w:vertAlign w:val="superscript"/>
              </w:rPr>
              <w:t>(c)</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36,415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60,499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75,484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80"/>
              <w:spacing w:after="0" w:line="216" w:lineRule="exact"/>
              <w:rPr>
                <w:sz w:val="20"/>
                <w:szCs w:val="20"/>
                <w:color w:val="auto"/>
              </w:rPr>
            </w:pPr>
            <w:r>
              <w:rPr>
                <w:rFonts w:ascii="Times New Roman" w:cs="Times New Roman" w:eastAsia="Times New Roman" w:hAnsi="Times New Roman"/>
                <w:sz w:val="17"/>
                <w:szCs w:val="17"/>
                <w:color w:val="auto"/>
              </w:rPr>
              <w:t xml:space="preserve">Other </w:t>
            </w:r>
            <w:r>
              <w:rPr>
                <w:rFonts w:ascii="Times New Roman" w:cs="Times New Roman" w:eastAsia="Times New Roman" w:hAnsi="Times New Roman"/>
                <w:sz w:val="25"/>
                <w:szCs w:val="25"/>
                <w:color w:val="auto"/>
                <w:vertAlign w:val="superscript"/>
              </w:rPr>
              <w:t>(d)</w:t>
            </w: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6,485</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7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Consolidated revenue</w:t>
            </w:r>
          </w:p>
        </w:tc>
        <w:tc>
          <w:tcPr>
            <w:tcW w:w="3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156,185</w:t>
            </w:r>
          </w:p>
        </w:tc>
        <w:tc>
          <w:tcPr>
            <w:tcW w:w="40" w:type="dxa"/>
            <w:vAlign w:val="bottom"/>
            <w:tcBorders>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161,076</w:t>
            </w:r>
          </w:p>
        </w:tc>
        <w:tc>
          <w:tcPr>
            <w:tcW w:w="40" w:type="dxa"/>
            <w:vAlign w:val="bottom"/>
            <w:tcBorders>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414,058</w:t>
            </w:r>
          </w:p>
        </w:tc>
        <w:tc>
          <w:tcPr>
            <w:tcW w:w="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384,355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revenue:</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gridSpan w:val="3"/>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300" w:type="dxa"/>
            <w:vAlign w:val="bottom"/>
            <w:gridSpan w:val="3"/>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80"/>
              <w:spacing w:after="0" w:line="216" w:lineRule="exact"/>
              <w:rPr>
                <w:sz w:val="20"/>
                <w:szCs w:val="20"/>
                <w:color w:val="auto"/>
              </w:rPr>
            </w:pPr>
            <w:r>
              <w:rPr>
                <w:rFonts w:ascii="Times New Roman" w:cs="Times New Roman" w:eastAsia="Times New Roman" w:hAnsi="Times New Roman"/>
                <w:sz w:val="17"/>
                <w:szCs w:val="17"/>
                <w:color w:val="auto"/>
              </w:rPr>
              <w:t xml:space="preserve">Cost of residential revenue </w:t>
            </w:r>
            <w:r>
              <w:rPr>
                <w:rFonts w:ascii="Times New Roman" w:cs="Times New Roman" w:eastAsia="Times New Roman" w:hAnsi="Times New Roman"/>
                <w:sz w:val="25"/>
                <w:szCs w:val="25"/>
                <w:color w:val="auto"/>
                <w:vertAlign w:val="superscript"/>
              </w:rPr>
              <w:t>(a) (e)</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17,035</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17,950</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60,256</w:t>
            </w:r>
          </w:p>
        </w:tc>
        <w:tc>
          <w:tcPr>
            <w:tcW w:w="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80"/>
              <w:spacing w:after="0" w:line="216" w:lineRule="exact"/>
              <w:rPr>
                <w:sz w:val="20"/>
                <w:szCs w:val="20"/>
                <w:color w:val="auto"/>
              </w:rPr>
            </w:pPr>
            <w:r>
              <w:rPr>
                <w:rFonts w:ascii="Times New Roman" w:cs="Times New Roman" w:eastAsia="Times New Roman" w:hAnsi="Times New Roman"/>
                <w:sz w:val="17"/>
                <w:szCs w:val="17"/>
                <w:color w:val="auto"/>
              </w:rPr>
              <w:t xml:space="preserve">Cost of hospitality revenue </w:t>
            </w:r>
            <w:r>
              <w:rPr>
                <w:rFonts w:ascii="Times New Roman" w:cs="Times New Roman" w:eastAsia="Times New Roman" w:hAnsi="Times New Roman"/>
                <w:sz w:val="25"/>
                <w:szCs w:val="25"/>
                <w:color w:val="auto"/>
                <w:vertAlign w:val="superscript"/>
              </w:rPr>
              <w:t>(b) (e)</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42,628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40,458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123,953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80"/>
              <w:spacing w:after="0" w:line="216" w:lineRule="exact"/>
              <w:rPr>
                <w:sz w:val="20"/>
                <w:szCs w:val="20"/>
                <w:color w:val="auto"/>
              </w:rPr>
            </w:pPr>
            <w:r>
              <w:rPr>
                <w:rFonts w:ascii="Times New Roman" w:cs="Times New Roman" w:eastAsia="Times New Roman" w:hAnsi="Times New Roman"/>
                <w:sz w:val="17"/>
                <w:szCs w:val="17"/>
                <w:color w:val="auto"/>
              </w:rPr>
              <w:t xml:space="preserve">Cost of commercial revenue </w:t>
            </w:r>
            <w:r>
              <w:rPr>
                <w:rFonts w:ascii="Times New Roman" w:cs="Times New Roman" w:eastAsia="Times New Roman" w:hAnsi="Times New Roman"/>
                <w:sz w:val="25"/>
                <w:szCs w:val="25"/>
                <w:color w:val="auto"/>
                <w:vertAlign w:val="superscript"/>
              </w:rPr>
              <w:t>(c) (e)</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29,236</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Borders>
              <w:bottom w:val="single" w:sz="8" w:color="CCEEFF"/>
            </w:tcBorders>
          </w:tcPr>
          <w:p>
            <w:pPr>
              <w:ind w:left="80"/>
              <w:spacing w:after="0" w:line="216" w:lineRule="exact"/>
              <w:rPr>
                <w:sz w:val="20"/>
                <w:szCs w:val="20"/>
                <w:color w:val="auto"/>
              </w:rPr>
            </w:pPr>
            <w:r>
              <w:rPr>
                <w:rFonts w:ascii="Times New Roman" w:cs="Times New Roman" w:eastAsia="Times New Roman" w:hAnsi="Times New Roman"/>
                <w:sz w:val="17"/>
                <w:szCs w:val="17"/>
                <w:color w:val="auto"/>
              </w:rPr>
              <w:t xml:space="preserve">Cost of other revenue </w:t>
            </w:r>
            <w:r>
              <w:rPr>
                <w:rFonts w:ascii="Times New Roman" w:cs="Times New Roman" w:eastAsia="Times New Roman" w:hAnsi="Times New Roman"/>
                <w:sz w:val="25"/>
                <w:szCs w:val="25"/>
                <w:color w:val="auto"/>
                <w:vertAlign w:val="superscript"/>
              </w:rPr>
              <w:t>(d) (e)</w:t>
            </w:r>
          </w:p>
        </w:tc>
        <w:tc>
          <w:tcPr>
            <w:tcW w:w="3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5,794</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14,224</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bottom w:val="single" w:sz="8" w:color="CCEEFF"/>
            </w:tcBorders>
            <w:shd w:val="clear" w:color="auto" w:fill="CCEEFF"/>
          </w:tcPr>
          <w:p>
            <w:pPr>
              <w:ind w:left="200"/>
              <w:spacing w:after="0" w:line="210" w:lineRule="exact"/>
              <w:rPr>
                <w:sz w:val="20"/>
                <w:szCs w:val="20"/>
                <w:color w:val="auto"/>
              </w:rPr>
            </w:pPr>
            <w:r>
              <w:rPr>
                <w:rFonts w:ascii="Times New Roman" w:cs="Times New Roman" w:eastAsia="Times New Roman" w:hAnsi="Times New Roman"/>
                <w:sz w:val="17"/>
                <w:szCs w:val="17"/>
                <w:b w:val="1"/>
                <w:bCs w:val="1"/>
                <w:color w:val="auto"/>
              </w:rPr>
              <w:t xml:space="preserve">Consolidated cost of revenue </w:t>
            </w:r>
            <w:r>
              <w:rPr>
                <w:rFonts w:ascii="Times New Roman" w:cs="Times New Roman" w:eastAsia="Times New Roman" w:hAnsi="Times New Roman"/>
                <w:sz w:val="24"/>
                <w:szCs w:val="24"/>
                <w:b w:val="1"/>
                <w:bCs w:val="1"/>
                <w:color w:val="auto"/>
                <w:vertAlign w:val="superscript"/>
              </w:rPr>
              <w:t>(e)</w:t>
            </w:r>
          </w:p>
        </w:tc>
        <w:tc>
          <w:tcPr>
            <w:tcW w:w="3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75,532</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89,592</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222,042</w:t>
            </w: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221,879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4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80"/>
              <w:spacing w:after="0" w:line="216" w:lineRule="exact"/>
              <w:rPr>
                <w:sz w:val="20"/>
                <w:szCs w:val="20"/>
                <w:color w:val="auto"/>
              </w:rPr>
            </w:pPr>
            <w:r>
              <w:rPr>
                <w:rFonts w:ascii="Times New Roman" w:cs="Times New Roman" w:eastAsia="Times New Roman" w:hAnsi="Times New Roman"/>
                <w:sz w:val="17"/>
                <w:szCs w:val="17"/>
                <w:color w:val="auto"/>
              </w:rPr>
              <w:t xml:space="preserve">Residential </w:t>
            </w:r>
            <w:r>
              <w:rPr>
                <w:rFonts w:ascii="Times New Roman" w:cs="Times New Roman" w:eastAsia="Times New Roman" w:hAnsi="Times New Roman"/>
                <w:sz w:val="25"/>
                <w:szCs w:val="25"/>
                <w:color w:val="auto"/>
                <w:vertAlign w:val="superscript"/>
              </w:rPr>
              <w:t>(a)</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29,150</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18,831</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67,097</w:t>
            </w:r>
          </w:p>
        </w:tc>
        <w:tc>
          <w:tcPr>
            <w:tcW w:w="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80"/>
              <w:spacing w:after="0" w:line="216" w:lineRule="exact"/>
              <w:rPr>
                <w:sz w:val="20"/>
                <w:szCs w:val="20"/>
                <w:color w:val="auto"/>
              </w:rPr>
            </w:pPr>
            <w:r>
              <w:rPr>
                <w:rFonts w:ascii="Times New Roman" w:cs="Times New Roman" w:eastAsia="Times New Roman" w:hAnsi="Times New Roman"/>
                <w:sz w:val="17"/>
                <w:szCs w:val="17"/>
                <w:color w:val="auto"/>
              </w:rPr>
              <w:t xml:space="preserve">Hospitality </w:t>
            </w:r>
            <w:r>
              <w:rPr>
                <w:rFonts w:ascii="Times New Roman" w:cs="Times New Roman" w:eastAsia="Times New Roman" w:hAnsi="Times New Roman"/>
                <w:sz w:val="25"/>
                <w:szCs w:val="25"/>
                <w:color w:val="auto"/>
                <w:vertAlign w:val="superscript"/>
              </w:rPr>
              <w:t>(b)</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71,131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80"/>
              <w:spacing w:after="0" w:line="216" w:lineRule="exact"/>
              <w:rPr>
                <w:sz w:val="20"/>
                <w:szCs w:val="20"/>
                <w:color w:val="auto"/>
              </w:rPr>
            </w:pPr>
            <w:r>
              <w:rPr>
                <w:rFonts w:ascii="Times New Roman" w:cs="Times New Roman" w:eastAsia="Times New Roman" w:hAnsi="Times New Roman"/>
                <w:sz w:val="17"/>
                <w:szCs w:val="17"/>
                <w:color w:val="auto"/>
              </w:rPr>
              <w:t xml:space="preserve">Commercial </w:t>
            </w:r>
            <w:r>
              <w:rPr>
                <w:rFonts w:ascii="Times New Roman" w:cs="Times New Roman" w:eastAsia="Times New Roman" w:hAnsi="Times New Roman"/>
                <w:sz w:val="25"/>
                <w:szCs w:val="25"/>
                <w:color w:val="auto"/>
                <w:vertAlign w:val="superscript"/>
              </w:rPr>
              <w:t>(c)</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26,340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31,263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51,875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80"/>
              <w:spacing w:after="0" w:line="216" w:lineRule="exact"/>
              <w:rPr>
                <w:sz w:val="20"/>
                <w:szCs w:val="20"/>
                <w:color w:val="auto"/>
              </w:rPr>
            </w:pPr>
            <w:r>
              <w:rPr>
                <w:rFonts w:ascii="Times New Roman" w:cs="Times New Roman" w:eastAsia="Times New Roman" w:hAnsi="Times New Roman"/>
                <w:sz w:val="17"/>
                <w:szCs w:val="17"/>
                <w:color w:val="auto"/>
              </w:rPr>
              <w:t xml:space="preserve">Other </w:t>
            </w:r>
            <w:r>
              <w:rPr>
                <w:rFonts w:ascii="Times New Roman" w:cs="Times New Roman" w:eastAsia="Times New Roman" w:hAnsi="Times New Roman"/>
                <w:sz w:val="25"/>
                <w:szCs w:val="25"/>
                <w:color w:val="auto"/>
                <w:vertAlign w:val="superscript"/>
              </w:rPr>
              <w:t>(d)</w:t>
            </w: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7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Consolidated gross profit</w:t>
            </w:r>
          </w:p>
        </w:tc>
        <w:tc>
          <w:tcPr>
            <w:tcW w:w="3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80,653</w:t>
            </w:r>
          </w:p>
        </w:tc>
        <w:tc>
          <w:tcPr>
            <w:tcW w:w="40" w:type="dxa"/>
            <w:vAlign w:val="bottom"/>
            <w:tcBorders>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71,484</w:t>
            </w:r>
          </w:p>
        </w:tc>
        <w:tc>
          <w:tcPr>
            <w:tcW w:w="40" w:type="dxa"/>
            <w:vAlign w:val="bottom"/>
            <w:tcBorders>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192,016</w:t>
            </w:r>
          </w:p>
        </w:tc>
        <w:tc>
          <w:tcPr>
            <w:tcW w:w="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162,476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Corporate and other operating expenses: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gridSpan w:val="3"/>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300" w:type="dxa"/>
            <w:vAlign w:val="bottom"/>
            <w:gridSpan w:val="3"/>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80"/>
              <w:spacing w:after="0" w:line="216" w:lineRule="exact"/>
              <w:rPr>
                <w:sz w:val="20"/>
                <w:szCs w:val="20"/>
                <w:color w:val="auto"/>
              </w:rPr>
            </w:pPr>
            <w:r>
              <w:rPr>
                <w:rFonts w:ascii="Times New Roman" w:cs="Times New Roman" w:eastAsia="Times New Roman" w:hAnsi="Times New Roman"/>
                <w:sz w:val="17"/>
                <w:szCs w:val="17"/>
                <w:color w:val="auto"/>
              </w:rPr>
              <w:t xml:space="preserve">Residential </w:t>
            </w:r>
            <w:r>
              <w:rPr>
                <w:rFonts w:ascii="Times New Roman" w:cs="Times New Roman" w:eastAsia="Times New Roman" w:hAnsi="Times New Roman"/>
                <w:sz w:val="25"/>
                <w:szCs w:val="25"/>
                <w:color w:val="auto"/>
                <w:vertAlign w:val="superscript"/>
              </w:rPr>
              <w:t>(e)</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4,427</w:t>
            </w:r>
          </w:p>
        </w:tc>
        <w:tc>
          <w:tcPr>
            <w:tcW w:w="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80"/>
              <w:spacing w:after="0" w:line="216" w:lineRule="exact"/>
              <w:rPr>
                <w:sz w:val="20"/>
                <w:szCs w:val="20"/>
                <w:color w:val="auto"/>
              </w:rPr>
            </w:pPr>
            <w:r>
              <w:rPr>
                <w:rFonts w:ascii="Times New Roman" w:cs="Times New Roman" w:eastAsia="Times New Roman" w:hAnsi="Times New Roman"/>
                <w:sz w:val="17"/>
                <w:szCs w:val="17"/>
                <w:color w:val="auto"/>
              </w:rPr>
              <w:t xml:space="preserve">Hospitality </w:t>
            </w:r>
            <w:r>
              <w:rPr>
                <w:rFonts w:ascii="Times New Roman" w:cs="Times New Roman" w:eastAsia="Times New Roman" w:hAnsi="Times New Roman"/>
                <w:sz w:val="25"/>
                <w:szCs w:val="25"/>
                <w:color w:val="auto"/>
                <w:vertAlign w:val="superscript"/>
              </w:rPr>
              <w:t>(e)</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80"/>
              <w:spacing w:after="0" w:line="216" w:lineRule="exact"/>
              <w:rPr>
                <w:sz w:val="20"/>
                <w:szCs w:val="20"/>
                <w:color w:val="auto"/>
              </w:rPr>
            </w:pPr>
            <w:r>
              <w:rPr>
                <w:rFonts w:ascii="Times New Roman" w:cs="Times New Roman" w:eastAsia="Times New Roman" w:hAnsi="Times New Roman"/>
                <w:sz w:val="17"/>
                <w:szCs w:val="17"/>
                <w:color w:val="auto"/>
              </w:rPr>
              <w:t xml:space="preserve">Commercial </w:t>
            </w:r>
            <w:r>
              <w:rPr>
                <w:rFonts w:ascii="Times New Roman" w:cs="Times New Roman" w:eastAsia="Times New Roman" w:hAnsi="Times New Roman"/>
                <w:sz w:val="25"/>
                <w:szCs w:val="25"/>
                <w:color w:val="auto"/>
                <w:vertAlign w:val="superscript"/>
              </w:rPr>
              <w:t>(e)</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Borders>
              <w:bottom w:val="single" w:sz="8" w:color="CCEEFF"/>
            </w:tcBorders>
          </w:tcPr>
          <w:p>
            <w:pPr>
              <w:ind w:left="80"/>
              <w:spacing w:after="0" w:line="216" w:lineRule="exact"/>
              <w:rPr>
                <w:sz w:val="20"/>
                <w:szCs w:val="20"/>
                <w:color w:val="auto"/>
              </w:rPr>
            </w:pPr>
            <w:r>
              <w:rPr>
                <w:rFonts w:ascii="Times New Roman" w:cs="Times New Roman" w:eastAsia="Times New Roman" w:hAnsi="Times New Roman"/>
                <w:sz w:val="25"/>
                <w:szCs w:val="25"/>
                <w:color w:val="auto"/>
                <w:vertAlign w:val="subscript"/>
              </w:rPr>
              <w:t>Other</w:t>
            </w:r>
            <w:r>
              <w:rPr>
                <w:rFonts w:ascii="Times New Roman" w:cs="Times New Roman" w:eastAsia="Times New Roman" w:hAnsi="Times New Roman"/>
                <w:sz w:val="11"/>
                <w:szCs w:val="11"/>
                <w:color w:val="auto"/>
              </w:rPr>
              <w:t xml:space="preserve"> (d) (e)</w:t>
            </w:r>
          </w:p>
        </w:tc>
        <w:tc>
          <w:tcPr>
            <w:tcW w:w="3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4,520</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4,054</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13,800</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bottom w:val="single" w:sz="8" w:color="CCEEFF"/>
            </w:tcBorders>
            <w:shd w:val="clear" w:color="auto" w:fill="CCEEFF"/>
          </w:tcPr>
          <w:p>
            <w:pPr>
              <w:ind w:left="200"/>
              <w:spacing w:after="0" w:line="210" w:lineRule="exact"/>
              <w:rPr>
                <w:sz w:val="20"/>
                <w:szCs w:val="20"/>
                <w:color w:val="auto"/>
              </w:rPr>
            </w:pPr>
            <w:r>
              <w:rPr>
                <w:rFonts w:ascii="Times New Roman" w:cs="Times New Roman" w:eastAsia="Times New Roman" w:hAnsi="Times New Roman"/>
                <w:sz w:val="17"/>
                <w:szCs w:val="17"/>
                <w:b w:val="1"/>
                <w:bCs w:val="1"/>
                <w:color w:val="auto"/>
              </w:rPr>
              <w:t xml:space="preserve">Consolidated corporate and other operating expenses </w:t>
            </w:r>
            <w:r>
              <w:rPr>
                <w:rFonts w:ascii="Times New Roman" w:cs="Times New Roman" w:eastAsia="Times New Roman" w:hAnsi="Times New Roman"/>
                <w:sz w:val="24"/>
                <w:szCs w:val="24"/>
                <w:b w:val="1"/>
                <w:bCs w:val="1"/>
                <w:color w:val="auto"/>
                <w:vertAlign w:val="superscript"/>
              </w:rPr>
              <w:t>(e)</w:t>
            </w:r>
          </w:p>
        </w:tc>
        <w:tc>
          <w:tcPr>
            <w:tcW w:w="3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7,968</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6,895</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23,603</w:t>
            </w: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Depreciation, depletion and amortization:</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Residential</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Hospitality</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7,086</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80"/>
              <w:spacing w:after="0" w:line="216" w:lineRule="exact"/>
              <w:rPr>
                <w:sz w:val="20"/>
                <w:szCs w:val="20"/>
                <w:color w:val="auto"/>
              </w:rPr>
            </w:pPr>
            <w:r>
              <w:rPr>
                <w:rFonts w:ascii="Times New Roman" w:cs="Times New Roman" w:eastAsia="Times New Roman" w:hAnsi="Times New Roman"/>
                <w:sz w:val="17"/>
                <w:szCs w:val="17"/>
                <w:color w:val="auto"/>
              </w:rPr>
              <w:t xml:space="preserve">Commercial </w:t>
            </w:r>
            <w:r>
              <w:rPr>
                <w:rFonts w:ascii="Times New Roman" w:cs="Times New Roman" w:eastAsia="Times New Roman" w:hAnsi="Times New Roman"/>
                <w:sz w:val="25"/>
                <w:szCs w:val="25"/>
                <w:color w:val="auto"/>
                <w:vertAlign w:val="superscript"/>
              </w:rPr>
              <w:t>(c)</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7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Consolidated depreciation, depletion and amortization</w:t>
            </w:r>
          </w:p>
        </w:tc>
        <w:tc>
          <w:tcPr>
            <w:tcW w:w="3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11,141</w:t>
            </w:r>
          </w:p>
        </w:tc>
        <w:tc>
          <w:tcPr>
            <w:tcW w:w="40" w:type="dxa"/>
            <w:vAlign w:val="bottom"/>
            <w:tcBorders>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11,657</w:t>
            </w:r>
          </w:p>
        </w:tc>
        <w:tc>
          <w:tcPr>
            <w:tcW w:w="40" w:type="dxa"/>
            <w:vAlign w:val="bottom"/>
            <w:tcBorders>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33,919</w:t>
            </w:r>
          </w:p>
        </w:tc>
        <w:tc>
          <w:tcPr>
            <w:tcW w:w="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35,774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Investment income, net: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gridSpan w:val="3"/>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300" w:type="dxa"/>
            <w:vAlign w:val="bottom"/>
            <w:gridSpan w:val="3"/>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Residential</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Hospitality</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Commercial</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Borders>
              <w:bottom w:val="single" w:sz="8" w:color="CCEEFF"/>
            </w:tcBorders>
          </w:tcPr>
          <w:p>
            <w:pPr>
              <w:ind w:left="80"/>
              <w:spacing w:after="0" w:line="216" w:lineRule="exact"/>
              <w:rPr>
                <w:sz w:val="20"/>
                <w:szCs w:val="20"/>
                <w:color w:val="auto"/>
              </w:rPr>
            </w:pPr>
            <w:r>
              <w:rPr>
                <w:rFonts w:ascii="Times New Roman" w:cs="Times New Roman" w:eastAsia="Times New Roman" w:hAnsi="Times New Roman"/>
                <w:sz w:val="17"/>
                <w:szCs w:val="17"/>
                <w:color w:val="auto"/>
              </w:rPr>
              <w:t xml:space="preserve">Other </w:t>
            </w:r>
            <w:r>
              <w:rPr>
                <w:rFonts w:ascii="Times New Roman" w:cs="Times New Roman" w:eastAsia="Times New Roman" w:hAnsi="Times New Roman"/>
                <w:sz w:val="25"/>
                <w:szCs w:val="25"/>
                <w:color w:val="auto"/>
                <w:vertAlign w:val="superscript"/>
              </w:rPr>
              <w:t>(f)</w:t>
            </w:r>
          </w:p>
        </w:tc>
        <w:tc>
          <w:tcPr>
            <w:tcW w:w="3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2,901</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2,853</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8,727</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Consolidated investment income, net</w:t>
            </w:r>
          </w:p>
        </w:tc>
        <w:tc>
          <w:tcPr>
            <w:tcW w:w="3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3,584</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3,117</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10,117</w:t>
            </w: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gridSpan w:val="5"/>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gridSpan w:val="7"/>
          </w:tcPr>
          <w:p>
            <w:pPr>
              <w:ind w:left="1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5"/>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6"/>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80" w:type="dxa"/>
            <w:vAlign w:val="bottom"/>
            <w:gridSpan w:val="2"/>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12"/>
                <w:szCs w:val="12"/>
                <w:color w:val="auto"/>
              </w:rPr>
            </w:pPr>
          </w:p>
        </w:tc>
        <w:tc>
          <w:tcPr>
            <w:tcW w:w="320" w:type="dxa"/>
            <w:vAlign w:val="bottom"/>
            <w:gridSpan w:val="2"/>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2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12"/>
                <w:szCs w:val="12"/>
                <w:color w:val="auto"/>
              </w:rPr>
            </w:pPr>
          </w:p>
        </w:tc>
        <w:tc>
          <w:tcPr>
            <w:tcW w:w="280" w:type="dxa"/>
            <w:vAlign w:val="bottom"/>
            <w:gridSpan w:val="3"/>
          </w:tcPr>
          <w:p>
            <w:pPr>
              <w:jc w:val="right"/>
              <w:ind w:right="6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Residential</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340" w:type="dxa"/>
            <w:vAlign w:val="bottom"/>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300" w:type="dxa"/>
            <w:vAlign w:val="bottom"/>
            <w:gridSpan w:val="4"/>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Hospitality</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ind w:left="100"/>
              <w:spacing w:after="0" w:line="216" w:lineRule="exact"/>
              <w:rPr>
                <w:sz w:val="20"/>
                <w:szCs w:val="20"/>
                <w:color w:val="auto"/>
              </w:rPr>
            </w:pPr>
            <w:r>
              <w:rPr>
                <w:rFonts w:ascii="Times New Roman" w:cs="Times New Roman" w:eastAsia="Times New Roman" w:hAnsi="Times New Roman"/>
                <w:sz w:val="17"/>
                <w:szCs w:val="17"/>
                <w:color w:val="auto"/>
              </w:rPr>
              <w:t xml:space="preserve">Commercial </w:t>
            </w:r>
            <w:r>
              <w:rPr>
                <w:rFonts w:ascii="Times New Roman" w:cs="Times New Roman" w:eastAsia="Times New Roman" w:hAnsi="Times New Roman"/>
                <w:sz w:val="25"/>
                <w:szCs w:val="25"/>
                <w:color w:val="auto"/>
                <w:vertAlign w:val="superscript"/>
              </w:rPr>
              <w:t>(c)</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ind w:left="100"/>
              <w:spacing w:after="0" w:line="216" w:lineRule="exact"/>
              <w:rPr>
                <w:sz w:val="20"/>
                <w:szCs w:val="20"/>
                <w:color w:val="auto"/>
              </w:rPr>
            </w:pPr>
            <w:r>
              <w:rPr>
                <w:rFonts w:ascii="Times New Roman" w:cs="Times New Roman" w:eastAsia="Times New Roman" w:hAnsi="Times New Roman"/>
                <w:sz w:val="17"/>
                <w:szCs w:val="17"/>
                <w:color w:val="auto"/>
              </w:rPr>
              <w:t xml:space="preserve">Other </w:t>
            </w:r>
            <w:r>
              <w:rPr>
                <w:rFonts w:ascii="Times New Roman" w:cs="Times New Roman" w:eastAsia="Times New Roman" w:hAnsi="Times New Roman"/>
                <w:sz w:val="25"/>
                <w:szCs w:val="25"/>
                <w:color w:val="auto"/>
                <w:vertAlign w:val="superscript"/>
              </w:rPr>
              <w:t>(g)</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6,683</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0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Consolidated interest expense</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6,808</w:t>
            </w: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7,786</w:t>
            </w: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20,782</w:t>
            </w: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CCEEFF"/>
            </w:tcBorders>
            <w:gridSpan w:val="2"/>
          </w:tcPr>
          <w:p>
            <w:pPr>
              <w:spacing w:after="0"/>
              <w:rPr>
                <w:sz w:val="21"/>
                <w:szCs w:val="21"/>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23,321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Equity in (loss) income from unconsolidated joint ventures: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ind w:left="100"/>
              <w:spacing w:after="0" w:line="216" w:lineRule="exact"/>
              <w:rPr>
                <w:sz w:val="20"/>
                <w:szCs w:val="20"/>
                <w:color w:val="auto"/>
              </w:rPr>
            </w:pPr>
            <w:r>
              <w:rPr>
                <w:rFonts w:ascii="Times New Roman" w:cs="Times New Roman" w:eastAsia="Times New Roman" w:hAnsi="Times New Roman"/>
                <w:sz w:val="17"/>
                <w:szCs w:val="17"/>
                <w:color w:val="auto"/>
              </w:rPr>
              <w:t xml:space="preserve">Residential </w:t>
            </w:r>
            <w:r>
              <w:rPr>
                <w:rFonts w:ascii="Times New Roman" w:cs="Times New Roman" w:eastAsia="Times New Roman" w:hAnsi="Times New Roman"/>
                <w:sz w:val="25"/>
                <w:szCs w:val="25"/>
                <w:color w:val="auto"/>
                <w:vertAlign w:val="superscript"/>
              </w:rPr>
              <w:t>(h)</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(7,388)</w:t>
            </w:r>
          </w:p>
        </w:tc>
        <w:tc>
          <w:tcPr>
            <w:tcW w:w="340" w:type="dxa"/>
            <w:vAlign w:val="bottom"/>
            <w:gridSpan w:val="3"/>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4,870</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w:t>
            </w:r>
          </w:p>
        </w:tc>
        <w:tc>
          <w:tcPr>
            <w:tcW w:w="300" w:type="dxa"/>
            <w:vAlign w:val="bottom"/>
            <w:gridSpan w:val="4"/>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Borders>
              <w:bottom w:val="single" w:sz="8" w:color="CCEEFF"/>
            </w:tcBorders>
            <w:gridSpan w:val="2"/>
          </w:tcPr>
          <w:p>
            <w:pPr>
              <w:ind w:left="100"/>
              <w:spacing w:after="0" w:line="216" w:lineRule="exact"/>
              <w:rPr>
                <w:sz w:val="20"/>
                <w:szCs w:val="20"/>
                <w:color w:val="auto"/>
              </w:rPr>
            </w:pPr>
            <w:r>
              <w:rPr>
                <w:rFonts w:ascii="Times New Roman" w:cs="Times New Roman" w:eastAsia="Times New Roman" w:hAnsi="Times New Roman"/>
                <w:sz w:val="17"/>
                <w:szCs w:val="17"/>
                <w:color w:val="auto"/>
              </w:rPr>
              <w:t xml:space="preserve">Commercial </w:t>
            </w:r>
            <w:r>
              <w:rPr>
                <w:rFonts w:ascii="Times New Roman" w:cs="Times New Roman" w:eastAsia="Times New Roman" w:hAnsi="Times New Roman"/>
                <w:sz w:val="25"/>
                <w:szCs w:val="25"/>
                <w:color w:val="auto"/>
                <w:vertAlign w:val="superscript"/>
              </w:rPr>
              <w:t>(i)</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(2,869)</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60" w:type="dxa"/>
            <w:vAlign w:val="bottom"/>
            <w:gridSpan w:val="2"/>
            <w:shd w:val="clear" w:color="auto" w:fill="CCEEFF"/>
          </w:tcPr>
          <w:p>
            <w:pPr>
              <w:ind w:left="220"/>
              <w:spacing w:after="0" w:line="174" w:lineRule="exact"/>
              <w:rPr>
                <w:sz w:val="20"/>
                <w:szCs w:val="20"/>
                <w:color w:val="auto"/>
              </w:rPr>
            </w:pPr>
            <w:r>
              <w:rPr>
                <w:rFonts w:ascii="Times New Roman" w:cs="Times New Roman" w:eastAsia="Times New Roman" w:hAnsi="Times New Roman"/>
                <w:sz w:val="18"/>
                <w:szCs w:val="18"/>
                <w:b w:val="1"/>
                <w:bCs w:val="1"/>
                <w:color w:val="auto"/>
              </w:rPr>
              <w:t>Consolidated equity in (loss) income from unconsolidated joint</w:t>
            </w:r>
          </w:p>
        </w:tc>
        <w:tc>
          <w:tcPr>
            <w:tcW w:w="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(8,217)</w:t>
            </w:r>
          </w:p>
        </w:tc>
        <w:tc>
          <w:tcPr>
            <w:tcW w:w="340" w:type="dxa"/>
            <w:vAlign w:val="bottom"/>
            <w:gridSpan w:val="3"/>
            <w:vMerge w:val="restart"/>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3,480</w:t>
            </w:r>
          </w:p>
        </w:tc>
        <w:tc>
          <w:tcPr>
            <w:tcW w:w="2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w:t>
            </w:r>
          </w:p>
        </w:tc>
        <w:tc>
          <w:tcPr>
            <w:tcW w:w="300" w:type="dxa"/>
            <w:vAlign w:val="bottom"/>
            <w:gridSpan w:val="4"/>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21,186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ventures</w:t>
            </w:r>
          </w:p>
        </w:tc>
        <w:tc>
          <w:tcPr>
            <w:tcW w:w="280" w:type="dxa"/>
            <w:vAlign w:val="bottom"/>
            <w:gridSpan w:val="2"/>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340" w:type="dxa"/>
            <w:vAlign w:val="bottom"/>
            <w:gridSpan w:val="3"/>
            <w:vMerge w:val="continue"/>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280" w:type="dxa"/>
            <w:vAlign w:val="bottom"/>
            <w:gridSpan w:val="3"/>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300" w:type="dxa"/>
            <w:vAlign w:val="bottom"/>
            <w:gridSpan w:val="4"/>
            <w:vMerge w:val="continue"/>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2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Residential</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340" w:type="dxa"/>
            <w:vAlign w:val="bottom"/>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300" w:type="dxa"/>
            <w:vAlign w:val="bottom"/>
            <w:gridSpan w:val="4"/>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ind w:left="100"/>
              <w:spacing w:after="0" w:line="216" w:lineRule="exact"/>
              <w:rPr>
                <w:sz w:val="20"/>
                <w:szCs w:val="20"/>
                <w:color w:val="auto"/>
              </w:rPr>
            </w:pPr>
            <w:r>
              <w:rPr>
                <w:rFonts w:ascii="Times New Roman" w:cs="Times New Roman" w:eastAsia="Times New Roman" w:hAnsi="Times New Roman"/>
                <w:sz w:val="17"/>
                <w:szCs w:val="17"/>
                <w:color w:val="auto"/>
              </w:rPr>
              <w:t xml:space="preserve">Hospitality </w:t>
            </w:r>
            <w:r>
              <w:rPr>
                <w:rFonts w:ascii="Times New Roman" w:cs="Times New Roman" w:eastAsia="Times New Roman" w:hAnsi="Times New Roman"/>
                <w:sz w:val="25"/>
                <w:szCs w:val="25"/>
                <w:color w:val="auto"/>
                <w:vertAlign w:val="superscript"/>
              </w:rPr>
              <w:t>(j)</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0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Other (expense) income, net</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w:t>
            </w: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2,195</w:t>
            </w: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(755)</w:t>
            </w: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CCEEFF"/>
            </w:tcBorders>
            <w:gridSpan w:val="2"/>
          </w:tcPr>
          <w:p>
            <w:pPr>
              <w:spacing w:after="0"/>
              <w:rPr>
                <w:sz w:val="21"/>
                <w:szCs w:val="21"/>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gridSpan w:val="3"/>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280" w:type="dxa"/>
            <w:vAlign w:val="bottom"/>
            <w:gridSpan w:val="3"/>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300" w:type="dxa"/>
            <w:vAlign w:val="bottom"/>
            <w:gridSpan w:val="4"/>
          </w:tcPr>
          <w:p>
            <w:pPr>
              <w:jc w:val="right"/>
              <w:ind w:right="184"/>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ind w:left="100"/>
              <w:spacing w:after="0" w:line="216" w:lineRule="exact"/>
              <w:rPr>
                <w:sz w:val="20"/>
                <w:szCs w:val="20"/>
                <w:color w:val="auto"/>
              </w:rPr>
            </w:pPr>
            <w:r>
              <w:rPr>
                <w:rFonts w:ascii="Times New Roman" w:cs="Times New Roman" w:eastAsia="Times New Roman" w:hAnsi="Times New Roman"/>
                <w:sz w:val="17"/>
                <w:szCs w:val="17"/>
                <w:color w:val="auto"/>
              </w:rPr>
              <w:t xml:space="preserve">Residential </w:t>
            </w:r>
            <w:r>
              <w:rPr>
                <w:rFonts w:ascii="Times New Roman" w:cs="Times New Roman" w:eastAsia="Times New Roman" w:hAnsi="Times New Roman"/>
                <w:sz w:val="25"/>
                <w:szCs w:val="25"/>
                <w:color w:val="auto"/>
                <w:vertAlign w:val="superscript"/>
              </w:rPr>
              <w:t>(a) (h)</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20,760</w:t>
            </w:r>
          </w:p>
        </w:tc>
        <w:tc>
          <w:tcPr>
            <w:tcW w:w="340" w:type="dxa"/>
            <w:vAlign w:val="bottom"/>
            <w:gridSpan w:val="3"/>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22,608</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66,436</w:t>
            </w:r>
          </w:p>
        </w:tc>
        <w:tc>
          <w:tcPr>
            <w:tcW w:w="300" w:type="dxa"/>
            <w:vAlign w:val="bottom"/>
            <w:gridSpan w:val="4"/>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ind w:left="100"/>
              <w:spacing w:after="0" w:line="216" w:lineRule="exact"/>
              <w:rPr>
                <w:sz w:val="20"/>
                <w:szCs w:val="20"/>
                <w:color w:val="auto"/>
              </w:rPr>
            </w:pPr>
            <w:r>
              <w:rPr>
                <w:rFonts w:ascii="Times New Roman" w:cs="Times New Roman" w:eastAsia="Times New Roman" w:hAnsi="Times New Roman"/>
                <w:sz w:val="17"/>
                <w:szCs w:val="17"/>
                <w:color w:val="auto"/>
              </w:rPr>
              <w:t xml:space="preserve">Hospitality </w:t>
            </w:r>
            <w:r>
              <w:rPr>
                <w:rFonts w:ascii="Times New Roman" w:cs="Times New Roman" w:eastAsia="Times New Roman" w:hAnsi="Times New Roman"/>
                <w:sz w:val="25"/>
                <w:szCs w:val="25"/>
                <w:color w:val="auto"/>
                <w:vertAlign w:val="superscript"/>
              </w:rPr>
              <w:t>(b) (j)</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42,079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ind w:left="100"/>
              <w:spacing w:after="0" w:line="216" w:lineRule="exact"/>
              <w:rPr>
                <w:sz w:val="20"/>
                <w:szCs w:val="20"/>
                <w:color w:val="auto"/>
              </w:rPr>
            </w:pPr>
            <w:r>
              <w:rPr>
                <w:rFonts w:ascii="Times New Roman" w:cs="Times New Roman" w:eastAsia="Times New Roman" w:hAnsi="Times New Roman"/>
                <w:sz w:val="17"/>
                <w:szCs w:val="17"/>
                <w:color w:val="auto"/>
              </w:rPr>
              <w:t xml:space="preserve">Commercial </w:t>
            </w:r>
            <w:r>
              <w:rPr>
                <w:rFonts w:ascii="Times New Roman" w:cs="Times New Roman" w:eastAsia="Times New Roman" w:hAnsi="Times New Roman"/>
                <w:sz w:val="25"/>
                <w:szCs w:val="25"/>
                <w:color w:val="auto"/>
                <w:vertAlign w:val="superscript"/>
              </w:rPr>
              <w:t>(c) (i)</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Borders>
              <w:bottom w:val="single" w:sz="8" w:color="CCEEFF"/>
            </w:tcBorders>
            <w:gridSpan w:val="2"/>
          </w:tcPr>
          <w:p>
            <w:pPr>
              <w:ind w:left="100"/>
              <w:spacing w:after="0" w:line="216" w:lineRule="exact"/>
              <w:rPr>
                <w:sz w:val="20"/>
                <w:szCs w:val="20"/>
                <w:color w:val="auto"/>
              </w:rPr>
            </w:pPr>
            <w:r>
              <w:rPr>
                <w:rFonts w:ascii="Times New Roman" w:cs="Times New Roman" w:eastAsia="Times New Roman" w:hAnsi="Times New Roman"/>
                <w:sz w:val="25"/>
                <w:szCs w:val="25"/>
                <w:color w:val="auto"/>
                <w:vertAlign w:val="subscript"/>
              </w:rPr>
              <w:t>Other</w:t>
            </w:r>
            <w:r>
              <w:rPr>
                <w:rFonts w:ascii="Times New Roman" w:cs="Times New Roman" w:eastAsia="Times New Roman" w:hAnsi="Times New Roman"/>
                <w:sz w:val="11"/>
                <w:szCs w:val="11"/>
                <w:color w:val="auto"/>
              </w:rPr>
              <w:t xml:space="preserve"> (d) (f) (g)</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(3,273)</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(3,298)</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(10,122)</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Consolidated income before income taxes</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49,958</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53,938</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122,856</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116,138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2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300" w:type="dxa"/>
            <w:vAlign w:val="bottom"/>
            <w:gridSpan w:val="4"/>
            <w:shd w:val="clear" w:color="auto" w:fill="CCEEFF"/>
          </w:tcPr>
          <w:p>
            <w:pPr>
              <w:jc w:val="right"/>
              <w:ind w:right="184"/>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Residential</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11,198</w:t>
            </w:r>
          </w:p>
        </w:tc>
        <w:tc>
          <w:tcPr>
            <w:tcW w:w="340" w:type="dxa"/>
            <w:vAlign w:val="bottom"/>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14,085</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37,313</w:t>
            </w:r>
          </w:p>
        </w:tc>
        <w:tc>
          <w:tcPr>
            <w:tcW w:w="300" w:type="dxa"/>
            <w:vAlign w:val="bottom"/>
            <w:gridSpan w:val="4"/>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Hospitality</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21,981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3,787</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 capital expenditures</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22,861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20,401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67,512</w:t>
            </w:r>
          </w:p>
        </w:tc>
        <w:tc>
          <w:tcPr>
            <w:tcW w:w="2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89,631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2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380" w:right="299" w:hanging="330"/>
        <w:spacing w:after="0" w:line="267" w:lineRule="auto"/>
        <w:tabs>
          <w:tab w:leader="none" w:pos="3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three and nine months ended September 30, 2026, include revenue of $31.4 million for the initial net present value of additional land sold to the Latitude Margaritaville Watersound JV and $9.6 million of cost of revenue, resulting in gross profit of $21.8 million. See Note 4. </w:t>
      </w:r>
      <w:r>
        <w:rPr>
          <w:rFonts w:ascii="Times New Roman" w:cs="Times New Roman" w:eastAsia="Times New Roman" w:hAnsi="Times New Roman"/>
          <w:sz w:val="16"/>
          <w:szCs w:val="16"/>
          <w:i w:val="1"/>
          <w:iCs w:val="1"/>
          <w:color w:val="auto"/>
        </w:rPr>
        <w:t>Joint Ventures</w:t>
      </w:r>
      <w:r>
        <w:rPr>
          <w:rFonts w:ascii="Times New Roman" w:cs="Times New Roman" w:eastAsia="Times New Roman" w:hAnsi="Times New Roman"/>
          <w:sz w:val="16"/>
          <w:szCs w:val="16"/>
          <w:color w:val="auto"/>
        </w:rPr>
        <w:t xml:space="preserve"> and Note 18. </w:t>
      </w:r>
      <w:r>
        <w:rPr>
          <w:rFonts w:ascii="Times New Roman" w:cs="Times New Roman" w:eastAsia="Times New Roman" w:hAnsi="Times New Roman"/>
          <w:sz w:val="16"/>
          <w:szCs w:val="16"/>
          <w:i w:val="1"/>
          <w:iCs w:val="1"/>
          <w:color w:val="auto"/>
        </w:rPr>
        <w:t>Related Party Transactions</w:t>
      </w:r>
      <w:r>
        <w:rPr>
          <w:rFonts w:ascii="Times New Roman" w:cs="Times New Roman" w:eastAsia="Times New Roman" w:hAnsi="Times New Roman"/>
          <w:sz w:val="16"/>
          <w:szCs w:val="16"/>
          <w:color w:val="auto"/>
        </w:rPr>
        <w:t xml:space="preserve"> for additional information.</w:t>
      </w:r>
    </w:p>
    <w:p>
      <w:pPr>
        <w:spacing w:after="0" w:line="1" w:lineRule="exact"/>
        <w:rPr>
          <w:rFonts w:ascii="Times New Roman" w:cs="Times New Roman" w:eastAsia="Times New Roman" w:hAnsi="Times New Roman"/>
          <w:sz w:val="16"/>
          <w:szCs w:val="16"/>
          <w:color w:val="auto"/>
        </w:rPr>
      </w:pPr>
    </w:p>
    <w:p>
      <w:pPr>
        <w:ind w:left="380" w:right="159" w:hanging="330"/>
        <w:spacing w:after="0" w:line="264" w:lineRule="auto"/>
        <w:tabs>
          <w:tab w:leader="none" w:pos="3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nine months ended September 30, 2026, include $7.1 million of revenue and $2.6 million of cost of revenue, resulting in gross profit of $4.5 million related to the sale of vacation rental properties. The nine months ended September 30, 2025, include $1.4 million of revenue and $0.8 million of cost of revenue, resulting in gross profit of $0.6 million, related to the sale of a hospitality property.</w:t>
      </w:r>
    </w:p>
    <w:p>
      <w:pPr>
        <w:ind w:left="380" w:right="339" w:hanging="330"/>
        <w:spacing w:after="0" w:line="264" w:lineRule="auto"/>
        <w:tabs>
          <w:tab w:leader="none" w:pos="3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three and nine months ended September 30, 2025, include the sale of the Watercrest JV’s senior living community property, generating revenue of $41.0 million, cost of revenue of $21.6 million and gross profit of $19.4 million. Following the sale, the Watercrest JV ceased operating activities. See Note 4. </w:t>
      </w:r>
      <w:r>
        <w:rPr>
          <w:rFonts w:ascii="Times New Roman" w:cs="Times New Roman" w:eastAsia="Times New Roman" w:hAnsi="Times New Roman"/>
          <w:sz w:val="16"/>
          <w:szCs w:val="16"/>
          <w:i w:val="1"/>
          <w:iCs w:val="1"/>
          <w:color w:val="auto"/>
        </w:rPr>
        <w:t>Joint Ventures</w:t>
      </w:r>
      <w:r>
        <w:rPr>
          <w:rFonts w:ascii="Times New Roman" w:cs="Times New Roman" w:eastAsia="Times New Roman" w:hAnsi="Times New Roman"/>
          <w:sz w:val="16"/>
          <w:szCs w:val="16"/>
          <w:color w:val="auto"/>
        </w:rPr>
        <w:t xml:space="preserve"> for additional information.</w:t>
      </w:r>
    </w:p>
    <w:p>
      <w:pPr>
        <w:ind w:left="380" w:right="159" w:hanging="330"/>
        <w:spacing w:after="0" w:line="264" w:lineRule="auto"/>
        <w:tabs>
          <w:tab w:leader="none" w:pos="3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three and nine months ended September 30, 2026 and 2025, include activity for the Company’s real estate brokerage business, which began operations in the second quarter of 2025.</w:t>
      </w:r>
    </w:p>
    <w:p>
      <w:pPr>
        <w:ind w:left="380" w:hanging="330"/>
        <w:spacing w:after="0"/>
        <w:tabs>
          <w:tab w:leader="none" w:pos="3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Excluding depreciation, depletion and amortization, shown separately above.</w:t>
      </w:r>
    </w:p>
    <w:p>
      <w:pPr>
        <w:spacing w:after="0" w:line="18" w:lineRule="exact"/>
        <w:rPr>
          <w:rFonts w:ascii="Times New Roman" w:cs="Times New Roman" w:eastAsia="Times New Roman" w:hAnsi="Times New Roman"/>
          <w:sz w:val="16"/>
          <w:szCs w:val="16"/>
          <w:color w:val="auto"/>
        </w:rPr>
      </w:pPr>
    </w:p>
    <w:p>
      <w:pPr>
        <w:ind w:left="380" w:right="199" w:hanging="330"/>
        <w:spacing w:after="0" w:line="264" w:lineRule="auto"/>
        <w:tabs>
          <w:tab w:leader="none" w:pos="3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interest income from investments in SPE of $2.0 million in each of the three months ended September 30, 2026 and 2025 and $6.0 million in each of the nine months ended September 30, 2026 and 2025.</w:t>
      </w:r>
    </w:p>
    <w:p>
      <w:pPr>
        <w:ind w:left="380" w:right="139" w:hanging="330"/>
        <w:spacing w:after="0" w:line="264" w:lineRule="auto"/>
        <w:tabs>
          <w:tab w:leader="none" w:pos="3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interest expense from investments in SPE of $2.2 million in each of the three months ended September 30, 2026 and 2025 and $6.7 million in each of the nine months ended September 30, 2026 and 2025.</w:t>
      </w:r>
    </w:p>
    <w:p>
      <w:pPr>
        <w:jc w:val="both"/>
        <w:ind w:left="380" w:right="259" w:hanging="330"/>
        <w:spacing w:after="0" w:line="288" w:lineRule="auto"/>
        <w:tabs>
          <w:tab w:leader="none" w:pos="3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Equity in (loss) income from unconsolidated joint ventures includes income of $3.5 million and $4.9 million for the three months ended September 30, 2026 and 2025, respectively, and $13.5 million and $26.0 million for the nine months ended September 30,</w:t>
      </w:r>
    </w:p>
    <w:p>
      <w:pPr>
        <w:sectPr>
          <w:pgSz w:w="11900" w:h="16838" w:orient="portrait"/>
          <w:cols w:equalWidth="0" w:num="1">
            <w:col w:w="9019"/>
          </w:cols>
          <w:pgMar w:left="1440" w:top="513" w:right="1440" w:bottom="1440" w:gutter="0" w:footer="0" w:header="0"/>
        </w:sect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80" w:right="299"/>
        <w:spacing w:after="0" w:line="265" w:lineRule="auto"/>
        <w:rPr>
          <w:sz w:val="20"/>
          <w:szCs w:val="20"/>
          <w:color w:val="auto"/>
        </w:rPr>
      </w:pPr>
      <w:r>
        <w:rPr>
          <w:rFonts w:ascii="Times New Roman" w:cs="Times New Roman" w:eastAsia="Times New Roman" w:hAnsi="Times New Roman"/>
          <w:sz w:val="16"/>
          <w:szCs w:val="16"/>
          <w:color w:val="auto"/>
        </w:rPr>
        <w:t xml:space="preserve">2026 and 2025, respectively, related to the Latitude Margaritaville Watersound JV. During the three months ended September 30, 2026 and 2025, the Latitude Margaritaville Watersound JV completed 67 and 82 home sale transactions, respectively, and 236 and 411 home sale transactions during the nine months ended September 30, 2026 and 2025, respectively. Equity in (loss) income from unconsolidated joint ventures also includes intra-entity profit elimination, based on the Company’s ownership interest, of $10.9 million during each of the three and nine months ended September 30, 2026, related to an additional land sale to the JV, a pro-rata portion of which will be recognized as each home on the land is sold by the JV. See Note 4. </w:t>
      </w:r>
      <w:r>
        <w:rPr>
          <w:rFonts w:ascii="Times New Roman" w:cs="Times New Roman" w:eastAsia="Times New Roman" w:hAnsi="Times New Roman"/>
          <w:sz w:val="16"/>
          <w:szCs w:val="16"/>
          <w:i w:val="1"/>
          <w:iCs w:val="1"/>
          <w:color w:val="auto"/>
        </w:rPr>
        <w:t>Joint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Ventures, </w:t>
      </w:r>
      <w:r>
        <w:rPr>
          <w:rFonts w:ascii="Times New Roman" w:cs="Times New Roman" w:eastAsia="Times New Roman" w:hAnsi="Times New Roman"/>
          <w:sz w:val="16"/>
          <w:szCs w:val="16"/>
          <w:color w:val="auto"/>
        </w:rPr>
        <w:t>Note 15.</w:t>
      </w:r>
      <w:r>
        <w:rPr>
          <w:rFonts w:ascii="Times New Roman" w:cs="Times New Roman" w:eastAsia="Times New Roman" w:hAnsi="Times New Roman"/>
          <w:sz w:val="16"/>
          <w:szCs w:val="16"/>
          <w:i w:val="1"/>
          <w:iCs w:val="1"/>
          <w:color w:val="auto"/>
        </w:rPr>
        <w:t xml:space="preserve"> Other (Expense) Income, Net </w:t>
      </w:r>
      <w:r>
        <w:rPr>
          <w:rFonts w:ascii="Times New Roman" w:cs="Times New Roman" w:eastAsia="Times New Roman" w:hAnsi="Times New Roman"/>
          <w:sz w:val="16"/>
          <w:szCs w:val="16"/>
          <w:color w:val="auto"/>
        </w:rPr>
        <w:t>and Note 18.</w:t>
      </w:r>
      <w:r>
        <w:rPr>
          <w:rFonts w:ascii="Times New Roman" w:cs="Times New Roman" w:eastAsia="Times New Roman" w:hAnsi="Times New Roman"/>
          <w:sz w:val="16"/>
          <w:szCs w:val="16"/>
          <w:i w:val="1"/>
          <w:iCs w:val="1"/>
          <w:color w:val="auto"/>
        </w:rPr>
        <w:t xml:space="preserve"> Related Party Transactions </w:t>
      </w:r>
      <w:r>
        <w:rPr>
          <w:rFonts w:ascii="Times New Roman" w:cs="Times New Roman" w:eastAsia="Times New Roman" w:hAnsi="Times New Roman"/>
          <w:sz w:val="16"/>
          <w:szCs w:val="16"/>
          <w:color w:val="auto"/>
        </w:rPr>
        <w:t>for additional information.</w:t>
      </w:r>
    </w:p>
    <w:p>
      <w:pPr>
        <w:spacing w:after="0" w:line="3" w:lineRule="exact"/>
        <w:rPr>
          <w:sz w:val="20"/>
          <w:szCs w:val="20"/>
          <w:color w:val="auto"/>
        </w:rPr>
      </w:pPr>
    </w:p>
    <w:p>
      <w:pPr>
        <w:ind w:left="380" w:right="139" w:hanging="330"/>
        <w:spacing w:after="0" w:line="264" w:lineRule="auto"/>
        <w:tabs>
          <w:tab w:leader="none" w:pos="3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three months ended September 30, 2026 and 2025, include $0.9 million and $1.1 million, respectively, and the nine months ended September 30, 2026 and 2025 include $2.7 million and $3.1 million, respectively, of equity in loss from unconsolidated joint ventures related to the Watersound Fountains Independent Living JV. The community is under lease-up. The nine months ended September 30, 2026 and 2025, include $0.6 million and $1.6 million, respectively, of equity in loss from unconsolidated joint ventures related to the Pier Park RI JV. The nine months ended September 30, 2025, include start-up, depreciation and interest expenses for the project. See Note 4. </w:t>
      </w:r>
      <w:r>
        <w:rPr>
          <w:rFonts w:ascii="Times New Roman" w:cs="Times New Roman" w:eastAsia="Times New Roman" w:hAnsi="Times New Roman"/>
          <w:sz w:val="16"/>
          <w:szCs w:val="16"/>
          <w:i w:val="1"/>
          <w:iCs w:val="1"/>
          <w:color w:val="auto"/>
        </w:rPr>
        <w:t>Joint Ventures</w:t>
      </w:r>
      <w:r>
        <w:rPr>
          <w:rFonts w:ascii="Times New Roman" w:cs="Times New Roman" w:eastAsia="Times New Roman" w:hAnsi="Times New Roman"/>
          <w:sz w:val="16"/>
          <w:szCs w:val="16"/>
          <w:color w:val="auto"/>
        </w:rPr>
        <w:t xml:space="preserve"> and Note 15. </w:t>
      </w:r>
      <w:r>
        <w:rPr>
          <w:rFonts w:ascii="Times New Roman" w:cs="Times New Roman" w:eastAsia="Times New Roman" w:hAnsi="Times New Roman"/>
          <w:sz w:val="16"/>
          <w:szCs w:val="16"/>
          <w:i w:val="1"/>
          <w:iCs w:val="1"/>
          <w:color w:val="auto"/>
        </w:rPr>
        <w:t>Other (Expense) Income, Net</w:t>
      </w:r>
      <w:r>
        <w:rPr>
          <w:rFonts w:ascii="Times New Roman" w:cs="Times New Roman" w:eastAsia="Times New Roman" w:hAnsi="Times New Roman"/>
          <w:sz w:val="16"/>
          <w:szCs w:val="16"/>
          <w:color w:val="auto"/>
        </w:rPr>
        <w:t xml:space="preserve"> for additional information.</w:t>
      </w:r>
    </w:p>
    <w:p>
      <w:pPr>
        <w:ind w:left="380" w:right="179" w:hanging="330"/>
        <w:spacing w:after="0" w:line="288" w:lineRule="auto"/>
        <w:tabs>
          <w:tab w:leader="none" w:pos="3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three and nine months ended September 30, 2025, include a $2.6 million gain on disposition of assets related to the sale of the N850J aircraft previously used in hospitality operations.</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2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 w:type="dxa"/>
            <w:vAlign w:val="bottom"/>
          </w:tcPr>
          <w:p>
            <w:pPr>
              <w:spacing w:after="0"/>
              <w:rPr>
                <w:sz w:val="13"/>
                <w:szCs w:val="13"/>
                <w:color w:val="auto"/>
              </w:rPr>
            </w:pPr>
          </w:p>
        </w:tc>
        <w:tc>
          <w:tcPr>
            <w:tcW w:w="11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Borders>
              <w:bottom w:val="single" w:sz="8" w:color="CCEEFF"/>
            </w:tcBorders>
          </w:tcPr>
          <w:p>
            <w:pPr>
              <w:spacing w:after="0"/>
              <w:rPr>
                <w:sz w:val="15"/>
                <w:szCs w:val="15"/>
                <w:color w:val="auto"/>
              </w:rPr>
            </w:pPr>
          </w:p>
        </w:tc>
        <w:tc>
          <w:tcPr>
            <w:tcW w:w="3120" w:type="dxa"/>
            <w:vAlign w:val="bottom"/>
            <w:tcBorders>
              <w:bottom w:val="single" w:sz="8" w:color="CCEEFF"/>
            </w:tcBorders>
          </w:tcPr>
          <w:p>
            <w:pPr>
              <w:spacing w:after="0"/>
              <w:rPr>
                <w:sz w:val="15"/>
                <w:szCs w:val="15"/>
                <w:color w:val="auto"/>
              </w:rPr>
            </w:pPr>
          </w:p>
        </w:tc>
        <w:tc>
          <w:tcPr>
            <w:tcW w:w="14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Investment in unconsolidated joint ventures:</w:t>
            </w:r>
          </w:p>
        </w:tc>
        <w:tc>
          <w:tcPr>
            <w:tcW w:w="1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ind w:left="100"/>
              <w:spacing w:after="0" w:line="216" w:lineRule="exact"/>
              <w:rPr>
                <w:sz w:val="20"/>
                <w:szCs w:val="20"/>
                <w:color w:val="auto"/>
              </w:rPr>
            </w:pPr>
            <w:r>
              <w:rPr>
                <w:rFonts w:ascii="Times New Roman" w:cs="Times New Roman" w:eastAsia="Times New Roman" w:hAnsi="Times New Roman"/>
                <w:sz w:val="17"/>
                <w:szCs w:val="17"/>
                <w:color w:val="auto"/>
              </w:rPr>
              <w:t xml:space="preserve">Residential </w:t>
            </w:r>
            <w:r>
              <w:rPr>
                <w:rFonts w:ascii="Times New Roman" w:cs="Times New Roman" w:eastAsia="Times New Roman" w:hAnsi="Times New Roman"/>
                <w:sz w:val="25"/>
                <w:szCs w:val="25"/>
                <w:color w:val="auto"/>
                <w:vertAlign w:val="superscript"/>
              </w:rPr>
              <w:t>(a)</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75,539</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Commercial</w:t>
            </w:r>
          </w:p>
        </w:tc>
        <w:tc>
          <w:tcPr>
            <w:tcW w:w="1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13,609</w:t>
            </w: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3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 investment in unconsolidated joint ventures</w:t>
            </w:r>
          </w:p>
        </w:tc>
        <w:tc>
          <w:tcPr>
            <w:tcW w:w="14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89,148</w:t>
            </w:r>
          </w:p>
        </w:tc>
        <w:tc>
          <w:tcPr>
            <w:tcW w:w="40" w:type="dxa"/>
            <w:vAlign w:val="bottom"/>
            <w:tcBorders>
              <w:bottom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66,052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220" w:type="dxa"/>
            <w:vAlign w:val="bottom"/>
            <w:shd w:val="clear" w:color="auto" w:fill="CCEEFF"/>
          </w:tcPr>
          <w:p>
            <w:pPr>
              <w:spacing w:after="0"/>
              <w:rPr>
                <w:sz w:val="11"/>
                <w:szCs w:val="11"/>
                <w:color w:val="auto"/>
              </w:rPr>
            </w:pPr>
          </w:p>
        </w:tc>
        <w:tc>
          <w:tcPr>
            <w:tcW w:w="312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gridSpan w:val="3"/>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Residential</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259,043</w:t>
            </w: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Hospitality</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423,975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450,534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Commercial</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496,054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505,490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4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318,687</w:t>
            </w: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323,896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1,497,759</w:t>
            </w: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1,518,426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312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380" w:right="139" w:hanging="330"/>
        <w:spacing w:after="0" w:line="269" w:lineRule="auto"/>
        <w:tabs>
          <w:tab w:leader="none" w:pos="3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As of September 30, 2026, the Company’s investment in unconsolidated joint ventures includes $31.4 million for the initial net present value of additional land sold to the Latitude Margaritaville Watersound joint venture, which will be paid to the Company as each home on the land is sold by the JV. The Company’s investment in unconsolidated joint ventures also includes intra-entity profit elimination, based on the Company’s ownership interest, of $11.4 million and $0.5 million as of September 30, 2026 and December 31, 2025, respectively, related to additional land sales to the JV, a pro-rata portion of which will be recognized as each home on the land is sold by the JV. See Note 4. </w:t>
      </w:r>
      <w:r>
        <w:rPr>
          <w:rFonts w:ascii="Times New Roman" w:cs="Times New Roman" w:eastAsia="Times New Roman" w:hAnsi="Times New Roman"/>
          <w:sz w:val="16"/>
          <w:szCs w:val="16"/>
          <w:i w:val="1"/>
          <w:iCs w:val="1"/>
          <w:color w:val="auto"/>
        </w:rPr>
        <w:t>Joint Ventures</w:t>
      </w:r>
      <w:r>
        <w:rPr>
          <w:rFonts w:ascii="Times New Roman" w:cs="Times New Roman" w:eastAsia="Times New Roman" w:hAnsi="Times New Roman"/>
          <w:sz w:val="16"/>
          <w:szCs w:val="16"/>
          <w:color w:val="auto"/>
        </w:rPr>
        <w:t xml:space="preserve"> and Note 15. </w:t>
      </w:r>
      <w:r>
        <w:rPr>
          <w:rFonts w:ascii="Times New Roman" w:cs="Times New Roman" w:eastAsia="Times New Roman" w:hAnsi="Times New Roman"/>
          <w:sz w:val="16"/>
          <w:szCs w:val="16"/>
          <w:i w:val="1"/>
          <w:iCs w:val="1"/>
          <w:color w:val="auto"/>
        </w:rPr>
        <w:t>Other (Expense) Income, Net</w:t>
      </w:r>
      <w:r>
        <w:rPr>
          <w:rFonts w:ascii="Times New Roman" w:cs="Times New Roman" w:eastAsia="Times New Roman" w:hAnsi="Times New Roman"/>
          <w:sz w:val="16"/>
          <w:szCs w:val="16"/>
          <w:color w:val="auto"/>
        </w:rPr>
        <w:t xml:space="preserve"> for additional information.</w:t>
      </w:r>
    </w:p>
    <w:p>
      <w:pPr>
        <w:spacing w:after="0" w:line="1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17. Commitments and Contingencies</w:t>
      </w:r>
    </w:p>
    <w:p>
      <w:pPr>
        <w:spacing w:after="0" w:line="229"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The Company establishes an accrued liability when it is both probable that a material loss has been incurred and the amount of the loss can be reasonably estimated. The Company will evaluate the range of reasonably estimated losses and record an accrued liability based on what it believes to be the minimum amount in the range, unless it believes an amount within the range is a better estimate than any other amount. In such cases, there may be an exposure to loss in excess of the amounts accrued. The Company evaluates quarterly whether further developments could affect the amount of the accrued liability previously established or would make a loss contingency both probable and reasonably estimable.</w:t>
      </w:r>
    </w:p>
    <w:p>
      <w:pPr>
        <w:spacing w:after="0" w:line="187"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The Company also provides disclosure when it believes it is reasonably possible that a material loss will be incurred or when it believes it is reasonably possible that the amount of a loss will exceed the recorded liability. The Company reviews loss contingencies at least quarterly to determine whether the likelihood of loss has changed and to assess whether a reasonable estimate of the loss or range of loss can be made. This estimated range of possible losses is based upon currently available information and is subject to significant judgment and a variety of assumptions, as well as known and unknown uncertainties. The matters underlying the estimated range will change from time to time, and actual results may vary significantly from the current estimate.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The Company is subject to a variety of litigation, claims, other disputes and governmental proceedings that arise from time to time in the ordinary course of its business, including litigation related to its prior development activities. The Company cannot make assurances that it will be successful in defending these matters. Based on current knowledge, the Company does not believe that loss contingencies arising from pending litigation, claims, other disputes and governmental proceedings, including those described herein, will have a material adverse effect on the consolidated financial position or liquidity of the Company. However, in light of the inherent uncertainties involved in these matters, an adverse outcome in one or more of these matters could be material to the Company’s results of operations or cash flows for any particular reporting period.</w:t>
      </w:r>
    </w:p>
    <w:p>
      <w:pPr>
        <w:spacing w:after="0" w:line="192" w:lineRule="exact"/>
        <w:rPr>
          <w:sz w:val="20"/>
          <w:szCs w:val="20"/>
          <w:color w:val="auto"/>
        </w:rPr>
      </w:pPr>
    </w:p>
    <w:p>
      <w:pPr>
        <w:ind w:left="60" w:right="359" w:firstLine="324"/>
        <w:spacing w:after="0" w:line="254" w:lineRule="auto"/>
        <w:rPr>
          <w:sz w:val="20"/>
          <w:szCs w:val="20"/>
          <w:color w:val="auto"/>
        </w:rPr>
      </w:pPr>
      <w:r>
        <w:rPr>
          <w:rFonts w:ascii="Times New Roman" w:cs="Times New Roman" w:eastAsia="Times New Roman" w:hAnsi="Times New Roman"/>
          <w:sz w:val="18"/>
          <w:szCs w:val="18"/>
          <w:color w:val="auto"/>
        </w:rPr>
        <w:t>The Company is subject to costs arising out of environmental laws and regulations, which include obligations to remove or limit the effects on the environment of the disposal or release of certain wastes or substances at various sites, including sites which have been previously sold. It is the Company’s policy to accrue and charge against earnings environmental cleanup costs when it is probable that a liability has been incurred and a range of loss can be reasonably estimated. As assessments and cleanups proceed, these accruals are reviewed and adjusted, if necessary, as additional information becomes available. The Company is in the process of assessing certain properties in regard to the effects, if any, on the environment from the disposal or release of wastes or substances. Management is unable to quantify future rehabilitation costs at this time or provide a reasonably estimated range of loss.</w:t>
      </w:r>
    </w:p>
    <w:p>
      <w:pPr>
        <w:spacing w:after="0" w:line="192"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Other litigation, claims and disputes, including environmental matters, are pending against the Company. The Company did not have any accrued aggregate liabilities related to the matters described above as of September 30, 2026. Accrued aggregate liabilities related to the matters described above and other litigation matters were $0.1 million as of December 31, 2025. Significant judgment is required in both the determination of probability and whether the amount of an exposure is reasonably estimable. Due to uncertainties related to these matters, accruals are based only on the information available at the time. As additional information becomes available, management reassesses potential liabilities related to pending claims and litigation and may revise its previous estimates, which could materially affect the Company’s results of operations for any particular reporting period.</w:t>
      </w:r>
    </w:p>
    <w:p>
      <w:pPr>
        <w:spacing w:after="0" w:line="192" w:lineRule="exact"/>
        <w:rPr>
          <w:sz w:val="20"/>
          <w:szCs w:val="20"/>
          <w:color w:val="auto"/>
        </w:rPr>
      </w:pPr>
    </w:p>
    <w:p>
      <w:pPr>
        <w:ind w:left="60" w:right="539" w:firstLine="324"/>
        <w:spacing w:after="0" w:line="282" w:lineRule="auto"/>
        <w:rPr>
          <w:sz w:val="20"/>
          <w:szCs w:val="20"/>
          <w:color w:val="auto"/>
        </w:rPr>
      </w:pPr>
      <w:r>
        <w:rPr>
          <w:rFonts w:ascii="Times New Roman" w:cs="Times New Roman" w:eastAsia="Times New Roman" w:hAnsi="Times New Roman"/>
          <w:sz w:val="18"/>
          <w:szCs w:val="18"/>
          <w:color w:val="auto"/>
        </w:rPr>
        <w:t>The Company has retained certain self-insurance risks with respect to losses for third party liability and property damage, including its timber assets.</w:t>
      </w:r>
    </w:p>
    <w:p>
      <w:pPr>
        <w:spacing w:after="0" w:line="162"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As of September 30, 2026 and December 31, 2025, the Company was required to provide surety bonds that guarantee completion and maintenance of certain infrastructure in certain development projects and mitigation banks, as well as other financial guarantees of $13.2 million and $14.7 million, respectively, as well as standby letters of credit in the amount of $0.7 million and $0.4 million, respectively, which may potentially result in liability to the Company if certain obligations of the Company are not met.</w:t>
      </w:r>
    </w:p>
    <w:p>
      <w:pPr>
        <w:spacing w:after="0" w:line="183" w:lineRule="exact"/>
        <w:rPr>
          <w:sz w:val="20"/>
          <w:szCs w:val="20"/>
          <w:color w:val="auto"/>
        </w:rPr>
      </w:pPr>
    </w:p>
    <w:p>
      <w:pPr>
        <w:ind w:left="60" w:right="459"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2026, the Company had a total of $120.6 million, primarily in construction and development related contractual obligations.</w:t>
      </w:r>
    </w:p>
    <w:p>
      <w:pPr>
        <w:spacing w:after="0" w:line="162"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2019, the Company’s unconsolidated Pier Park TPS JV, entered into a $14.4 million loan, as amended (the “Pier Park TPS JV Loan”). The loan bore interest at SOFR plus 2.6%. The Pier Park TPS JV entered into an interest rate swap to hedge cash flows tied to changes in the underlying floating interest rate tied to SOFR. The interest rate swap fixed the variable rate on the related debt, initially at $14.4 million to a rate of 5.2%. The interest rate swap matured in January 2026. See Note 5. </w:t>
      </w:r>
      <w:r>
        <w:rPr>
          <w:rFonts w:ascii="Times New Roman" w:cs="Times New Roman" w:eastAsia="Times New Roman" w:hAnsi="Times New Roman"/>
          <w:sz w:val="18"/>
          <w:szCs w:val="18"/>
          <w:i w:val="1"/>
          <w:iCs w:val="1"/>
          <w:color w:val="auto"/>
        </w:rPr>
        <w:t>Financial Instruments and Fair Value Measurements</w:t>
      </w:r>
      <w:r>
        <w:rPr>
          <w:rFonts w:ascii="Times New Roman" w:cs="Times New Roman" w:eastAsia="Times New Roman" w:hAnsi="Times New Roman"/>
          <w:sz w:val="18"/>
          <w:szCs w:val="18"/>
          <w:color w:val="auto"/>
        </w:rPr>
        <w:t xml:space="preserve"> for additional information.</w:t>
      </w:r>
    </w:p>
    <w:p>
      <w:pPr>
        <w:spacing w:after="0" w:line="183" w:lineRule="exact"/>
        <w:rPr>
          <w:sz w:val="20"/>
          <w:szCs w:val="20"/>
          <w:color w:val="auto"/>
        </w:rPr>
      </w:pPr>
    </w:p>
    <w:p>
      <w:pPr>
        <w:ind w:left="60" w:right="239" w:firstLine="324"/>
        <w:spacing w:after="0" w:line="271" w:lineRule="auto"/>
        <w:rPr>
          <w:sz w:val="20"/>
          <w:szCs w:val="20"/>
          <w:color w:val="auto"/>
        </w:rPr>
      </w:pPr>
      <w:r>
        <w:rPr>
          <w:rFonts w:ascii="Times New Roman" w:cs="Times New Roman" w:eastAsia="Times New Roman" w:hAnsi="Times New Roman"/>
          <w:sz w:val="17"/>
          <w:szCs w:val="17"/>
          <w:color w:val="auto"/>
        </w:rPr>
        <w:t>In April 2026, the Pier Park TPS JV amended the Pier Park TPS JV Loan, which decreased the principal balance to $10.8 million, reduced the interest rate to SOFR plus 2.1%, with a floor of 2.6%, and provides for monthly principal and interest payments with a final balloon payment at maturity in April 2031. The loan is secured by the real and personal property and certain other Security Interests. In connection with the amended loan, the Company, a wholly-owned subsidiary of the Company and the Company’s JV partner entered into a joint and several payment and performance guarantee in favor of the lender. The guarantee contains customary provisions providing for full recourse upon the occurrence of certain events. As guarantor, the Company’s liability under the loan has been reduced to 50% of the outstanding principal amount upon the project reaching and maintaining a trailing six months of operations with a certain debt service coverage ratio and can be further reduced to 25% of the outstanding principal amount upon reaching and</w:t>
      </w:r>
    </w:p>
    <w:p>
      <w:pPr>
        <w:sectPr>
          <w:pgSz w:w="11900" w:h="16838" w:orient="portrait"/>
          <w:cols w:equalWidth="0" w:num="1">
            <w:col w:w="9019"/>
          </w:cols>
          <w:pgMar w:left="1440" w:top="513" w:right="1440" w:bottom="1440" w:gutter="0" w:footer="0" w:header="0"/>
        </w:sect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459"/>
        <w:spacing w:after="0" w:line="289" w:lineRule="auto"/>
        <w:rPr>
          <w:sz w:val="20"/>
          <w:szCs w:val="20"/>
          <w:color w:val="auto"/>
        </w:rPr>
      </w:pPr>
      <w:r>
        <w:rPr>
          <w:rFonts w:ascii="Times New Roman" w:cs="Times New Roman" w:eastAsia="Times New Roman" w:hAnsi="Times New Roman"/>
          <w:sz w:val="17"/>
          <w:szCs w:val="17"/>
          <w:color w:val="auto"/>
        </w:rPr>
        <w:t xml:space="preserve">maintaining a trailing twelve months of operations with a certain debt service coverage ratio, which will be reassessed based on future performance. As of September 30, 2026 and December 31, 2025, $10.7 million and $12.8 million, respectively, was outstanding on the Pier Park TPS JV Loan. See Note 4. </w:t>
      </w:r>
      <w:r>
        <w:rPr>
          <w:rFonts w:ascii="Times New Roman" w:cs="Times New Roman" w:eastAsia="Times New Roman" w:hAnsi="Times New Roman"/>
          <w:sz w:val="17"/>
          <w:szCs w:val="17"/>
          <w:i w:val="1"/>
          <w:iCs w:val="1"/>
          <w:color w:val="auto"/>
        </w:rPr>
        <w:t>Joint Ventures</w:t>
      </w:r>
      <w:r>
        <w:rPr>
          <w:rFonts w:ascii="Times New Roman" w:cs="Times New Roman" w:eastAsia="Times New Roman" w:hAnsi="Times New Roman"/>
          <w:sz w:val="17"/>
          <w:szCs w:val="17"/>
          <w:color w:val="auto"/>
        </w:rPr>
        <w:t xml:space="preserve"> for additional information.</w:t>
      </w:r>
    </w:p>
    <w:p>
      <w:pPr>
        <w:spacing w:after="0" w:line="158"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2020, the Company’s unconsolidated Latitude Margaritaville Watersound JV, entered into a $45.0 million loan, as amended (the “Latitude Margaritaville Watersound JV Loan”). The loan bears interest at SOFR plus 2.5%, with a floor of 3.0%. The loan provides for monthly interest payments with a final balloon payment at maturity in January 2029, with an option to extend the maturity date by one year, subject to bank approval. The loan is secured by the real and personal property and certain other Security Interests. In connection with the loan, the Company and the Company’s JV partner entered into an unconditional guaranty of completion of certain homes and related improvements in favor of the lender. As of September 30, 2026 and December 31, 2025, there was no balance outstanding on the Latitude Margaritaville Watersound JV Loan. See Note 4. </w:t>
      </w:r>
      <w:r>
        <w:rPr>
          <w:rFonts w:ascii="Times New Roman" w:cs="Times New Roman" w:eastAsia="Times New Roman" w:hAnsi="Times New Roman"/>
          <w:sz w:val="18"/>
          <w:szCs w:val="18"/>
          <w:i w:val="1"/>
          <w:iCs w:val="1"/>
          <w:color w:val="auto"/>
        </w:rPr>
        <w:t>Joint Ventures</w:t>
      </w:r>
      <w:r>
        <w:rPr>
          <w:rFonts w:ascii="Times New Roman" w:cs="Times New Roman" w:eastAsia="Times New Roman" w:hAnsi="Times New Roman"/>
          <w:sz w:val="18"/>
          <w:szCs w:val="18"/>
          <w:color w:val="auto"/>
        </w:rPr>
        <w:t xml:space="preserve"> for additional information.</w:t>
      </w:r>
    </w:p>
    <w:p>
      <w:pPr>
        <w:spacing w:after="0" w:line="192" w:lineRule="exact"/>
        <w:rPr>
          <w:sz w:val="20"/>
          <w:szCs w:val="20"/>
          <w:color w:val="auto"/>
        </w:rPr>
      </w:pPr>
    </w:p>
    <w:p>
      <w:pPr>
        <w:ind w:left="60" w:right="119" w:firstLine="324"/>
        <w:spacing w:after="0" w:line="252" w:lineRule="auto"/>
        <w:rPr>
          <w:sz w:val="20"/>
          <w:szCs w:val="20"/>
          <w:color w:val="auto"/>
        </w:rPr>
      </w:pPr>
      <w:r>
        <w:rPr>
          <w:rFonts w:ascii="Times New Roman" w:cs="Times New Roman" w:eastAsia="Times New Roman" w:hAnsi="Times New Roman"/>
          <w:sz w:val="18"/>
          <w:szCs w:val="18"/>
          <w:color w:val="auto"/>
        </w:rPr>
        <w:t xml:space="preserve">In 2021, the Company’s unconsolidated Watersound Fountains Independent Living JV, entered into a $41.9 million loan, as amended (the “Watersound Fountains JV Loan”). In September 2026, the Watersound Fountains JV Loan was refinanced, which increased the principal amount of the loan from $40.6 million to $41.0 million and fixed the interest rate to 6.3%. The loan, as refinanced, provides for interest only payments for the first twenty-four months and monthly principal and interest payments thereafter with a final balloon payment at maturity in September 2031. The loan is secured by the real property and certain other Security Interests. In connection with the loan, the Company executed a guarantee in favor of the lender to guarantee the payment and performance of the borrower under the Watersound Fountains JV Loan. As guarantor, the Company’s liability under the loan can be reduced to 50% of the outstanding principal amount upon the project reaching and maintaining a certain debt service coverage ratio for a trailing six months of operations period, which will be reassessed based on future performance. The guarantee contains customary provisions providing for full recourse upon the occurrence of certain events. The Company, as the guarantor, receives a quarterly fee related to the guarantee from its JV partners based on the JV partners’ ownership percentage. As of September 30, 2026 and December 31, 2025, $41.0 million and $41.2 million, respectively, was outstanding on the Watersound Fountains JV Loan. See Note 4. </w:t>
      </w:r>
      <w:r>
        <w:rPr>
          <w:rFonts w:ascii="Times New Roman" w:cs="Times New Roman" w:eastAsia="Times New Roman" w:hAnsi="Times New Roman"/>
          <w:sz w:val="18"/>
          <w:szCs w:val="18"/>
          <w:i w:val="1"/>
          <w:iCs w:val="1"/>
          <w:color w:val="auto"/>
        </w:rPr>
        <w:t>Joint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Ventures </w:t>
      </w:r>
      <w:r>
        <w:rPr>
          <w:rFonts w:ascii="Times New Roman" w:cs="Times New Roman" w:eastAsia="Times New Roman" w:hAnsi="Times New Roman"/>
          <w:sz w:val="18"/>
          <w:szCs w:val="18"/>
          <w:color w:val="auto"/>
        </w:rPr>
        <w:t>for additional information.</w:t>
      </w:r>
    </w:p>
    <w:p>
      <w:pPr>
        <w:spacing w:after="0" w:line="197"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 xml:space="preserve">In 2022, the Company’s unconsolidated Electric Cart Watersound JV, entered into a $5.4 million loan (the “Electric Cart Watersound JV Loan”). The loan bears interest at SOFR plus 1.8%, with a floor of 2.1%. The loan provides for monthly principal and interest payments with a final balloon payment at maturity in September 2032. The loan is secured by the real property and certain other Security Interests. In connection with the loan, the Company, a wholly-owned subsidiary of the Company and the Electric Cart Watersound JV entered into a joint and several payment and performance guarantee in favor of the lender. The Company’s liability as guarantor under the loan can be reduced to 50% of the outstanding principal balance upon reaching a certain debt service coverage and other conditions. The Company is the sole guarantor and receives a quarterly fee related to the guarantee from its JV partner based on the JV partner’s ownership percentage. As of September 30, 2026 and December 31, 2025, $4.2 million and $4.3 million, respectively, was outstanding on the Electric Cart Watersound JV Loan. See Note 4. </w:t>
      </w:r>
      <w:r>
        <w:rPr>
          <w:rFonts w:ascii="Times New Roman" w:cs="Times New Roman" w:eastAsia="Times New Roman" w:hAnsi="Times New Roman"/>
          <w:sz w:val="18"/>
          <w:szCs w:val="18"/>
          <w:i w:val="1"/>
          <w:iCs w:val="1"/>
          <w:color w:val="auto"/>
        </w:rPr>
        <w:t>Joint Ventures</w:t>
      </w:r>
      <w:r>
        <w:rPr>
          <w:rFonts w:ascii="Times New Roman" w:cs="Times New Roman" w:eastAsia="Times New Roman" w:hAnsi="Times New Roman"/>
          <w:sz w:val="18"/>
          <w:szCs w:val="18"/>
          <w:color w:val="auto"/>
        </w:rPr>
        <w:t xml:space="preserve"> for additional information.</w:t>
      </w:r>
    </w:p>
    <w:p>
      <w:pPr>
        <w:spacing w:after="0" w:line="194" w:lineRule="exact"/>
        <w:rPr>
          <w:sz w:val="20"/>
          <w:szCs w:val="20"/>
          <w:color w:val="auto"/>
        </w:rPr>
      </w:pPr>
    </w:p>
    <w:p>
      <w:pPr>
        <w:ind w:left="60" w:right="299" w:firstLine="324"/>
        <w:spacing w:after="0" w:line="261" w:lineRule="auto"/>
        <w:rPr>
          <w:sz w:val="20"/>
          <w:szCs w:val="20"/>
          <w:color w:val="auto"/>
        </w:rPr>
      </w:pPr>
      <w:r>
        <w:rPr>
          <w:rFonts w:ascii="Times New Roman" w:cs="Times New Roman" w:eastAsia="Times New Roman" w:hAnsi="Times New Roman"/>
          <w:sz w:val="18"/>
          <w:szCs w:val="18"/>
          <w:color w:val="auto"/>
        </w:rPr>
        <w:t>The Company has assessed the need to record a liability for the guarantees related to the Company’s unconsolidated JVs and did not record an obligation as of both September 30, 2026 and December 31, 2025. As of both</w:t>
      </w:r>
    </w:p>
    <w:p>
      <w:pPr>
        <w:ind w:left="60" w:right="199"/>
        <w:spacing w:after="0" w:line="255" w:lineRule="auto"/>
        <w:rPr>
          <w:sz w:val="20"/>
          <w:szCs w:val="20"/>
          <w:color w:val="auto"/>
        </w:rPr>
      </w:pPr>
      <w:r>
        <w:rPr>
          <w:rFonts w:ascii="Times New Roman" w:cs="Times New Roman" w:eastAsia="Times New Roman" w:hAnsi="Times New Roman"/>
          <w:sz w:val="18"/>
          <w:szCs w:val="18"/>
          <w:color w:val="auto"/>
        </w:rPr>
        <w:t>September 30, 2026 and December 31, 2025, allowance for credit losses related to the contingent aspect of these guarantees, based on historical experience and economic trends, was $0.1 million and is included within accounts payable and other liabilities on the condensed consolidated balance sheets.</w:t>
      </w:r>
    </w:p>
    <w:p>
      <w:pPr>
        <w:spacing w:after="0" w:line="186" w:lineRule="exact"/>
        <w:rPr>
          <w:sz w:val="20"/>
          <w:szCs w:val="20"/>
          <w:color w:val="auto"/>
        </w:rPr>
      </w:pPr>
    </w:p>
    <w:p>
      <w:pPr>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 xml:space="preserve">As part of a certain sale of forestry land in 2014, the Company generated significant tax gains. The installment note’s structure allowed the Company to defer the resulting federal and state tax liability of $45.6 million until 2029, the maturity date for the installment note. The Company has a deferred tax liability related to the gain in connection with the sale. At the maturity date of the installment note in 2029, the $200.0 million time deposit included in investments held by special purpose entities will be used to pay the $180.0 million of principal for the Senior Notes held by special purpose entity and the remaining $20.0 million will become available to the Company, which can be used to pay a portion of the tax liability. See Note 5. </w:t>
      </w:r>
      <w:r>
        <w:rPr>
          <w:rFonts w:ascii="Times New Roman" w:cs="Times New Roman" w:eastAsia="Times New Roman" w:hAnsi="Times New Roman"/>
          <w:sz w:val="18"/>
          <w:szCs w:val="18"/>
          <w:i w:val="1"/>
          <w:iCs w:val="1"/>
          <w:color w:val="auto"/>
        </w:rPr>
        <w:t>Financial Instruments and Fair Value Measurements</w:t>
      </w:r>
      <w:r>
        <w:rPr>
          <w:rFonts w:ascii="Times New Roman" w:cs="Times New Roman" w:eastAsia="Times New Roman" w:hAnsi="Times New Roman"/>
          <w:sz w:val="18"/>
          <w:szCs w:val="18"/>
          <w:color w:val="auto"/>
        </w:rPr>
        <w:t xml:space="preserve"> for additional information.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18. Related Party Transactions</w:t>
      </w:r>
    </w:p>
    <w:p>
      <w:pPr>
        <w:spacing w:after="0" w:line="229"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 xml:space="preserve">The Company provides land, mitigation bank credits, impact and other fees, property for lease and services to certain unconsolidated JVs. The Company recognized revenue related to these transactions of $31.7 million and $0.5 million during the three months ended September 30, 2026 and 2025, respectively, and $32.7 million and $2.1 million during the nine months ended September 30, 2026 and 2025, respectively. Revenue for each of the three and nine months ended September 30, 2026, includes $31.4 million related to the initial net present value of an additional land sale to the Latitude Margaritaville Watersound JV. Cost of real estate revenue for each of the three and nine months ended September 30, 2026, includes $9.6 million related to an additional land sale to the Latitude Margaritaville Watersound JV. During each of the three and nine months ended September 30, 2026, the Company also eliminated intra-entity profit, based on its ownership interest, of $10.9 million in investment in unconsolidated joint ventures on the condensed consolidated balance sheets and equity in (loss) income from unconsolidated joint ventures on the condensed consolidated statements of income, a pro-rata portion of which will be recognized as each home on the land is sold by the JV. As of both September 30, 2026 and December 31, 2025, receivables from unconsolidated JVs were $0.1 million. See Note 4. </w:t>
      </w:r>
      <w:r>
        <w:rPr>
          <w:rFonts w:ascii="Times New Roman" w:cs="Times New Roman" w:eastAsia="Times New Roman" w:hAnsi="Times New Roman"/>
          <w:sz w:val="18"/>
          <w:szCs w:val="18"/>
          <w:i w:val="1"/>
          <w:iCs w:val="1"/>
          <w:color w:val="auto"/>
        </w:rPr>
        <w:t>Joint Ventures</w:t>
      </w:r>
      <w:r>
        <w:rPr>
          <w:rFonts w:ascii="Times New Roman" w:cs="Times New Roman" w:eastAsia="Times New Roman" w:hAnsi="Times New Roman"/>
          <w:sz w:val="18"/>
          <w:szCs w:val="18"/>
          <w:color w:val="auto"/>
        </w:rPr>
        <w:t xml:space="preserve"> and Note 15. </w:t>
      </w: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(Expense) Income, Net </w:t>
      </w:r>
      <w:r>
        <w:rPr>
          <w:rFonts w:ascii="Times New Roman" w:cs="Times New Roman" w:eastAsia="Times New Roman" w:hAnsi="Times New Roman"/>
          <w:sz w:val="18"/>
          <w:szCs w:val="18"/>
          <w:color w:val="auto"/>
        </w:rPr>
        <w:t>for additional information.</w:t>
      </w:r>
    </w:p>
    <w:p>
      <w:pPr>
        <w:spacing w:after="0" w:line="187"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Watersound Management JV provides leasing management services for the Company’s multi-family communities. The Company incurred expense related to these transactions of $0.7 million during each of the three months ended September 30, 2026 and 2025 and $2.0 million and $1.9 million, respectively, during the nine months ended September 30, 2026 and 2025. See Note 4. </w:t>
      </w:r>
      <w:r>
        <w:rPr>
          <w:rFonts w:ascii="Times New Roman" w:cs="Times New Roman" w:eastAsia="Times New Roman" w:hAnsi="Times New Roman"/>
          <w:sz w:val="18"/>
          <w:szCs w:val="18"/>
          <w:i w:val="1"/>
          <w:iCs w:val="1"/>
          <w:color w:val="auto"/>
        </w:rPr>
        <w:t>Joint Ventures</w:t>
      </w:r>
      <w:r>
        <w:rPr>
          <w:rFonts w:ascii="Times New Roman" w:cs="Times New Roman" w:eastAsia="Times New Roman" w:hAnsi="Times New Roman"/>
          <w:sz w:val="18"/>
          <w:szCs w:val="18"/>
          <w:color w:val="auto"/>
        </w:rPr>
        <w:t xml:space="preserve"> for additional information.</w:t>
      </w:r>
    </w:p>
    <w:p>
      <w:pPr>
        <w:spacing w:after="0" w:line="180"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Company incurred land development and planning costs reimbursements to the Latitude Margaritaville Watersound JV of less than $0.1 million and $0.3 million during the three months ended September 30, 2026 and 2025, respectively, and less than $0.1 million and $1.4 million during the nine months ended September 30, 2026 and 2025, respectively, which were primarily included in investment in real estate, net on the condensed consolidated balance sheets. As of September 30, 2026, there were no payables to related parties. As of December 31, 2025, $0.1 million was payable to the Latitude Margaritaville Watersound JV. See Note 4. </w:t>
      </w:r>
      <w:r>
        <w:rPr>
          <w:rFonts w:ascii="Times New Roman" w:cs="Times New Roman" w:eastAsia="Times New Roman" w:hAnsi="Times New Roman"/>
          <w:sz w:val="18"/>
          <w:szCs w:val="18"/>
          <w:i w:val="1"/>
          <w:iCs w:val="1"/>
          <w:color w:val="auto"/>
        </w:rPr>
        <w:t>Joint Ventures</w:t>
      </w:r>
      <w:r>
        <w:rPr>
          <w:rFonts w:ascii="Times New Roman" w:cs="Times New Roman" w:eastAsia="Times New Roman" w:hAnsi="Times New Roman"/>
          <w:sz w:val="18"/>
          <w:szCs w:val="18"/>
          <w:color w:val="auto"/>
        </w:rPr>
        <w:t xml:space="preserve"> for additional information.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19. Subsequent Events</w:t>
      </w:r>
    </w:p>
    <w:p>
      <w:pPr>
        <w:spacing w:after="0" w:line="229" w:lineRule="exact"/>
        <w:rPr>
          <w:sz w:val="20"/>
          <w:szCs w:val="20"/>
          <w:color w:val="auto"/>
        </w:rPr>
      </w:pPr>
    </w:p>
    <w:p>
      <w:pPr>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On October 28, 2026, the Company’s Board of Directors declared a cash dividend of $0.18 per share on the Company’s common stock, payable on December 11, 2026, to shareholders of record at the close of business on November 12, 2026.</w:t>
      </w:r>
    </w:p>
    <w:p>
      <w:pPr>
        <w:spacing w:after="0" w:line="280"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227"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accompanying unaudited condensed consolidated financial statements and related notes in Item 1 and with the audited consolidated financial statements and the related notes included in our Annual Report on Form 10-K. The statements in this discussion regarding industry outlook, our expectations regarding our future performance, liquidity and capital resources and other non-historical statements are forward-looking statements. These forward-looking statements are subject to risks and uncertainties, including the risks and uncertainties described in “Forward-Looking Statements” below and “Risk Factors” beginning on page 7 of our Annual Report on Form 10-K. Our actual results may differ materially from those contained in or implied by any forward-looking statements. We assume no obligation to revise or publicly release any revision to any forward-looking statements contained in this Quarterly Report on Form 10-Q, unless required by law.</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ind w:left="60" w:right="259" w:firstLine="324"/>
        <w:spacing w:after="0" w:line="258" w:lineRule="auto"/>
        <w:rPr>
          <w:sz w:val="20"/>
          <w:szCs w:val="20"/>
          <w:color w:val="auto"/>
        </w:rPr>
      </w:pPr>
      <w:r>
        <w:rPr>
          <w:rFonts w:ascii="Times New Roman" w:cs="Times New Roman" w:eastAsia="Times New Roman" w:hAnsi="Times New Roman"/>
          <w:sz w:val="18"/>
          <w:szCs w:val="18"/>
          <w:color w:val="auto"/>
        </w:rPr>
        <w:t>St. Joe is a diversified Florida real estate development, asset management and operating company with all of its real estate assets and operations in Northwest Florida. We intend to use existing assets for residential, hospitality and commercial ventures. We have significant residential and commercial land-use entitlements. We actively seek higher and better uses for our real estate assets through a range of development activities. As part of our core business strategy, we have created a meaningful portion of our business through JVs. We enter into these arrangements for the purposes of</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 xml:space="preserve">developing real estate and other business activities, which we believe allows us to complement our growth strategy, leverage industry expertise and diversify our business. We may partner with or explore the sale of discrete assets, such as our sale of a senior living community property in September 2025, in order to optimize resource allocation and maximize value. See Note 4. </w:t>
      </w:r>
      <w:r>
        <w:rPr>
          <w:rFonts w:ascii="Times New Roman" w:cs="Times New Roman" w:eastAsia="Times New Roman" w:hAnsi="Times New Roman"/>
          <w:sz w:val="18"/>
          <w:szCs w:val="18"/>
          <w:i w:val="1"/>
          <w:iCs w:val="1"/>
          <w:color w:val="auto"/>
        </w:rPr>
        <w:t>Joint Ventures</w:t>
      </w:r>
      <w:r>
        <w:rPr>
          <w:rFonts w:ascii="Times New Roman" w:cs="Times New Roman" w:eastAsia="Times New Roman" w:hAnsi="Times New Roman"/>
          <w:sz w:val="18"/>
          <w:szCs w:val="18"/>
          <w:color w:val="auto"/>
        </w:rPr>
        <w:t xml:space="preserve"> for additional information. We seek to continue to enhance the value of our owned real estate assets by developing residential, hospitality and commercial projects to meet market demand. Approximately 87% of our real estate is located in Florida’s Bay, Gulf, and Walton counties. Approximately 90% of our real estate land holdings are located within fifteen miles of the Gulf.</w:t>
      </w:r>
    </w:p>
    <w:p>
      <w:pPr>
        <w:spacing w:after="0" w:line="189" w:lineRule="exact"/>
        <w:rPr>
          <w:sz w:val="20"/>
          <w:szCs w:val="20"/>
          <w:color w:val="auto"/>
        </w:rPr>
      </w:pPr>
    </w:p>
    <w:p>
      <w:pPr>
        <w:ind w:left="60" w:right="99" w:firstLine="324"/>
        <w:spacing w:after="0" w:line="270" w:lineRule="auto"/>
        <w:rPr>
          <w:sz w:val="20"/>
          <w:szCs w:val="20"/>
          <w:color w:val="auto"/>
        </w:rPr>
      </w:pPr>
      <w:r>
        <w:rPr>
          <w:rFonts w:ascii="Times New Roman" w:cs="Times New Roman" w:eastAsia="Times New Roman" w:hAnsi="Times New Roman"/>
          <w:sz w:val="17"/>
          <w:szCs w:val="17"/>
          <w:color w:val="auto"/>
        </w:rPr>
        <w:t>We believe our present capital structure, liquidity and land provide us with years of opportunities to increase recurring revenue and long-term value for our shareholders. We intend to continue to focus on our core business activity of real estate development, asset management and operations by developing long-term, scalable residential communities, growing our hospitality offerings and expanding our portfolio of income producing commercial properties. In addition, we operate a real estate brokerage business, title insurance agency and insurance agency business. We continue to develop a broad range of asset types that we believe will provide acceptable rates of return, grow recurring revenues and support future business. Capital commitments will be funded with cash proceeds from completed projects, existing cash, owned-land, partner capital and financing arrangements. These investments are made with a long-term value creation perspective. Timing of projects may be subject to delays caused by factors beyond our control. We may also choose to operate rather than lease assets, lease rather than sell assets, or sell improved rather than unimproved land that may delay revenue and profits.</w:t>
      </w:r>
    </w:p>
    <w:p>
      <w:pPr>
        <w:spacing w:after="0" w:line="177" w:lineRule="exact"/>
        <w:rPr>
          <w:sz w:val="20"/>
          <w:szCs w:val="20"/>
          <w:color w:val="auto"/>
        </w:rPr>
      </w:pPr>
    </w:p>
    <w:p>
      <w:pPr>
        <w:jc w:val="both"/>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Our real estate investment strategy focuses on projects that meet long-term risk-adjusted return criteria. Our practice is to only incur such expenditures when our analysis indicates that a project will generate a return equal to or greater than the threshold return over its life.</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Highlights for the third quarter of 2026 compared to the third quarter of 2025 include:</w:t>
      </w:r>
    </w:p>
    <w:p>
      <w:pPr>
        <w:spacing w:after="0" w:line="229" w:lineRule="exact"/>
        <w:rPr>
          <w:sz w:val="20"/>
          <w:szCs w:val="20"/>
          <w:color w:val="auto"/>
        </w:rPr>
      </w:pPr>
    </w:p>
    <w:p>
      <w:pPr>
        <w:ind w:left="920" w:right="319" w:hanging="330"/>
        <w:spacing w:after="0" w:line="281" w:lineRule="auto"/>
        <w:tabs>
          <w:tab w:leader="none" w:pos="9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net income decreased by 4.7% to $36.9 million, or $0.65 per share, during the three months ended September 30, 2026, from $38.7 million, or $0.67 per share in the same period in 2025.</w:t>
      </w:r>
    </w:p>
    <w:p>
      <w:pPr>
        <w:spacing w:after="0" w:line="1" w:lineRule="exact"/>
        <w:rPr>
          <w:rFonts w:ascii="Times New Roman" w:cs="Times New Roman" w:eastAsia="Times New Roman" w:hAnsi="Times New Roman"/>
          <w:sz w:val="18"/>
          <w:szCs w:val="18"/>
          <w:color w:val="auto"/>
        </w:rPr>
      </w:pPr>
    </w:p>
    <w:p>
      <w:pPr>
        <w:ind w:left="920" w:right="379" w:hanging="330"/>
        <w:spacing w:after="0" w:line="281" w:lineRule="auto"/>
        <w:tabs>
          <w:tab w:leader="none" w:pos="9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increased by 16.3% to $61.5 million during the three months ended September 30, 2026, from $52.9 million in the same period in 2025.</w:t>
      </w:r>
    </w:p>
    <w:p>
      <w:pPr>
        <w:spacing w:after="0" w:line="1" w:lineRule="exact"/>
        <w:rPr>
          <w:rFonts w:ascii="Times New Roman" w:cs="Times New Roman" w:eastAsia="Times New Roman" w:hAnsi="Times New Roman"/>
          <w:sz w:val="18"/>
          <w:szCs w:val="18"/>
          <w:color w:val="auto"/>
        </w:rPr>
      </w:pPr>
    </w:p>
    <w:p>
      <w:pPr>
        <w:ind w:left="920" w:right="339" w:hanging="330"/>
        <w:spacing w:after="0" w:line="281" w:lineRule="auto"/>
        <w:tabs>
          <w:tab w:leader="none" w:pos="9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revenue decreased by 3.0% to $156.2 million during the three months ended September 30, 2026, from $161.1 million in the same period in 2025.</w:t>
      </w:r>
    </w:p>
    <w:p>
      <w:pPr>
        <w:spacing w:after="0" w:line="1" w:lineRule="exact"/>
        <w:rPr>
          <w:rFonts w:ascii="Times New Roman" w:cs="Times New Roman" w:eastAsia="Times New Roman" w:hAnsi="Times New Roman"/>
          <w:sz w:val="18"/>
          <w:szCs w:val="18"/>
          <w:color w:val="auto"/>
        </w:rPr>
      </w:pPr>
    </w:p>
    <w:p>
      <w:pPr>
        <w:ind w:left="920" w:right="339" w:hanging="330"/>
        <w:spacing w:after="0" w:line="281" w:lineRule="auto"/>
        <w:tabs>
          <w:tab w:leader="none" w:pos="9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revenue decreased by 9.2% to $76.1 million during the three months ended September 30, 2026, from $83.8 million in the same period in 2025.</w:t>
      </w:r>
    </w:p>
    <w:p>
      <w:pPr>
        <w:spacing w:after="0" w:line="1" w:lineRule="exact"/>
        <w:rPr>
          <w:rFonts w:ascii="Times New Roman" w:cs="Times New Roman" w:eastAsia="Times New Roman" w:hAnsi="Times New Roman"/>
          <w:sz w:val="18"/>
          <w:szCs w:val="18"/>
          <w:color w:val="auto"/>
        </w:rPr>
      </w:pPr>
    </w:p>
    <w:p>
      <w:pPr>
        <w:ind w:left="920" w:right="119" w:hanging="330"/>
        <w:spacing w:after="0" w:line="281" w:lineRule="auto"/>
        <w:tabs>
          <w:tab w:leader="none" w:pos="9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Hospitality revenue increased by 8.9% to a third quarter record of $66.0 million during the three months ended September 30, 2026, from $60.6 million in the same period in 2025.</w:t>
      </w:r>
    </w:p>
    <w:p>
      <w:pPr>
        <w:spacing w:after="0" w:line="1" w:lineRule="exact"/>
        <w:rPr>
          <w:rFonts w:ascii="Times New Roman" w:cs="Times New Roman" w:eastAsia="Times New Roman" w:hAnsi="Times New Roman"/>
          <w:sz w:val="18"/>
          <w:szCs w:val="18"/>
          <w:color w:val="auto"/>
        </w:rPr>
      </w:pPr>
    </w:p>
    <w:p>
      <w:pPr>
        <w:jc w:val="both"/>
        <w:ind w:left="920" w:right="519" w:hanging="330"/>
        <w:spacing w:after="0" w:line="312" w:lineRule="auto"/>
        <w:tabs>
          <w:tab w:leader="none" w:pos="9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third quarter of 2026, we repurchased $27.2 million of our common stock (412,800 shares), funded $22.8 million in capital expenditures, paid $9.1 million in cash dividends and repaid $8.8 million of debt.</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Market Conditions</w:t>
      </w:r>
    </w:p>
    <w:p>
      <w:pPr>
        <w:spacing w:after="0" w:line="229"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While macroeconomic factors such as uncertainty over tariffs, continued inflation, geopolitical conflicts, rising interest rates, elevated fuel costs and higher insurance costs for consumers and overall consumer confidence, among other things, continued to produce economic headwinds and impacted buyer sentiment in many parts of the country, our segments continued to generate positive financial results through the first nine months of 2026. We believe this is primarily due to the continued growth of Northwest Florida as a result of net migration, which we attribute to the region’s high quality of life, natural beauty and outstanding amenities.</w:t>
      </w:r>
    </w:p>
    <w:p>
      <w:pPr>
        <w:spacing w:after="0" w:line="187"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Rising interest rates, market conditions in home states, and higher insurance costs have negatively impacted or delayed the ability of some buyers to obtain financing or sell their existing homes in their home states. The negative impact has been partially offset by the net migration into our markets and the number of cash buyers. In addition, we have not experienced an increase in cancellation rates as homebuilders have continued to perform on their contractual obligations with us.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559" w:firstLine="324"/>
        <w:spacing w:after="0" w:line="282" w:lineRule="auto"/>
        <w:rPr>
          <w:sz w:val="20"/>
          <w:szCs w:val="20"/>
          <w:color w:val="auto"/>
        </w:rPr>
      </w:pPr>
      <w:r>
        <w:rPr>
          <w:rFonts w:ascii="Times New Roman" w:cs="Times New Roman" w:eastAsia="Times New Roman" w:hAnsi="Times New Roman"/>
          <w:sz w:val="18"/>
          <w:szCs w:val="18"/>
          <w:color w:val="auto"/>
        </w:rPr>
        <w:t>Given our diverse portfolio of residential holdings, the mix of sales and pricing from different communities may impact revenue and margins period over period, as discussed in more detail below.</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Reportable Segments</w:t>
      </w:r>
    </w:p>
    <w:p>
      <w:pPr>
        <w:spacing w:after="0" w:line="229" w:lineRule="exact"/>
        <w:rPr>
          <w:sz w:val="20"/>
          <w:szCs w:val="20"/>
          <w:color w:val="auto"/>
        </w:rPr>
      </w:pPr>
    </w:p>
    <w:p>
      <w:pPr>
        <w:ind w:left="60" w:right="119" w:firstLine="324"/>
        <w:spacing w:after="0" w:line="282" w:lineRule="auto"/>
        <w:rPr>
          <w:sz w:val="20"/>
          <w:szCs w:val="20"/>
          <w:color w:val="auto"/>
        </w:rPr>
      </w:pPr>
      <w:r>
        <w:rPr>
          <w:rFonts w:ascii="Times New Roman" w:cs="Times New Roman" w:eastAsia="Times New Roman" w:hAnsi="Times New Roman"/>
          <w:sz w:val="18"/>
          <w:szCs w:val="18"/>
          <w:color w:val="auto"/>
        </w:rPr>
        <w:t>We conduct primarily all of our business in the following three reportable segments: (1) residential, (2) hospitality and (3) commercial.</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the relative contribution of these reportable segments to our consolidated revenue:</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680" w:type="dxa"/>
            <w:vAlign w:val="bottom"/>
          </w:tcPr>
          <w:p>
            <w:pPr>
              <w:spacing w:after="0"/>
              <w:rPr>
                <w:sz w:val="15"/>
                <w:szCs w:val="15"/>
                <w:color w:val="auto"/>
              </w:rPr>
            </w:pPr>
          </w:p>
        </w:tc>
        <w:tc>
          <w:tcPr>
            <w:tcW w:w="3680" w:type="dxa"/>
            <w:vAlign w:val="bottom"/>
            <w:gridSpan w:val="7"/>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540" w:type="dxa"/>
            <w:vAlign w:val="bottom"/>
            <w:gridSpan w:val="5"/>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2680" w:type="dxa"/>
            <w:vAlign w:val="bottom"/>
            <w:tcBorders>
              <w:bottom w:val="single" w:sz="8" w:color="CCEEFF"/>
            </w:tcBorders>
          </w:tcPr>
          <w:p>
            <w:pPr>
              <w:spacing w:after="0"/>
              <w:rPr>
                <w:sz w:val="12"/>
                <w:szCs w:val="12"/>
                <w:color w:val="auto"/>
              </w:rPr>
            </w:pPr>
          </w:p>
        </w:tc>
        <w:tc>
          <w:tcPr>
            <w:tcW w:w="106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top w:val="single" w:sz="8" w:color="auto"/>
              <w:bottom w:val="single" w:sz="8" w:color="auto"/>
            </w:tcBorders>
          </w:tcPr>
          <w:p>
            <w:pPr>
              <w:spacing w:after="0"/>
              <w:rPr>
                <w:sz w:val="12"/>
                <w:szCs w:val="12"/>
                <w:color w:val="auto"/>
              </w:rPr>
            </w:pPr>
          </w:p>
        </w:tc>
        <w:tc>
          <w:tcPr>
            <w:tcW w:w="280" w:type="dxa"/>
            <w:vAlign w:val="bottom"/>
            <w:tcBorders>
              <w:bottom w:val="single" w:sz="8" w:color="CCEEFF"/>
            </w:tcBorders>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bottom w:val="single" w:sz="8" w:color="CCEEFF"/>
            </w:tcBorders>
          </w:tcPr>
          <w:p>
            <w:pPr>
              <w:spacing w:after="0"/>
              <w:rPr>
                <w:sz w:val="12"/>
                <w:szCs w:val="12"/>
                <w:color w:val="auto"/>
              </w:rPr>
            </w:pPr>
          </w:p>
        </w:tc>
      </w:tr>
      <w:tr>
        <w:trPr>
          <w:trHeight w:val="209"/>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Residential</w:t>
            </w: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w w:val="97"/>
              </w:rPr>
              <w:t>29.6 %</w:t>
            </w:r>
          </w:p>
        </w:tc>
        <w:tc>
          <w:tcPr>
            <w:tcW w:w="660" w:type="dxa"/>
            <w:vAlign w:val="bottom"/>
          </w:tcPr>
          <w:p>
            <w:pPr>
              <w:spacing w:after="0"/>
              <w:rPr>
                <w:sz w:val="18"/>
                <w:szCs w:val="18"/>
                <w:color w:val="auto"/>
              </w:rPr>
            </w:pPr>
          </w:p>
        </w:tc>
        <w:tc>
          <w:tcPr>
            <w:tcW w:w="64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w w:val="97"/>
              </w:rPr>
              <w:t>22.8 %</w:t>
            </w:r>
          </w:p>
        </w:tc>
        <w:tc>
          <w:tcPr>
            <w:tcW w:w="128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30.8 %</w:t>
            </w:r>
          </w:p>
        </w:tc>
        <w:tc>
          <w:tcPr>
            <w:tcW w:w="1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28.1 %</w:t>
            </w:r>
          </w:p>
        </w:tc>
      </w:tr>
      <w:tr>
        <w:trPr>
          <w:trHeight w:val="216"/>
        </w:trPr>
        <w:tc>
          <w:tcPr>
            <w:tcW w:w="2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Hospitality</w:t>
            </w: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97"/>
              </w:rPr>
              <w:t>43.0 %</w:t>
            </w:r>
          </w:p>
        </w:tc>
        <w:tc>
          <w:tcPr>
            <w:tcW w:w="6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97"/>
              </w:rPr>
              <w:t>38.3 %</w:t>
            </w:r>
          </w:p>
        </w:tc>
        <w:tc>
          <w:tcPr>
            <w:tcW w:w="1280" w:type="dxa"/>
            <w:vAlign w:val="bottom"/>
            <w:gridSpan w:val="3"/>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47.1 %</w:t>
            </w:r>
          </w:p>
        </w:tc>
        <w:tc>
          <w:tcPr>
            <w:tcW w:w="12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45.1 %</w:t>
            </w:r>
          </w:p>
        </w:tc>
      </w:tr>
      <w:tr>
        <w:trPr>
          <w:trHeight w:val="216"/>
        </w:trPr>
        <w:tc>
          <w:tcPr>
            <w:tcW w:w="2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w:t>
            </w: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w w:val="97"/>
              </w:rPr>
              <w:t>23.3 %</w:t>
            </w:r>
          </w:p>
        </w:tc>
        <w:tc>
          <w:tcPr>
            <w:tcW w:w="660" w:type="dxa"/>
            <w:vAlign w:val="bottom"/>
          </w:tcPr>
          <w:p>
            <w:pPr>
              <w:spacing w:after="0"/>
              <w:rPr>
                <w:sz w:val="18"/>
                <w:szCs w:val="18"/>
                <w:color w:val="auto"/>
              </w:rPr>
            </w:pPr>
          </w:p>
        </w:tc>
        <w:tc>
          <w:tcPr>
            <w:tcW w:w="64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w w:val="97"/>
              </w:rPr>
              <w:t>37.6 %</w:t>
            </w:r>
          </w:p>
        </w:tc>
        <w:tc>
          <w:tcPr>
            <w:tcW w:w="128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18.2 %</w:t>
            </w:r>
          </w:p>
        </w:tc>
        <w:tc>
          <w:tcPr>
            <w:tcW w:w="1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25.6 %</w:t>
            </w:r>
          </w:p>
        </w:tc>
      </w:tr>
      <w:tr>
        <w:trPr>
          <w:trHeight w:val="216"/>
        </w:trPr>
        <w:tc>
          <w:tcPr>
            <w:tcW w:w="2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4.1 %</w:t>
            </w:r>
          </w:p>
        </w:tc>
        <w:tc>
          <w:tcPr>
            <w:tcW w:w="6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1.3 %</w:t>
            </w:r>
          </w:p>
        </w:tc>
        <w:tc>
          <w:tcPr>
            <w:tcW w:w="6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3.9 %</w:t>
            </w:r>
          </w:p>
        </w:tc>
        <w:tc>
          <w:tcPr>
            <w:tcW w:w="12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1.2 %</w:t>
            </w:r>
          </w:p>
        </w:tc>
      </w:tr>
      <w:tr>
        <w:trPr>
          <w:trHeight w:val="209"/>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revenue</w:t>
            </w:r>
          </w:p>
        </w:tc>
        <w:tc>
          <w:tcPr>
            <w:tcW w:w="1060" w:type="dxa"/>
            <w:vAlign w:val="bottom"/>
          </w:tcPr>
          <w:p>
            <w:pPr>
              <w:spacing w:after="0"/>
              <w:rPr>
                <w:sz w:val="18"/>
                <w:szCs w:val="18"/>
                <w:color w:val="auto"/>
              </w:rPr>
            </w:pP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80" w:type="dxa"/>
            <w:vAlign w:val="bottom"/>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80" w:type="dxa"/>
            <w:vAlign w:val="bottom"/>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80" w:type="dxa"/>
            <w:vAlign w:val="bottom"/>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For more information regarding our reportable segments see Note 16.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Residential Segment</w:t>
      </w:r>
    </w:p>
    <w:p>
      <w:pPr>
        <w:spacing w:after="0" w:line="229" w:lineRule="exact"/>
        <w:rPr>
          <w:sz w:val="20"/>
          <w:szCs w:val="20"/>
          <w:color w:val="auto"/>
        </w:rPr>
      </w:pPr>
    </w:p>
    <w:p>
      <w:pPr>
        <w:jc w:val="both"/>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Our residential segment primarily plans and develops residential communities of various sizes across a wide range of price points and sells homesites to homebuilders or retail consumers. Our residential segment also evaluates opportunities to enter into JV agreements for specific communities such as Latitude Margaritaville Watersound.</w:t>
      </w:r>
    </w:p>
    <w:p>
      <w:pPr>
        <w:spacing w:after="0" w:line="176" w:lineRule="exact"/>
        <w:rPr>
          <w:sz w:val="20"/>
          <w:szCs w:val="20"/>
          <w:color w:val="auto"/>
        </w:rPr>
      </w:pPr>
    </w:p>
    <w:p>
      <w:pPr>
        <w:ind w:left="60" w:right="79" w:firstLine="324"/>
        <w:spacing w:after="0" w:line="270" w:lineRule="auto"/>
        <w:rPr>
          <w:sz w:val="20"/>
          <w:szCs w:val="20"/>
          <w:color w:val="auto"/>
        </w:rPr>
      </w:pPr>
      <w:r>
        <w:rPr>
          <w:rFonts w:ascii="Times New Roman" w:cs="Times New Roman" w:eastAsia="Times New Roman" w:hAnsi="Times New Roman"/>
          <w:sz w:val="17"/>
          <w:szCs w:val="17"/>
          <w:color w:val="auto"/>
        </w:rPr>
        <w:t xml:space="preserve">The residential segment generates revenue from sales of homesites, homes and other residential land and certain homesite residuals from homebuilder sales that provide us a percentage of the sale price of the completed home if the home price exceeds a negotiated threshold. Revenue is recognized at the point in time when a sale is closed and title and control have been transferred to the buyer. The residential segment also generates revenue from the sale of tap and impact fee credits, marketing fees and other fees on certain transactions. Certain homesite residuals and other revenue related to homebuilder homesite sales are recognized in revenue at the point in time of the closing of the sale. The residential segment incurs costs from direct costs (e.g., development and construction costs), selling costs and other indirect costs. Cost of real estate revenue excludes depreciation, depletion and amortization expense. The residential segment earns interest income on our initial unimproved land contribution to the unconsolidated Latitude Margaritaville Watersound JV as home sales are transacted in the community and other receivables. See Note 4. </w:t>
      </w:r>
      <w:r>
        <w:rPr>
          <w:rFonts w:ascii="Times New Roman" w:cs="Times New Roman" w:eastAsia="Times New Roman" w:hAnsi="Times New Roman"/>
          <w:sz w:val="17"/>
          <w:szCs w:val="17"/>
          <w:i w:val="1"/>
          <w:iCs w:val="1"/>
          <w:color w:val="auto"/>
        </w:rPr>
        <w:t>Joint Ventures</w:t>
      </w:r>
      <w:r>
        <w:rPr>
          <w:rFonts w:ascii="Times New Roman" w:cs="Times New Roman" w:eastAsia="Times New Roman" w:hAnsi="Times New Roman"/>
          <w:sz w:val="17"/>
          <w:szCs w:val="17"/>
          <w:color w:val="auto"/>
        </w:rPr>
        <w:t xml:space="preserve"> for additional information.</w:t>
      </w:r>
    </w:p>
    <w:p>
      <w:pPr>
        <w:spacing w:after="0" w:line="177"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Our residential segment includes the Bayside at Ward Creek, Breakfast Point East, Breakwater at Ward Creek, College Station, Lake Powell Estates, Park Place, Salt Creek at Mexico Beach, Salt Grass at Ward Creek, Titus Park, Watersound Camp Creek, Watersound Gallery, Watersound Origins, Watersound Origins West and WindMark Beach communities, which are large scale, multi-phase communities with current development activity, sales activity or future phases. Homesites in these communities are developed based on market demand and sold primarily to homebuilders and on a limited basis to retail customers.</w:t>
      </w:r>
    </w:p>
    <w:p>
      <w:pPr>
        <w:spacing w:after="0" w:line="187" w:lineRule="exact"/>
        <w:rPr>
          <w:sz w:val="20"/>
          <w:szCs w:val="20"/>
          <w:color w:val="auto"/>
        </w:rPr>
      </w:pPr>
    </w:p>
    <w:p>
      <w:pPr>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East Lake Creek, East Lake Powell, Havenry, Lake Powell, Park Place East, Teachee and West Laird projects have phases of homesites in preliminary planning or permitting. Homesites in these projects will be developed based on market demand.</w:t>
      </w:r>
    </w:p>
    <w:p>
      <w:pPr>
        <w:spacing w:after="0" w:line="176"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SummerCamp Beach community has homesites available for sale and along with the RiverCamps and SouthWood communities, have additional lands for future development.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Latitude Margaritaville Watersound community is a 55+ active adult residential community in Bay County, Florida. The community is located near the Intracoastal Waterway with convenient access to the Northwest Florida Beaches International Airport. The community is being developed through our unconsolidated Latitude Margaritaville Watersound JV with our partner Minto Communities USA, a homebuilder and community developer, and is estimated to include approximately 7,200 residential homes, which are being developed in smaller increments of discrete neighborhoods. As of September 30, 2026, the unconsolidated Latitude Margaritaville Watersound JV had completed 2,426 home sale transactions of the total estimated 7,200 homes planned in the community and had 222 homes under contract, which are expected to result in a sales value to the JV of approximately $140.9 million at closing of the homes. See Note 4. </w:t>
      </w:r>
      <w:r>
        <w:rPr>
          <w:rFonts w:ascii="Times New Roman" w:cs="Times New Roman" w:eastAsia="Times New Roman" w:hAnsi="Times New Roman"/>
          <w:sz w:val="18"/>
          <w:szCs w:val="18"/>
          <w:i w:val="1"/>
          <w:iCs w:val="1"/>
          <w:color w:val="auto"/>
        </w:rPr>
        <w:t xml:space="preserve">Joint Ventures </w:t>
      </w:r>
      <w:r>
        <w:rPr>
          <w:rFonts w:ascii="Times New Roman" w:cs="Times New Roman" w:eastAsia="Times New Roman" w:hAnsi="Times New Roman"/>
          <w:sz w:val="18"/>
          <w:szCs w:val="18"/>
          <w:color w:val="auto"/>
        </w:rPr>
        <w:t>for additional information.</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residential homesite pipeline by community/project is as follows:</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2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68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 xml:space="preserve">Residential Homesite Pipeline </w:t>
            </w:r>
            <w:r>
              <w:rPr>
                <w:rFonts w:ascii="Times New Roman" w:cs="Times New Roman" w:eastAsia="Times New Roman" w:hAnsi="Times New Roman"/>
                <w:sz w:val="21"/>
                <w:szCs w:val="21"/>
                <w:b w:val="1"/>
                <w:bCs w:val="1"/>
                <w:color w:val="auto"/>
                <w:vertAlign w:val="superscript"/>
              </w:rPr>
              <w:t>(a)</w:t>
            </w:r>
          </w:p>
        </w:tc>
        <w:tc>
          <w:tcPr>
            <w:tcW w:w="5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Platted or</w:t>
            </w:r>
          </w:p>
        </w:tc>
        <w:tc>
          <w:tcPr>
            <w:tcW w:w="240" w:type="dxa"/>
            <w:vAlign w:val="bottom"/>
          </w:tcPr>
          <w:p>
            <w:pPr>
              <w:spacing w:after="0"/>
              <w:rPr>
                <w:sz w:val="10"/>
                <w:szCs w:val="10"/>
                <w:color w:val="auto"/>
              </w:rPr>
            </w:pPr>
          </w:p>
        </w:tc>
        <w:tc>
          <w:tcPr>
            <w:tcW w:w="10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Engineering</w:t>
            </w:r>
          </w:p>
        </w:tc>
        <w:tc>
          <w:tcPr>
            <w:tcW w:w="140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0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Community/Project</w:t>
            </w:r>
          </w:p>
        </w:tc>
        <w:tc>
          <w:tcPr>
            <w:tcW w:w="1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w:t>
            </w:r>
          </w:p>
        </w:tc>
        <w:tc>
          <w:tcPr>
            <w:tcW w:w="2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Entitlements with</w:t>
            </w:r>
          </w:p>
        </w:tc>
        <w:tc>
          <w:tcPr>
            <w:tcW w:w="560" w:type="dxa"/>
            <w:vAlign w:val="bottom"/>
            <w:vMerge w:val="restart"/>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080" w:type="dxa"/>
            <w:vAlign w:val="bottom"/>
            <w:gridSpan w:val="3"/>
            <w:vMerge w:val="continue"/>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240" w:type="dxa"/>
            <w:vAlign w:val="bottom"/>
          </w:tcPr>
          <w:p>
            <w:pPr>
              <w:spacing w:after="0"/>
              <w:rPr>
                <w:sz w:val="15"/>
                <w:szCs w:val="15"/>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or Permitting</w:t>
            </w: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Concept Plan</w:t>
            </w: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880" w:type="dxa"/>
            <w:vAlign w:val="bottom"/>
            <w:tcBorders>
              <w:top w:val="single" w:sz="8" w:color="auto"/>
            </w:tcBorders>
            <w:gridSpan w:val="2"/>
            <w:shd w:val="clear" w:color="auto" w:fill="CCEEFF"/>
          </w:tcPr>
          <w:p>
            <w:pPr>
              <w:ind w:left="120"/>
              <w:spacing w:after="0" w:line="196" w:lineRule="exact"/>
              <w:rPr>
                <w:sz w:val="20"/>
                <w:szCs w:val="20"/>
                <w:color w:val="auto"/>
              </w:rPr>
            </w:pPr>
            <w:r>
              <w:rPr>
                <w:rFonts w:ascii="Times New Roman" w:cs="Times New Roman" w:eastAsia="Times New Roman" w:hAnsi="Times New Roman"/>
                <w:sz w:val="15"/>
                <w:szCs w:val="15"/>
                <w:color w:val="auto"/>
              </w:rPr>
              <w:t xml:space="preserve">Breakfast Point East </w:t>
            </w:r>
            <w:r>
              <w:rPr>
                <w:rFonts w:ascii="Times New Roman" w:cs="Times New Roman" w:eastAsia="Times New Roman" w:hAnsi="Times New Roman"/>
                <w:sz w:val="22"/>
                <w:szCs w:val="22"/>
                <w:color w:val="auto"/>
                <w:vertAlign w:val="superscript"/>
              </w:rPr>
              <w:t>(b)</w:t>
            </w:r>
          </w:p>
        </w:tc>
        <w:tc>
          <w:tcPr>
            <w:tcW w:w="2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Bay County, FL</w:t>
            </w:r>
          </w:p>
        </w:tc>
        <w:tc>
          <w:tcPr>
            <w:tcW w:w="1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2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0" w:type="dxa"/>
            <w:vAlign w:val="bottom"/>
          </w:tcPr>
          <w:p>
            <w:pPr>
              <w:spacing w:after="0"/>
              <w:rPr>
                <w:sz w:val="1"/>
                <w:szCs w:val="1"/>
                <w:color w:val="auto"/>
              </w:rPr>
            </w:pPr>
          </w:p>
        </w:tc>
      </w:tr>
      <w:tr>
        <w:trPr>
          <w:trHeight w:val="203"/>
        </w:trPr>
        <w:tc>
          <w:tcPr>
            <w:tcW w:w="30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College Station</w:t>
            </w: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Bay County, FL</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4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2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0" w:type="dxa"/>
            <w:vAlign w:val="bottom"/>
          </w:tcPr>
          <w:p>
            <w:pPr>
              <w:spacing w:after="0"/>
              <w:rPr>
                <w:sz w:val="1"/>
                <w:szCs w:val="1"/>
                <w:color w:val="auto"/>
              </w:rPr>
            </w:pPr>
          </w:p>
        </w:tc>
      </w:tr>
      <w:tr>
        <w:trPr>
          <w:trHeight w:val="203"/>
        </w:trPr>
        <w:tc>
          <w:tcPr>
            <w:tcW w:w="3080" w:type="dxa"/>
            <w:vAlign w:val="bottom"/>
            <w:gridSpan w:val="3"/>
            <w:shd w:val="clear" w:color="auto" w:fill="CCEEFF"/>
          </w:tcPr>
          <w:p>
            <w:pPr>
              <w:ind w:left="120"/>
              <w:spacing w:after="0" w:line="202" w:lineRule="exact"/>
              <w:rPr>
                <w:sz w:val="20"/>
                <w:szCs w:val="20"/>
                <w:color w:val="auto"/>
              </w:rPr>
            </w:pPr>
            <w:r>
              <w:rPr>
                <w:rFonts w:ascii="Times New Roman" w:cs="Times New Roman" w:eastAsia="Times New Roman" w:hAnsi="Times New Roman"/>
                <w:sz w:val="16"/>
                <w:szCs w:val="16"/>
                <w:color w:val="auto"/>
              </w:rPr>
              <w:t xml:space="preserve">East Lake Creek </w:t>
            </w:r>
            <w:r>
              <w:rPr>
                <w:rFonts w:ascii="Times New Roman" w:cs="Times New Roman" w:eastAsia="Times New Roman" w:hAnsi="Times New Roman"/>
                <w:sz w:val="23"/>
                <w:szCs w:val="23"/>
                <w:color w:val="auto"/>
                <w:vertAlign w:val="superscript"/>
              </w:rPr>
              <w:t>(b)</w:t>
            </w:r>
          </w:p>
        </w:tc>
        <w:tc>
          <w:tcPr>
            <w:tcW w:w="1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Bay County, FL</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0" w:type="dxa"/>
            <w:vAlign w:val="bottom"/>
          </w:tcPr>
          <w:p>
            <w:pPr>
              <w:spacing w:after="0"/>
              <w:rPr>
                <w:sz w:val="1"/>
                <w:szCs w:val="1"/>
                <w:color w:val="auto"/>
              </w:rPr>
            </w:pPr>
          </w:p>
        </w:tc>
      </w:tr>
      <w:tr>
        <w:trPr>
          <w:trHeight w:val="203"/>
        </w:trPr>
        <w:tc>
          <w:tcPr>
            <w:tcW w:w="3080" w:type="dxa"/>
            <w:vAlign w:val="bottom"/>
            <w:gridSpan w:val="3"/>
          </w:tcPr>
          <w:p>
            <w:pPr>
              <w:ind w:left="120"/>
              <w:spacing w:after="0" w:line="202" w:lineRule="exact"/>
              <w:rPr>
                <w:sz w:val="20"/>
                <w:szCs w:val="20"/>
                <w:color w:val="auto"/>
              </w:rPr>
            </w:pPr>
            <w:r>
              <w:rPr>
                <w:rFonts w:ascii="Times New Roman" w:cs="Times New Roman" w:eastAsia="Times New Roman" w:hAnsi="Times New Roman"/>
                <w:sz w:val="16"/>
                <w:szCs w:val="16"/>
                <w:color w:val="auto"/>
              </w:rPr>
              <w:t xml:space="preserve">East Lake Powell </w:t>
            </w:r>
            <w:r>
              <w:rPr>
                <w:rFonts w:ascii="Times New Roman" w:cs="Times New Roman" w:eastAsia="Times New Roman" w:hAnsi="Times New Roman"/>
                <w:sz w:val="23"/>
                <w:szCs w:val="23"/>
                <w:color w:val="auto"/>
                <w:vertAlign w:val="superscript"/>
              </w:rPr>
              <w:t>(c)</w:t>
            </w: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Bay County, FL</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2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203"/>
        </w:trPr>
        <w:tc>
          <w:tcPr>
            <w:tcW w:w="3080" w:type="dxa"/>
            <w:vAlign w:val="bottom"/>
            <w:gridSpan w:val="3"/>
            <w:shd w:val="clear" w:color="auto" w:fill="CCEEFF"/>
          </w:tcPr>
          <w:p>
            <w:pPr>
              <w:ind w:left="120"/>
              <w:spacing w:after="0" w:line="202" w:lineRule="exact"/>
              <w:rPr>
                <w:sz w:val="20"/>
                <w:szCs w:val="20"/>
                <w:color w:val="auto"/>
              </w:rPr>
            </w:pPr>
            <w:r>
              <w:rPr>
                <w:rFonts w:ascii="Times New Roman" w:cs="Times New Roman" w:eastAsia="Times New Roman" w:hAnsi="Times New Roman"/>
                <w:sz w:val="16"/>
                <w:szCs w:val="16"/>
                <w:color w:val="auto"/>
              </w:rPr>
              <w:t xml:space="preserve">Havenry (Pigeon Creek) </w:t>
            </w:r>
            <w:r>
              <w:rPr>
                <w:rFonts w:ascii="Times New Roman" w:cs="Times New Roman" w:eastAsia="Times New Roman" w:hAnsi="Times New Roman"/>
                <w:sz w:val="23"/>
                <w:szCs w:val="23"/>
                <w:color w:val="auto"/>
                <w:vertAlign w:val="superscript"/>
              </w:rPr>
              <w:t>(d)</w:t>
            </w:r>
          </w:p>
        </w:tc>
        <w:tc>
          <w:tcPr>
            <w:tcW w:w="1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Bay County, FL</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2,990</w:t>
            </w: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3,330</w:t>
            </w:r>
          </w:p>
        </w:tc>
        <w:tc>
          <w:tcPr>
            <w:tcW w:w="0" w:type="dxa"/>
            <w:vAlign w:val="bottom"/>
          </w:tcPr>
          <w:p>
            <w:pPr>
              <w:spacing w:after="0"/>
              <w:rPr>
                <w:sz w:val="1"/>
                <w:szCs w:val="1"/>
                <w:color w:val="auto"/>
              </w:rPr>
            </w:pPr>
          </w:p>
        </w:tc>
      </w:tr>
      <w:tr>
        <w:trPr>
          <w:trHeight w:val="203"/>
        </w:trPr>
        <w:tc>
          <w:tcPr>
            <w:tcW w:w="3080" w:type="dxa"/>
            <w:vAlign w:val="bottom"/>
            <w:gridSpan w:val="3"/>
          </w:tcPr>
          <w:p>
            <w:pPr>
              <w:ind w:left="120"/>
              <w:spacing w:after="0" w:line="202" w:lineRule="exact"/>
              <w:rPr>
                <w:sz w:val="20"/>
                <w:szCs w:val="20"/>
                <w:color w:val="auto"/>
              </w:rPr>
            </w:pPr>
            <w:r>
              <w:rPr>
                <w:rFonts w:ascii="Times New Roman" w:cs="Times New Roman" w:eastAsia="Times New Roman" w:hAnsi="Times New Roman"/>
                <w:sz w:val="16"/>
                <w:szCs w:val="16"/>
                <w:color w:val="auto"/>
              </w:rPr>
              <w:t xml:space="preserve">Lake Powell </w:t>
            </w:r>
            <w:r>
              <w:rPr>
                <w:rFonts w:ascii="Times New Roman" w:cs="Times New Roman" w:eastAsia="Times New Roman" w:hAnsi="Times New Roman"/>
                <w:sz w:val="23"/>
                <w:szCs w:val="23"/>
                <w:color w:val="auto"/>
                <w:vertAlign w:val="superscript"/>
              </w:rPr>
              <w:t>(d)</w:t>
            </w: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Bay County, FL</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1,323</w:t>
            </w:r>
          </w:p>
        </w:tc>
        <w:tc>
          <w:tcPr>
            <w:tcW w:w="2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1,323</w:t>
            </w:r>
          </w:p>
        </w:tc>
        <w:tc>
          <w:tcPr>
            <w:tcW w:w="0" w:type="dxa"/>
            <w:vAlign w:val="bottom"/>
          </w:tcPr>
          <w:p>
            <w:pPr>
              <w:spacing w:after="0"/>
              <w:rPr>
                <w:sz w:val="1"/>
                <w:szCs w:val="1"/>
                <w:color w:val="auto"/>
              </w:rPr>
            </w:pPr>
          </w:p>
        </w:tc>
      </w:tr>
      <w:tr>
        <w:trPr>
          <w:trHeight w:val="203"/>
        </w:trPr>
        <w:tc>
          <w:tcPr>
            <w:tcW w:w="30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Lake Powell Estates</w:t>
            </w:r>
          </w:p>
        </w:tc>
        <w:tc>
          <w:tcPr>
            <w:tcW w:w="1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Bay County, FL</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3"/>
        </w:trPr>
        <w:tc>
          <w:tcPr>
            <w:tcW w:w="3080" w:type="dxa"/>
            <w:vAlign w:val="bottom"/>
            <w:gridSpan w:val="3"/>
          </w:tcPr>
          <w:p>
            <w:pPr>
              <w:ind w:left="120"/>
              <w:spacing w:after="0" w:line="202" w:lineRule="exact"/>
              <w:rPr>
                <w:sz w:val="20"/>
                <w:szCs w:val="20"/>
                <w:color w:val="auto"/>
              </w:rPr>
            </w:pPr>
            <w:r>
              <w:rPr>
                <w:rFonts w:ascii="Times New Roman" w:cs="Times New Roman" w:eastAsia="Times New Roman" w:hAnsi="Times New Roman"/>
                <w:sz w:val="16"/>
                <w:szCs w:val="16"/>
                <w:color w:val="auto"/>
              </w:rPr>
              <w:t xml:space="preserve">Latitude Margaritaville Watersound </w:t>
            </w:r>
            <w:r>
              <w:rPr>
                <w:rFonts w:ascii="Times New Roman" w:cs="Times New Roman" w:eastAsia="Times New Roman" w:hAnsi="Times New Roman"/>
                <w:sz w:val="23"/>
                <w:szCs w:val="23"/>
                <w:color w:val="auto"/>
                <w:vertAlign w:val="superscript"/>
              </w:rPr>
              <w:t>(d) (e)</w:t>
            </w: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Bay County, FL</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1,299</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3,263</w:t>
            </w:r>
          </w:p>
        </w:tc>
        <w:tc>
          <w:tcPr>
            <w:tcW w:w="2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4,799</w:t>
            </w:r>
          </w:p>
        </w:tc>
        <w:tc>
          <w:tcPr>
            <w:tcW w:w="0" w:type="dxa"/>
            <w:vAlign w:val="bottom"/>
          </w:tcPr>
          <w:p>
            <w:pPr>
              <w:spacing w:after="0"/>
              <w:rPr>
                <w:sz w:val="1"/>
                <w:szCs w:val="1"/>
                <w:color w:val="auto"/>
              </w:rPr>
            </w:pPr>
          </w:p>
        </w:tc>
      </w:tr>
      <w:tr>
        <w:trPr>
          <w:trHeight w:val="203"/>
        </w:trPr>
        <w:tc>
          <w:tcPr>
            <w:tcW w:w="3080" w:type="dxa"/>
            <w:vAlign w:val="bottom"/>
            <w:gridSpan w:val="3"/>
            <w:shd w:val="clear" w:color="auto" w:fill="CCEEFF"/>
          </w:tcPr>
          <w:p>
            <w:pPr>
              <w:ind w:left="120"/>
              <w:spacing w:after="0" w:line="202" w:lineRule="exact"/>
              <w:rPr>
                <w:sz w:val="20"/>
                <w:szCs w:val="20"/>
                <w:color w:val="auto"/>
              </w:rPr>
            </w:pPr>
            <w:r>
              <w:rPr>
                <w:rFonts w:ascii="Times New Roman" w:cs="Times New Roman" w:eastAsia="Times New Roman" w:hAnsi="Times New Roman"/>
                <w:sz w:val="16"/>
                <w:szCs w:val="16"/>
                <w:color w:val="auto"/>
              </w:rPr>
              <w:t xml:space="preserve">Salt Creek at Mexico Beach </w:t>
            </w:r>
            <w:r>
              <w:rPr>
                <w:rFonts w:ascii="Times New Roman" w:cs="Times New Roman" w:eastAsia="Times New Roman" w:hAnsi="Times New Roman"/>
                <w:sz w:val="23"/>
                <w:szCs w:val="23"/>
                <w:color w:val="auto"/>
                <w:vertAlign w:val="superscript"/>
              </w:rPr>
              <w:t>(b)</w:t>
            </w:r>
          </w:p>
        </w:tc>
        <w:tc>
          <w:tcPr>
            <w:tcW w:w="1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Bay County, FL</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0" w:type="dxa"/>
            <w:vAlign w:val="bottom"/>
          </w:tcPr>
          <w:p>
            <w:pPr>
              <w:spacing w:after="0"/>
              <w:rPr>
                <w:sz w:val="1"/>
                <w:szCs w:val="1"/>
                <w:color w:val="auto"/>
              </w:rPr>
            </w:pPr>
          </w:p>
        </w:tc>
      </w:tr>
      <w:tr>
        <w:trPr>
          <w:trHeight w:val="203"/>
        </w:trPr>
        <w:tc>
          <w:tcPr>
            <w:tcW w:w="30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Park Place</w:t>
            </w: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Bay County, FL</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24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0" w:type="dxa"/>
            <w:vAlign w:val="bottom"/>
          </w:tcPr>
          <w:p>
            <w:pPr>
              <w:spacing w:after="0"/>
              <w:rPr>
                <w:sz w:val="1"/>
                <w:szCs w:val="1"/>
                <w:color w:val="auto"/>
              </w:rPr>
            </w:pPr>
          </w:p>
        </w:tc>
      </w:tr>
      <w:tr>
        <w:trPr>
          <w:trHeight w:val="203"/>
        </w:trPr>
        <w:tc>
          <w:tcPr>
            <w:tcW w:w="30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Park Place East</w:t>
            </w:r>
          </w:p>
        </w:tc>
        <w:tc>
          <w:tcPr>
            <w:tcW w:w="1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Bay County, FL</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0" w:type="dxa"/>
            <w:vAlign w:val="bottom"/>
          </w:tcPr>
          <w:p>
            <w:pPr>
              <w:spacing w:after="0"/>
              <w:rPr>
                <w:sz w:val="1"/>
                <w:szCs w:val="1"/>
                <w:color w:val="auto"/>
              </w:rPr>
            </w:pPr>
          </w:p>
        </w:tc>
      </w:tr>
      <w:tr>
        <w:trPr>
          <w:trHeight w:val="203"/>
        </w:trPr>
        <w:tc>
          <w:tcPr>
            <w:tcW w:w="3080" w:type="dxa"/>
            <w:vAlign w:val="bottom"/>
            <w:gridSpan w:val="3"/>
          </w:tcPr>
          <w:p>
            <w:pPr>
              <w:ind w:left="120"/>
              <w:spacing w:after="0" w:line="202" w:lineRule="exact"/>
              <w:rPr>
                <w:sz w:val="20"/>
                <w:szCs w:val="20"/>
                <w:color w:val="auto"/>
              </w:rPr>
            </w:pPr>
            <w:r>
              <w:rPr>
                <w:rFonts w:ascii="Times New Roman" w:cs="Times New Roman" w:eastAsia="Times New Roman" w:hAnsi="Times New Roman"/>
                <w:sz w:val="16"/>
                <w:szCs w:val="16"/>
                <w:color w:val="auto"/>
              </w:rPr>
              <w:t xml:space="preserve">RiverCamps </w:t>
            </w:r>
            <w:r>
              <w:rPr>
                <w:rFonts w:ascii="Times New Roman" w:cs="Times New Roman" w:eastAsia="Times New Roman" w:hAnsi="Times New Roman"/>
                <w:sz w:val="23"/>
                <w:szCs w:val="23"/>
                <w:color w:val="auto"/>
                <w:vertAlign w:val="superscript"/>
              </w:rPr>
              <w:t>(c)</w:t>
            </w: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Bay County, FL</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2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0" w:type="dxa"/>
            <w:vAlign w:val="bottom"/>
          </w:tcPr>
          <w:p>
            <w:pPr>
              <w:spacing w:after="0"/>
              <w:rPr>
                <w:sz w:val="1"/>
                <w:szCs w:val="1"/>
                <w:color w:val="auto"/>
              </w:rPr>
            </w:pPr>
          </w:p>
        </w:tc>
      </w:tr>
      <w:tr>
        <w:trPr>
          <w:trHeight w:val="203"/>
        </w:trPr>
        <w:tc>
          <w:tcPr>
            <w:tcW w:w="3080" w:type="dxa"/>
            <w:vAlign w:val="bottom"/>
            <w:gridSpan w:val="3"/>
            <w:shd w:val="clear" w:color="auto" w:fill="CCEEFF"/>
          </w:tcPr>
          <w:p>
            <w:pPr>
              <w:ind w:left="120"/>
              <w:spacing w:after="0" w:line="202" w:lineRule="exact"/>
              <w:rPr>
                <w:sz w:val="20"/>
                <w:szCs w:val="20"/>
                <w:color w:val="auto"/>
              </w:rPr>
            </w:pPr>
            <w:r>
              <w:rPr>
                <w:rFonts w:ascii="Times New Roman" w:cs="Times New Roman" w:eastAsia="Times New Roman" w:hAnsi="Times New Roman"/>
                <w:sz w:val="16"/>
                <w:szCs w:val="16"/>
                <w:color w:val="auto"/>
              </w:rPr>
              <w:t xml:space="preserve">SouthWood </w:t>
            </w:r>
            <w:r>
              <w:rPr>
                <w:rFonts w:ascii="Times New Roman" w:cs="Times New Roman" w:eastAsia="Times New Roman" w:hAnsi="Times New Roman"/>
                <w:sz w:val="23"/>
                <w:szCs w:val="23"/>
                <w:color w:val="auto"/>
                <w:vertAlign w:val="superscript"/>
              </w:rPr>
              <w:t>(f)</w:t>
            </w:r>
          </w:p>
        </w:tc>
        <w:tc>
          <w:tcPr>
            <w:tcW w:w="1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Leon County, FL</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w:t>
            </w: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w:t>
            </w:r>
          </w:p>
        </w:tc>
        <w:tc>
          <w:tcPr>
            <w:tcW w:w="0" w:type="dxa"/>
            <w:vAlign w:val="bottom"/>
          </w:tcPr>
          <w:p>
            <w:pPr>
              <w:spacing w:after="0"/>
              <w:rPr>
                <w:sz w:val="1"/>
                <w:szCs w:val="1"/>
                <w:color w:val="auto"/>
              </w:rPr>
            </w:pPr>
          </w:p>
        </w:tc>
      </w:tr>
      <w:tr>
        <w:trPr>
          <w:trHeight w:val="203"/>
        </w:trPr>
        <w:tc>
          <w:tcPr>
            <w:tcW w:w="3080" w:type="dxa"/>
            <w:vAlign w:val="bottom"/>
            <w:gridSpan w:val="3"/>
          </w:tcPr>
          <w:p>
            <w:pPr>
              <w:ind w:left="120"/>
              <w:spacing w:after="0" w:line="202" w:lineRule="exact"/>
              <w:rPr>
                <w:sz w:val="20"/>
                <w:szCs w:val="20"/>
                <w:color w:val="auto"/>
              </w:rPr>
            </w:pPr>
            <w:r>
              <w:rPr>
                <w:rFonts w:ascii="Times New Roman" w:cs="Times New Roman" w:eastAsia="Times New Roman" w:hAnsi="Times New Roman"/>
                <w:sz w:val="16"/>
                <w:szCs w:val="16"/>
                <w:color w:val="auto"/>
              </w:rPr>
              <w:t xml:space="preserve">SummerCamp Beach </w:t>
            </w:r>
            <w:r>
              <w:rPr>
                <w:rFonts w:ascii="Times New Roman" w:cs="Times New Roman" w:eastAsia="Times New Roman" w:hAnsi="Times New Roman"/>
                <w:sz w:val="23"/>
                <w:szCs w:val="23"/>
                <w:color w:val="auto"/>
                <w:vertAlign w:val="superscript"/>
              </w:rPr>
              <w:t>(b)</w:t>
            </w: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Franklin County, FL</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4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2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0" w:type="dxa"/>
            <w:vAlign w:val="bottom"/>
          </w:tcPr>
          <w:p>
            <w:pPr>
              <w:spacing w:after="0"/>
              <w:rPr>
                <w:sz w:val="1"/>
                <w:szCs w:val="1"/>
                <w:color w:val="auto"/>
              </w:rPr>
            </w:pPr>
          </w:p>
        </w:tc>
      </w:tr>
      <w:tr>
        <w:trPr>
          <w:trHeight w:val="203"/>
        </w:trPr>
        <w:tc>
          <w:tcPr>
            <w:tcW w:w="3080" w:type="dxa"/>
            <w:vAlign w:val="bottom"/>
            <w:gridSpan w:val="3"/>
            <w:shd w:val="clear" w:color="auto" w:fill="CCEEFF"/>
          </w:tcPr>
          <w:p>
            <w:pPr>
              <w:ind w:left="120"/>
              <w:spacing w:after="0" w:line="202" w:lineRule="exact"/>
              <w:rPr>
                <w:sz w:val="20"/>
                <w:szCs w:val="20"/>
                <w:color w:val="auto"/>
              </w:rPr>
            </w:pPr>
            <w:r>
              <w:rPr>
                <w:rFonts w:ascii="Times New Roman" w:cs="Times New Roman" w:eastAsia="Times New Roman" w:hAnsi="Times New Roman"/>
                <w:sz w:val="16"/>
                <w:szCs w:val="16"/>
                <w:color w:val="auto"/>
              </w:rPr>
              <w:t xml:space="preserve">Teachee </w:t>
            </w:r>
            <w:r>
              <w:rPr>
                <w:rFonts w:ascii="Times New Roman" w:cs="Times New Roman" w:eastAsia="Times New Roman" w:hAnsi="Times New Roman"/>
                <w:sz w:val="23"/>
                <w:szCs w:val="23"/>
                <w:color w:val="auto"/>
                <w:vertAlign w:val="superscript"/>
              </w:rPr>
              <w:t>(d)</w:t>
            </w:r>
          </w:p>
        </w:tc>
        <w:tc>
          <w:tcPr>
            <w:tcW w:w="1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Bay County, FL</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1,647</w:t>
            </w: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1,750</w:t>
            </w:r>
          </w:p>
        </w:tc>
        <w:tc>
          <w:tcPr>
            <w:tcW w:w="0" w:type="dxa"/>
            <w:vAlign w:val="bottom"/>
          </w:tcPr>
          <w:p>
            <w:pPr>
              <w:spacing w:after="0"/>
              <w:rPr>
                <w:sz w:val="1"/>
                <w:szCs w:val="1"/>
                <w:color w:val="auto"/>
              </w:rPr>
            </w:pPr>
          </w:p>
        </w:tc>
      </w:tr>
      <w:tr>
        <w:trPr>
          <w:trHeight w:val="203"/>
        </w:trPr>
        <w:tc>
          <w:tcPr>
            <w:tcW w:w="30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Titus Park</w:t>
            </w: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Bay County, FL</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2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0" w:type="dxa"/>
            <w:vAlign w:val="bottom"/>
          </w:tcPr>
          <w:p>
            <w:pPr>
              <w:spacing w:after="0"/>
              <w:rPr>
                <w:sz w:val="1"/>
                <w:szCs w:val="1"/>
                <w:color w:val="auto"/>
              </w:rPr>
            </w:pPr>
          </w:p>
        </w:tc>
      </w:tr>
      <w:tr>
        <w:trPr>
          <w:trHeight w:val="203"/>
        </w:trPr>
        <w:tc>
          <w:tcPr>
            <w:tcW w:w="3080" w:type="dxa"/>
            <w:vAlign w:val="bottom"/>
            <w:gridSpan w:val="3"/>
            <w:shd w:val="clear" w:color="auto" w:fill="CCEEFF"/>
          </w:tcPr>
          <w:p>
            <w:pPr>
              <w:ind w:left="120"/>
              <w:spacing w:after="0" w:line="202" w:lineRule="exact"/>
              <w:rPr>
                <w:sz w:val="20"/>
                <w:szCs w:val="20"/>
                <w:color w:val="auto"/>
              </w:rPr>
            </w:pPr>
            <w:r>
              <w:rPr>
                <w:rFonts w:ascii="Times New Roman" w:cs="Times New Roman" w:eastAsia="Times New Roman" w:hAnsi="Times New Roman"/>
                <w:sz w:val="16"/>
                <w:szCs w:val="16"/>
                <w:color w:val="auto"/>
              </w:rPr>
              <w:t xml:space="preserve">Bayside at Ward Creek </w:t>
            </w:r>
            <w:r>
              <w:rPr>
                <w:rFonts w:ascii="Times New Roman" w:cs="Times New Roman" w:eastAsia="Times New Roman" w:hAnsi="Times New Roman"/>
                <w:sz w:val="23"/>
                <w:szCs w:val="23"/>
                <w:color w:val="auto"/>
                <w:vertAlign w:val="superscript"/>
              </w:rPr>
              <w:t>(d)</w:t>
            </w:r>
          </w:p>
        </w:tc>
        <w:tc>
          <w:tcPr>
            <w:tcW w:w="1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Bay County, FL</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0" w:type="dxa"/>
            <w:vAlign w:val="bottom"/>
          </w:tcPr>
          <w:p>
            <w:pPr>
              <w:spacing w:after="0"/>
              <w:rPr>
                <w:sz w:val="1"/>
                <w:szCs w:val="1"/>
                <w:color w:val="auto"/>
              </w:rPr>
            </w:pPr>
          </w:p>
        </w:tc>
      </w:tr>
      <w:tr>
        <w:trPr>
          <w:trHeight w:val="203"/>
        </w:trPr>
        <w:tc>
          <w:tcPr>
            <w:tcW w:w="3080" w:type="dxa"/>
            <w:vAlign w:val="bottom"/>
            <w:gridSpan w:val="3"/>
          </w:tcPr>
          <w:p>
            <w:pPr>
              <w:ind w:left="120"/>
              <w:spacing w:after="0" w:line="202" w:lineRule="exact"/>
              <w:rPr>
                <w:sz w:val="20"/>
                <w:szCs w:val="20"/>
                <w:color w:val="auto"/>
              </w:rPr>
            </w:pPr>
            <w:r>
              <w:rPr>
                <w:rFonts w:ascii="Times New Roman" w:cs="Times New Roman" w:eastAsia="Times New Roman" w:hAnsi="Times New Roman"/>
                <w:sz w:val="16"/>
                <w:szCs w:val="16"/>
                <w:color w:val="auto"/>
              </w:rPr>
              <w:t xml:space="preserve">Breakwater at Ward Creek </w:t>
            </w:r>
            <w:r>
              <w:rPr>
                <w:rFonts w:ascii="Times New Roman" w:cs="Times New Roman" w:eastAsia="Times New Roman" w:hAnsi="Times New Roman"/>
                <w:sz w:val="23"/>
                <w:szCs w:val="23"/>
                <w:color w:val="auto"/>
                <w:vertAlign w:val="superscript"/>
              </w:rPr>
              <w:t>(d)</w:t>
            </w: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Bay County, FL</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24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203"/>
        </w:trPr>
        <w:tc>
          <w:tcPr>
            <w:tcW w:w="3080" w:type="dxa"/>
            <w:vAlign w:val="bottom"/>
            <w:gridSpan w:val="3"/>
            <w:shd w:val="clear" w:color="auto" w:fill="CCEEFF"/>
          </w:tcPr>
          <w:p>
            <w:pPr>
              <w:ind w:left="120"/>
              <w:spacing w:after="0" w:line="202" w:lineRule="exact"/>
              <w:rPr>
                <w:sz w:val="20"/>
                <w:szCs w:val="20"/>
                <w:color w:val="auto"/>
              </w:rPr>
            </w:pPr>
            <w:r>
              <w:rPr>
                <w:rFonts w:ascii="Times New Roman" w:cs="Times New Roman" w:eastAsia="Times New Roman" w:hAnsi="Times New Roman"/>
                <w:sz w:val="16"/>
                <w:szCs w:val="16"/>
                <w:color w:val="auto"/>
              </w:rPr>
              <w:t xml:space="preserve">Salt Grass at Ward Creek </w:t>
            </w:r>
            <w:r>
              <w:rPr>
                <w:rFonts w:ascii="Times New Roman" w:cs="Times New Roman" w:eastAsia="Times New Roman" w:hAnsi="Times New Roman"/>
                <w:sz w:val="23"/>
                <w:szCs w:val="23"/>
                <w:color w:val="auto"/>
                <w:vertAlign w:val="superscript"/>
              </w:rPr>
              <w:t>(d)</w:t>
            </w:r>
          </w:p>
        </w:tc>
        <w:tc>
          <w:tcPr>
            <w:tcW w:w="1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Bay County, FL</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0" w:type="dxa"/>
            <w:vAlign w:val="bottom"/>
          </w:tcPr>
          <w:p>
            <w:pPr>
              <w:spacing w:after="0"/>
              <w:rPr>
                <w:sz w:val="1"/>
                <w:szCs w:val="1"/>
                <w:color w:val="auto"/>
              </w:rPr>
            </w:pPr>
          </w:p>
        </w:tc>
      </w:tr>
      <w:tr>
        <w:trPr>
          <w:trHeight w:val="203"/>
        </w:trPr>
        <w:tc>
          <w:tcPr>
            <w:tcW w:w="3080" w:type="dxa"/>
            <w:vAlign w:val="bottom"/>
            <w:gridSpan w:val="3"/>
          </w:tcPr>
          <w:p>
            <w:pPr>
              <w:ind w:left="120"/>
              <w:spacing w:after="0" w:line="202" w:lineRule="exact"/>
              <w:rPr>
                <w:sz w:val="20"/>
                <w:szCs w:val="20"/>
                <w:color w:val="auto"/>
              </w:rPr>
            </w:pPr>
            <w:r>
              <w:rPr>
                <w:rFonts w:ascii="Times New Roman" w:cs="Times New Roman" w:eastAsia="Times New Roman" w:hAnsi="Times New Roman"/>
                <w:sz w:val="16"/>
                <w:szCs w:val="16"/>
                <w:color w:val="auto"/>
              </w:rPr>
              <w:t xml:space="preserve">Watersound Camp Creek </w:t>
            </w:r>
            <w:r>
              <w:rPr>
                <w:rFonts w:ascii="Times New Roman" w:cs="Times New Roman" w:eastAsia="Times New Roman" w:hAnsi="Times New Roman"/>
                <w:sz w:val="23"/>
                <w:szCs w:val="23"/>
                <w:color w:val="auto"/>
                <w:vertAlign w:val="superscript"/>
              </w:rPr>
              <w:t>(f)</w:t>
            </w: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Walton County, FL</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4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3"/>
        </w:trPr>
        <w:tc>
          <w:tcPr>
            <w:tcW w:w="3080" w:type="dxa"/>
            <w:vAlign w:val="bottom"/>
            <w:gridSpan w:val="3"/>
            <w:shd w:val="clear" w:color="auto" w:fill="CCEEFF"/>
          </w:tcPr>
          <w:p>
            <w:pPr>
              <w:ind w:left="120"/>
              <w:spacing w:after="0" w:line="202" w:lineRule="exact"/>
              <w:rPr>
                <w:sz w:val="20"/>
                <w:szCs w:val="20"/>
                <w:color w:val="auto"/>
              </w:rPr>
            </w:pPr>
            <w:r>
              <w:rPr>
                <w:rFonts w:ascii="Times New Roman" w:cs="Times New Roman" w:eastAsia="Times New Roman" w:hAnsi="Times New Roman"/>
                <w:sz w:val="16"/>
                <w:szCs w:val="16"/>
                <w:color w:val="auto"/>
              </w:rPr>
              <w:t xml:space="preserve">Watersound Gallery </w:t>
            </w:r>
            <w:r>
              <w:rPr>
                <w:rFonts w:ascii="Times New Roman" w:cs="Times New Roman" w:eastAsia="Times New Roman" w:hAnsi="Times New Roman"/>
                <w:sz w:val="23"/>
                <w:szCs w:val="23"/>
                <w:color w:val="auto"/>
                <w:vertAlign w:val="superscript"/>
              </w:rPr>
              <w:t>(d)</w:t>
            </w:r>
          </w:p>
        </w:tc>
        <w:tc>
          <w:tcPr>
            <w:tcW w:w="1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Walton County, FL</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203"/>
        </w:trPr>
        <w:tc>
          <w:tcPr>
            <w:tcW w:w="3080" w:type="dxa"/>
            <w:vAlign w:val="bottom"/>
            <w:gridSpan w:val="3"/>
          </w:tcPr>
          <w:p>
            <w:pPr>
              <w:ind w:left="120"/>
              <w:spacing w:after="0" w:line="202" w:lineRule="exact"/>
              <w:rPr>
                <w:sz w:val="20"/>
                <w:szCs w:val="20"/>
                <w:color w:val="auto"/>
              </w:rPr>
            </w:pPr>
            <w:r>
              <w:rPr>
                <w:rFonts w:ascii="Times New Roman" w:cs="Times New Roman" w:eastAsia="Times New Roman" w:hAnsi="Times New Roman"/>
                <w:sz w:val="16"/>
                <w:szCs w:val="16"/>
                <w:color w:val="auto"/>
              </w:rPr>
              <w:t xml:space="preserve">Watersound Origins </w:t>
            </w:r>
            <w:r>
              <w:rPr>
                <w:rFonts w:ascii="Times New Roman" w:cs="Times New Roman" w:eastAsia="Times New Roman" w:hAnsi="Times New Roman"/>
                <w:sz w:val="23"/>
                <w:szCs w:val="23"/>
                <w:color w:val="auto"/>
                <w:vertAlign w:val="superscript"/>
              </w:rPr>
              <w:t>(f)</w:t>
            </w: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Walton County, FL</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4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03"/>
        </w:trPr>
        <w:tc>
          <w:tcPr>
            <w:tcW w:w="3080" w:type="dxa"/>
            <w:vAlign w:val="bottom"/>
            <w:gridSpan w:val="3"/>
            <w:shd w:val="clear" w:color="auto" w:fill="CCEEFF"/>
          </w:tcPr>
          <w:p>
            <w:pPr>
              <w:ind w:left="120"/>
              <w:spacing w:after="0" w:line="202" w:lineRule="exact"/>
              <w:rPr>
                <w:sz w:val="20"/>
                <w:szCs w:val="20"/>
                <w:color w:val="auto"/>
              </w:rPr>
            </w:pPr>
            <w:r>
              <w:rPr>
                <w:rFonts w:ascii="Times New Roman" w:cs="Times New Roman" w:eastAsia="Times New Roman" w:hAnsi="Times New Roman"/>
                <w:sz w:val="16"/>
                <w:szCs w:val="16"/>
                <w:color w:val="auto"/>
              </w:rPr>
              <w:t xml:space="preserve">Watersound Origins West </w:t>
            </w:r>
            <w:r>
              <w:rPr>
                <w:rFonts w:ascii="Times New Roman" w:cs="Times New Roman" w:eastAsia="Times New Roman" w:hAnsi="Times New Roman"/>
                <w:sz w:val="23"/>
                <w:szCs w:val="23"/>
                <w:color w:val="auto"/>
                <w:vertAlign w:val="superscript"/>
              </w:rPr>
              <w:t>(d)</w:t>
            </w:r>
          </w:p>
        </w:tc>
        <w:tc>
          <w:tcPr>
            <w:tcW w:w="1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Walton County, FL</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2,806</w:t>
            </w: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3,062</w:t>
            </w:r>
          </w:p>
        </w:tc>
        <w:tc>
          <w:tcPr>
            <w:tcW w:w="0" w:type="dxa"/>
            <w:vAlign w:val="bottom"/>
          </w:tcPr>
          <w:p>
            <w:pPr>
              <w:spacing w:after="0"/>
              <w:rPr>
                <w:sz w:val="1"/>
                <w:szCs w:val="1"/>
                <w:color w:val="auto"/>
              </w:rPr>
            </w:pPr>
          </w:p>
        </w:tc>
      </w:tr>
      <w:tr>
        <w:trPr>
          <w:trHeight w:val="203"/>
        </w:trPr>
        <w:tc>
          <w:tcPr>
            <w:tcW w:w="3080" w:type="dxa"/>
            <w:vAlign w:val="bottom"/>
            <w:gridSpan w:val="3"/>
          </w:tcPr>
          <w:p>
            <w:pPr>
              <w:ind w:left="120"/>
              <w:spacing w:after="0" w:line="202" w:lineRule="exact"/>
              <w:rPr>
                <w:sz w:val="20"/>
                <w:szCs w:val="20"/>
                <w:color w:val="auto"/>
              </w:rPr>
            </w:pPr>
            <w:r>
              <w:rPr>
                <w:rFonts w:ascii="Times New Roman" w:cs="Times New Roman" w:eastAsia="Times New Roman" w:hAnsi="Times New Roman"/>
                <w:sz w:val="16"/>
                <w:szCs w:val="16"/>
                <w:color w:val="auto"/>
              </w:rPr>
              <w:t xml:space="preserve">West Laird </w:t>
            </w:r>
            <w:r>
              <w:rPr>
                <w:rFonts w:ascii="Times New Roman" w:cs="Times New Roman" w:eastAsia="Times New Roman" w:hAnsi="Times New Roman"/>
                <w:sz w:val="23"/>
                <w:szCs w:val="23"/>
                <w:color w:val="auto"/>
                <w:vertAlign w:val="superscript"/>
              </w:rPr>
              <w:t>(d)</w:t>
            </w: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Bay County, FL</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2,390</w:t>
            </w:r>
          </w:p>
        </w:tc>
        <w:tc>
          <w:tcPr>
            <w:tcW w:w="2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2,390</w:t>
            </w:r>
          </w:p>
        </w:tc>
        <w:tc>
          <w:tcPr>
            <w:tcW w:w="0" w:type="dxa"/>
            <w:vAlign w:val="bottom"/>
          </w:tcPr>
          <w:p>
            <w:pPr>
              <w:spacing w:after="0"/>
              <w:rPr>
                <w:sz w:val="1"/>
                <w:szCs w:val="1"/>
                <w:color w:val="auto"/>
              </w:rPr>
            </w:pPr>
          </w:p>
        </w:tc>
      </w:tr>
      <w:tr>
        <w:trPr>
          <w:trHeight w:val="203"/>
        </w:trPr>
        <w:tc>
          <w:tcPr>
            <w:tcW w:w="3080" w:type="dxa"/>
            <w:vAlign w:val="bottom"/>
            <w:gridSpan w:val="3"/>
            <w:shd w:val="clear" w:color="auto" w:fill="CCEEFF"/>
          </w:tcPr>
          <w:p>
            <w:pPr>
              <w:ind w:left="120"/>
              <w:spacing w:after="0" w:line="202" w:lineRule="exact"/>
              <w:rPr>
                <w:sz w:val="20"/>
                <w:szCs w:val="20"/>
                <w:color w:val="auto"/>
              </w:rPr>
            </w:pPr>
            <w:r>
              <w:rPr>
                <w:rFonts w:ascii="Times New Roman" w:cs="Times New Roman" w:eastAsia="Times New Roman" w:hAnsi="Times New Roman"/>
                <w:sz w:val="16"/>
                <w:szCs w:val="16"/>
                <w:color w:val="auto"/>
              </w:rPr>
              <w:t xml:space="preserve">WindMark Beach </w:t>
            </w:r>
            <w:r>
              <w:rPr>
                <w:rFonts w:ascii="Times New Roman" w:cs="Times New Roman" w:eastAsia="Times New Roman" w:hAnsi="Times New Roman"/>
                <w:sz w:val="23"/>
                <w:szCs w:val="23"/>
                <w:color w:val="auto"/>
                <w:vertAlign w:val="superscript"/>
              </w:rPr>
              <w:t>(f)</w:t>
            </w:r>
          </w:p>
        </w:tc>
        <w:tc>
          <w:tcPr>
            <w:tcW w:w="1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Gulf County, FL</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0" w:type="dxa"/>
            <w:vAlign w:val="bottom"/>
          </w:tcPr>
          <w:p>
            <w:pPr>
              <w:spacing w:after="0"/>
              <w:rPr>
                <w:sz w:val="1"/>
                <w:szCs w:val="1"/>
                <w:color w:val="auto"/>
              </w:rPr>
            </w:pPr>
          </w:p>
        </w:tc>
      </w:tr>
      <w:tr>
        <w:trPr>
          <w:trHeight w:val="196"/>
        </w:trPr>
        <w:tc>
          <w:tcPr>
            <w:tcW w:w="30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Total Homesites</w:t>
            </w: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2,293</w:t>
            </w:r>
          </w:p>
        </w:tc>
        <w:tc>
          <w:tcPr>
            <w:tcW w:w="24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1,710</w:t>
            </w:r>
          </w:p>
        </w:tc>
        <w:tc>
          <w:tcPr>
            <w:tcW w:w="16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19,234</w:t>
            </w:r>
          </w:p>
        </w:tc>
        <w:tc>
          <w:tcPr>
            <w:tcW w:w="280" w:type="dxa"/>
            <w:vAlign w:val="bottom"/>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23,237</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ind w:left="380" w:right="319" w:hanging="330"/>
        <w:spacing w:after="0" w:line="267" w:lineRule="auto"/>
        <w:tabs>
          <w:tab w:leader="none" w:pos="3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homesites are preliminary and are subject to change. Includes homesites platted or currently in concept planning, engineering, permitting or development. We have significant additional entitlements for future residential homesites on our land holdings.</w:t>
      </w:r>
    </w:p>
    <w:p>
      <w:pPr>
        <w:spacing w:after="0" w:line="1" w:lineRule="exact"/>
        <w:rPr>
          <w:rFonts w:ascii="Times New Roman" w:cs="Times New Roman" w:eastAsia="Times New Roman" w:hAnsi="Times New Roman"/>
          <w:sz w:val="16"/>
          <w:szCs w:val="16"/>
          <w:color w:val="auto"/>
        </w:rPr>
      </w:pPr>
    </w:p>
    <w:p>
      <w:pPr>
        <w:ind w:left="380" w:hanging="330"/>
        <w:spacing w:after="0"/>
        <w:tabs>
          <w:tab w:leader="none" w:pos="3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Planned Unit Development (“PUD”).</w:t>
      </w:r>
    </w:p>
    <w:p>
      <w:pPr>
        <w:spacing w:after="0" w:line="18" w:lineRule="exact"/>
        <w:rPr>
          <w:rFonts w:ascii="Times New Roman" w:cs="Times New Roman" w:eastAsia="Times New Roman" w:hAnsi="Times New Roman"/>
          <w:sz w:val="16"/>
          <w:szCs w:val="16"/>
          <w:color w:val="auto"/>
        </w:rPr>
      </w:pPr>
    </w:p>
    <w:p>
      <w:pPr>
        <w:ind w:left="380" w:hanging="330"/>
        <w:spacing w:after="0"/>
        <w:tabs>
          <w:tab w:leader="none" w:pos="3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Development Agreement (“DA”).</w:t>
      </w:r>
    </w:p>
    <w:p>
      <w:pPr>
        <w:spacing w:after="0" w:line="18" w:lineRule="exact"/>
        <w:rPr>
          <w:rFonts w:ascii="Times New Roman" w:cs="Times New Roman" w:eastAsia="Times New Roman" w:hAnsi="Times New Roman"/>
          <w:sz w:val="16"/>
          <w:szCs w:val="16"/>
          <w:color w:val="auto"/>
        </w:rPr>
      </w:pPr>
    </w:p>
    <w:p>
      <w:pPr>
        <w:ind w:left="380" w:hanging="330"/>
        <w:spacing w:after="0"/>
        <w:tabs>
          <w:tab w:leader="none" w:pos="3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Detailed Specific Area Plan.</w:t>
      </w:r>
    </w:p>
    <w:p>
      <w:pPr>
        <w:spacing w:after="0" w:line="18" w:lineRule="exact"/>
        <w:rPr>
          <w:rFonts w:ascii="Times New Roman" w:cs="Times New Roman" w:eastAsia="Times New Roman" w:hAnsi="Times New Roman"/>
          <w:sz w:val="16"/>
          <w:szCs w:val="16"/>
          <w:color w:val="auto"/>
        </w:rPr>
      </w:pPr>
    </w:p>
    <w:p>
      <w:pPr>
        <w:ind w:left="380" w:right="199" w:hanging="330"/>
        <w:spacing w:after="0" w:line="264" w:lineRule="auto"/>
        <w:tabs>
          <w:tab w:leader="none" w:pos="3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unconsolidated Latitude Margaritaville Watersound JV builds and sells homes in this community. In September 2026, we sold an additional 3,557 acres of land, located in the West Bay Creek DSAP, to the Latitude Margaritaville Watersound JV. The additional land is estimated to add approximately 3,500 residential homes to the Latitude Margaritaville Watersound community. See Note 4. </w:t>
      </w:r>
      <w:r>
        <w:rPr>
          <w:rFonts w:ascii="Times New Roman" w:cs="Times New Roman" w:eastAsia="Times New Roman" w:hAnsi="Times New Roman"/>
          <w:sz w:val="16"/>
          <w:szCs w:val="16"/>
          <w:i w:val="1"/>
          <w:iCs w:val="1"/>
          <w:color w:val="auto"/>
        </w:rPr>
        <w:t>Joint Ventures</w:t>
      </w:r>
      <w:r>
        <w:rPr>
          <w:rFonts w:ascii="Times New Roman" w:cs="Times New Roman" w:eastAsia="Times New Roman" w:hAnsi="Times New Roman"/>
          <w:sz w:val="16"/>
          <w:szCs w:val="16"/>
          <w:color w:val="auto"/>
        </w:rPr>
        <w:t xml:space="preserve"> for additional information.</w:t>
      </w:r>
    </w:p>
    <w:p>
      <w:pPr>
        <w:ind w:left="380" w:hanging="330"/>
        <w:spacing w:after="0"/>
        <w:tabs>
          <w:tab w:leader="none" w:pos="3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Development of Regional Impact (“DRI”).</w:t>
      </w:r>
    </w:p>
    <w:p>
      <w:pPr>
        <w:spacing w:after="0" w:line="222" w:lineRule="exact"/>
        <w:rPr>
          <w:sz w:val="20"/>
          <w:szCs w:val="20"/>
          <w:color w:val="auto"/>
        </w:rPr>
      </w:pPr>
    </w:p>
    <w:p>
      <w:pPr>
        <w:ind w:left="60" w:right="259" w:firstLine="324"/>
        <w:spacing w:after="0" w:line="282" w:lineRule="auto"/>
        <w:rPr>
          <w:sz w:val="20"/>
          <w:szCs w:val="20"/>
          <w:color w:val="auto"/>
        </w:rPr>
      </w:pPr>
      <w:r>
        <w:rPr>
          <w:rFonts w:ascii="Times New Roman" w:cs="Times New Roman" w:eastAsia="Times New Roman" w:hAnsi="Times New Roman"/>
          <w:sz w:val="18"/>
          <w:szCs w:val="18"/>
          <w:color w:val="auto"/>
        </w:rPr>
        <w:t>In addition to the communities listed above, we have a number of other residential project concepts in various stages of planning and evaluation.</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As of September 30, 2026, we had nineteen different homebuilders within our residential communities. As of September 30, 2026, we had 3,021 residential homesites under contract, which include 1,326 homesites within the Havenry community (formerly known as Pigeon Creek), which is positioned to include significant variable revenue due to its long-term nature. In addition, as of September 30, 2026, we had approximately 647 entitled but undeveloped homesites within the SouthWood community under contract. Excluding the Havenry and SouthWood community contracts due to their scale and timing, the remaining 1,048 residential homesites under contract are expected to result in revenue of approximately $103.6 million, plus residuals, at closing of the homesites over the next several years. By comparison, as of</w:t>
      </w:r>
    </w:p>
    <w:p>
      <w:pPr>
        <w:spacing w:after="0" w:line="3" w:lineRule="exact"/>
        <w:rPr>
          <w:sz w:val="20"/>
          <w:szCs w:val="20"/>
          <w:color w:val="auto"/>
        </w:rPr>
      </w:pPr>
    </w:p>
    <w:p>
      <w:pPr>
        <w:ind w:left="60" w:right="179"/>
        <w:spacing w:after="0" w:line="252" w:lineRule="auto"/>
        <w:rPr>
          <w:sz w:val="20"/>
          <w:szCs w:val="20"/>
          <w:color w:val="auto"/>
        </w:rPr>
      </w:pPr>
      <w:r>
        <w:rPr>
          <w:rFonts w:ascii="Times New Roman" w:cs="Times New Roman" w:eastAsia="Times New Roman" w:hAnsi="Times New Roman"/>
          <w:sz w:val="18"/>
          <w:szCs w:val="18"/>
          <w:color w:val="auto"/>
        </w:rPr>
        <w:t>September 30, 2025, we had 1,992 residential homesites under contract, which includes approximately 647 entitled but undeveloped homesites within the SouthWood community. Excluding the SouthWood community contract due to its scale and timing, the remaining 1,345 residential homesites under contract were expected to result in revenue of approximately $137.4 million, plus residuals. The change in homesites under contract is due to homesite transactions since the end of the prior period, new contracts, and the amount of remaining homesites in current phases of the residential communities. Homesite prices vary significantly by community and often sell in concentrated transactions that may impact period over period results.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Hospitality Segment</w:t>
      </w:r>
    </w:p>
    <w:p>
      <w:pPr>
        <w:spacing w:after="0" w:line="229"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 xml:space="preserve">Our hospitality segment features a private membership club (the “Watersound Club”), hotel operations, food and beverage operations, golf courses, beach clubs, retail outlets, marinas and other entertainment offerings. The hospitality segment generates revenue from membership sales, golf courses, lodging at our hotels, food and beverage operations, merchandise sales, marina operations (including boat slip rentals, boat storage fees and fuel sales), other resort and entertainment activities and beach clubs, which include food and beverage operations of the WaterColor Beach Club. Hospitality revenue is generally recognized at the point in time services are provided and represents a single performance obligation with a fixed transaction price. Hospitality revenue recognized over time includes non-refundable club membership initiation fees, club membership dues and other membership fees. The hospitality segment incurs costs from the services and goods provided, personnel costs, maintenance of the facilities and holding costs of the assets. From time to time, we may explore the sale of certain hospitality properties, the development of new hospitality properties, as well as new entertainment and management opportunities. Our hospitality segment may also generate revenue from the sale of operating properties. Real estate sales in our hospitality segment incur costs of revenue directly associated with the land, development, construction and selling costs. Cost of hospitality revenue and cost of real estate revenue exclude depreciation, depletion and amortization expense. Some of our JV assets and other assets incur interest and financing expenses related to the loans as described in Note 8. </w:t>
      </w:r>
      <w:r>
        <w:rPr>
          <w:rFonts w:ascii="Times New Roman" w:cs="Times New Roman" w:eastAsia="Times New Roman" w:hAnsi="Times New Roman"/>
          <w:sz w:val="18"/>
          <w:szCs w:val="18"/>
          <w:i w:val="1"/>
          <w:iCs w:val="1"/>
          <w:color w:val="auto"/>
        </w:rPr>
        <w:t>Debt, Net</w:t>
      </w:r>
      <w:r>
        <w:rPr>
          <w:rFonts w:ascii="Times New Roman" w:cs="Times New Roman" w:eastAsia="Times New Roman" w:hAnsi="Times New Roman"/>
          <w:sz w:val="18"/>
          <w:szCs w:val="18"/>
          <w:color w:val="auto"/>
        </w:rPr>
        <w:t>.</w:t>
      </w:r>
    </w:p>
    <w:p>
      <w:pPr>
        <w:spacing w:after="0" w:line="196"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Watersound Club provides club members access to our member facilities, which include the Watersound Beach Club, Camp Creek golf course and amenities, Shark’s Tooth golf course and tennis center, The Third golf course and The Sporting Preserve. Watersound Club offers different types of club memberships, each with different access rights and associated fee structures. Watersound Club is focused on creating an outstanding membership experience combined with the luxurious aspects of a destination resort. Watersound Beach Club located on Scenic Highway 30A with over one mile of Gulf frontage, has two resort-style pools, two restaurants, three bars, kid’s room and a recreation area. Camp Creek includes an 18-hole golf course, a full club house, health and wellness center, three restaurants, a tennis and pickle ball center, a resort-style pool complex with separate adult pool, a golf teaching academy, pro shop and multi-sport fields. Shark’s Tooth includes an 18-hole golf course, tennis center, a full club house, a pro shop, as well as two food and beverage outlets. The Third includes an 18-hole golf course. The Sporting Preserve includes a 12-stand sporting clays course. Guests of some of our hotels also have access to certain Watersound Club amenities.</w:t>
      </w:r>
    </w:p>
    <w:p>
      <w:pPr>
        <w:spacing w:after="0" w:line="192" w:lineRule="exact"/>
        <w:rPr>
          <w:sz w:val="20"/>
          <w:szCs w:val="20"/>
          <w:color w:val="auto"/>
        </w:rPr>
      </w:pPr>
    </w:p>
    <w:p>
      <w:pPr>
        <w:ind w:left="60" w:right="119" w:firstLine="369"/>
        <w:spacing w:after="0" w:line="261" w:lineRule="auto"/>
        <w:rPr>
          <w:sz w:val="20"/>
          <w:szCs w:val="20"/>
          <w:color w:val="auto"/>
        </w:rPr>
      </w:pPr>
      <w:r>
        <w:rPr>
          <w:rFonts w:ascii="Times New Roman" w:cs="Times New Roman" w:eastAsia="Times New Roman" w:hAnsi="Times New Roman"/>
          <w:sz w:val="18"/>
          <w:szCs w:val="18"/>
          <w:color w:val="auto"/>
        </w:rPr>
        <w:t>Watersound Origins amenities include a resort-style pool, fitness center, pickle ball courts and tennis courts located in the community. Access to these amenities is reserved to Watersound Origins, Watersound Origins West and Watersound Villas on the Fairway members consisting of the communities’ residents. In addition, an executive golf course located in the community is available to residents and for public play.</w:t>
      </w:r>
    </w:p>
    <w:p>
      <w:pPr>
        <w:spacing w:after="0" w:line="180"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We own and operate the award-winning WaterColor Inn (which includes the Fish Out of Water restaurant) and The Pearl Hotel (which includes the Havana Beach Bar &amp; Grill restaurant); the Camp Creek Inn, the Hilton Garden Inn Panama City Airport, the Homewood Suites by Hilton Panama City Beach, the Hotel Indigo Panama City Marina, the Home2 Suites by Hilton Santa Rosa Beach and the Watersound Inn. With our JV partners, we own and operate The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Lodge 30A and the Embassy Suites by Hilton Panama City Beach Resort. We also operate the WaterColor Beach Club, which includes food and beverage operations and other hospitality related activities, such as beach chair rentals.</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hotel portfolio by property is as follows: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276"/>
        </w:trPr>
        <w:tc>
          <w:tcPr>
            <w:tcW w:w="53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Hotel</w:t>
            </w:r>
          </w:p>
        </w:tc>
        <w:tc>
          <w:tcPr>
            <w:tcW w:w="24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11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 xml:space="preserve">Rooms </w:t>
            </w:r>
            <w:r>
              <w:rPr>
                <w:rFonts w:ascii="Times New Roman" w:cs="Times New Roman" w:eastAsia="Times New Roman" w:hAnsi="Times New Roman"/>
                <w:sz w:val="24"/>
                <w:szCs w:val="24"/>
                <w:b w:val="1"/>
                <w:bCs w:val="1"/>
                <w:color w:val="auto"/>
                <w:vertAlign w:val="superscript"/>
              </w:rPr>
              <w:t>(a)</w:t>
            </w:r>
          </w:p>
        </w:tc>
      </w:tr>
      <w:tr>
        <w:trPr>
          <w:trHeight w:val="196"/>
        </w:trPr>
        <w:tc>
          <w:tcPr>
            <w:tcW w:w="50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Camp Creek Inn</w:t>
            </w:r>
          </w:p>
        </w:tc>
        <w:tc>
          <w:tcPr>
            <w:tcW w:w="240" w:type="dxa"/>
            <w:vAlign w:val="bottom"/>
            <w:tcBorders>
              <w:top w:val="single" w:sz="8" w:color="CCEEFF"/>
            </w:tcBorders>
            <w:shd w:val="clear" w:color="auto" w:fill="CCEEFF"/>
          </w:tcPr>
          <w:p>
            <w:pPr>
              <w:spacing w:after="0"/>
              <w:rPr>
                <w:sz w:val="17"/>
                <w:szCs w:val="17"/>
                <w:color w:val="auto"/>
              </w:rPr>
            </w:pPr>
          </w:p>
        </w:tc>
        <w:tc>
          <w:tcPr>
            <w:tcW w:w="2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Walton County, FL</w:t>
            </w:r>
          </w:p>
        </w:tc>
        <w:tc>
          <w:tcPr>
            <w:tcW w:w="1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203"/>
        </w:trPr>
        <w:tc>
          <w:tcPr>
            <w:tcW w:w="53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WaterColor Inn</w:t>
            </w:r>
          </w:p>
        </w:tc>
        <w:tc>
          <w:tcPr>
            <w:tcW w:w="2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Walton County, FL</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203"/>
        </w:trPr>
        <w:tc>
          <w:tcPr>
            <w:tcW w:w="5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The Pearl Hotel</w:t>
            </w:r>
          </w:p>
        </w:tc>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Walton County, FL</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03"/>
        </w:trPr>
        <w:tc>
          <w:tcPr>
            <w:tcW w:w="53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Watersound Inn</w:t>
            </w:r>
          </w:p>
        </w:tc>
        <w:tc>
          <w:tcPr>
            <w:tcW w:w="2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Walton County, FL</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03"/>
        </w:trPr>
        <w:tc>
          <w:tcPr>
            <w:tcW w:w="5320" w:type="dxa"/>
            <w:vAlign w:val="bottom"/>
            <w:gridSpan w:val="3"/>
            <w:shd w:val="clear" w:color="auto" w:fill="CCEEFF"/>
          </w:tcPr>
          <w:p>
            <w:pPr>
              <w:ind w:left="20"/>
              <w:spacing w:after="0" w:line="202" w:lineRule="exact"/>
              <w:rPr>
                <w:sz w:val="20"/>
                <w:szCs w:val="20"/>
                <w:color w:val="auto"/>
              </w:rPr>
            </w:pPr>
            <w:r>
              <w:rPr>
                <w:rFonts w:ascii="Times New Roman" w:cs="Times New Roman" w:eastAsia="Times New Roman" w:hAnsi="Times New Roman"/>
                <w:sz w:val="16"/>
                <w:szCs w:val="16"/>
                <w:color w:val="auto"/>
              </w:rPr>
              <w:t xml:space="preserve">The Lodge 30A </w:t>
            </w:r>
            <w:r>
              <w:rPr>
                <w:rFonts w:ascii="Times New Roman" w:cs="Times New Roman" w:eastAsia="Times New Roman" w:hAnsi="Times New Roman"/>
                <w:sz w:val="23"/>
                <w:szCs w:val="23"/>
                <w:color w:val="auto"/>
                <w:vertAlign w:val="superscript"/>
              </w:rPr>
              <w:t>(b)</w:t>
            </w:r>
          </w:p>
        </w:tc>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Walton County, FL</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r>
      <w:tr>
        <w:trPr>
          <w:trHeight w:val="203"/>
        </w:trPr>
        <w:tc>
          <w:tcPr>
            <w:tcW w:w="53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Home2 Suites by Hilton Santa Rosa Beach</w:t>
            </w:r>
          </w:p>
        </w:tc>
        <w:tc>
          <w:tcPr>
            <w:tcW w:w="2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Walton County, FL</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r>
      <w:tr>
        <w:trPr>
          <w:trHeight w:val="203"/>
        </w:trPr>
        <w:tc>
          <w:tcPr>
            <w:tcW w:w="5320" w:type="dxa"/>
            <w:vAlign w:val="bottom"/>
            <w:gridSpan w:val="3"/>
            <w:shd w:val="clear" w:color="auto" w:fill="CCEEFF"/>
          </w:tcPr>
          <w:p>
            <w:pPr>
              <w:ind w:left="20"/>
              <w:spacing w:after="0" w:line="202" w:lineRule="exact"/>
              <w:rPr>
                <w:sz w:val="20"/>
                <w:szCs w:val="20"/>
                <w:color w:val="auto"/>
              </w:rPr>
            </w:pPr>
            <w:r>
              <w:rPr>
                <w:rFonts w:ascii="Times New Roman" w:cs="Times New Roman" w:eastAsia="Times New Roman" w:hAnsi="Times New Roman"/>
                <w:sz w:val="16"/>
                <w:szCs w:val="16"/>
                <w:color w:val="auto"/>
              </w:rPr>
              <w:t xml:space="preserve">Embassy Suites by Hilton Panama City Beach Resort </w:t>
            </w:r>
            <w:r>
              <w:rPr>
                <w:rFonts w:ascii="Times New Roman" w:cs="Times New Roman" w:eastAsia="Times New Roman" w:hAnsi="Times New Roman"/>
                <w:sz w:val="23"/>
                <w:szCs w:val="23"/>
                <w:color w:val="auto"/>
                <w:vertAlign w:val="superscript"/>
              </w:rPr>
              <w:t>(b)</w:t>
            </w:r>
          </w:p>
        </w:tc>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Bay County, FL</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w:t>
            </w:r>
          </w:p>
        </w:tc>
      </w:tr>
      <w:tr>
        <w:trPr>
          <w:trHeight w:val="203"/>
        </w:trPr>
        <w:tc>
          <w:tcPr>
            <w:tcW w:w="53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Hilton Garden Inn Panama City Airport</w:t>
            </w:r>
          </w:p>
        </w:tc>
        <w:tc>
          <w:tcPr>
            <w:tcW w:w="2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Bay County, FL</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r>
      <w:tr>
        <w:trPr>
          <w:trHeight w:val="203"/>
        </w:trPr>
        <w:tc>
          <w:tcPr>
            <w:tcW w:w="5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Homewood Suites by Hilton Panama City Beach</w:t>
            </w:r>
          </w:p>
        </w:tc>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Bay County, FL</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r>
      <w:tr>
        <w:trPr>
          <w:trHeight w:val="203"/>
        </w:trPr>
        <w:tc>
          <w:tcPr>
            <w:tcW w:w="53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Hotel Indigo Panama City Marina</w:t>
            </w:r>
          </w:p>
        </w:tc>
        <w:tc>
          <w:tcPr>
            <w:tcW w:w="2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Bay County, FL</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r>
      <w:tr>
        <w:trPr>
          <w:trHeight w:val="203"/>
        </w:trPr>
        <w:tc>
          <w:tcPr>
            <w:tcW w:w="5320" w:type="dxa"/>
            <w:vAlign w:val="bottom"/>
            <w:gridSpan w:val="3"/>
            <w:shd w:val="clear" w:color="auto" w:fill="CCEEFF"/>
          </w:tcPr>
          <w:p>
            <w:pPr>
              <w:ind w:left="20"/>
              <w:spacing w:after="0" w:line="202" w:lineRule="exact"/>
              <w:rPr>
                <w:sz w:val="20"/>
                <w:szCs w:val="20"/>
                <w:color w:val="auto"/>
              </w:rPr>
            </w:pPr>
            <w:r>
              <w:rPr>
                <w:rFonts w:ascii="Times New Roman" w:cs="Times New Roman" w:eastAsia="Times New Roman" w:hAnsi="Times New Roman"/>
                <w:sz w:val="16"/>
                <w:szCs w:val="16"/>
                <w:color w:val="auto"/>
              </w:rPr>
              <w:t xml:space="preserve">TownePlace Suites by Marriott Panama City Beach Pier Park </w:t>
            </w:r>
            <w:r>
              <w:rPr>
                <w:rFonts w:ascii="Times New Roman" w:cs="Times New Roman" w:eastAsia="Times New Roman" w:hAnsi="Times New Roman"/>
                <w:sz w:val="23"/>
                <w:szCs w:val="23"/>
                <w:color w:val="auto"/>
                <w:vertAlign w:val="superscript"/>
              </w:rPr>
              <w:t>(c)</w:t>
            </w:r>
          </w:p>
        </w:tc>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Bay County, FL</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r>
      <w:tr>
        <w:trPr>
          <w:trHeight w:val="203"/>
        </w:trPr>
        <w:tc>
          <w:tcPr>
            <w:tcW w:w="5320" w:type="dxa"/>
            <w:vAlign w:val="bottom"/>
            <w:tcBorders>
              <w:bottom w:val="single" w:sz="8" w:color="CCEEFF"/>
            </w:tcBorders>
            <w:gridSpan w:val="3"/>
          </w:tcPr>
          <w:p>
            <w:pPr>
              <w:ind w:left="20"/>
              <w:spacing w:after="0" w:line="202" w:lineRule="exact"/>
              <w:rPr>
                <w:sz w:val="20"/>
                <w:szCs w:val="20"/>
                <w:color w:val="auto"/>
              </w:rPr>
            </w:pPr>
            <w:r>
              <w:rPr>
                <w:rFonts w:ascii="Times New Roman" w:cs="Times New Roman" w:eastAsia="Times New Roman" w:hAnsi="Times New Roman"/>
                <w:sz w:val="16"/>
                <w:szCs w:val="16"/>
                <w:color w:val="auto"/>
              </w:rPr>
              <w:t xml:space="preserve">Residence Inn Panama City Beach Pier Park </w:t>
            </w:r>
            <w:r>
              <w:rPr>
                <w:rFonts w:ascii="Times New Roman" w:cs="Times New Roman" w:eastAsia="Times New Roman" w:hAnsi="Times New Roman"/>
                <w:sz w:val="23"/>
                <w:szCs w:val="23"/>
                <w:color w:val="auto"/>
                <w:vertAlign w:val="superscript"/>
              </w:rPr>
              <w:t>(d)</w:t>
            </w:r>
          </w:p>
        </w:tc>
        <w:tc>
          <w:tcPr>
            <w:tcW w:w="24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Bay County, FL</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w:t>
            </w:r>
          </w:p>
        </w:tc>
      </w:tr>
      <w:tr>
        <w:trPr>
          <w:trHeight w:val="196"/>
        </w:trPr>
        <w:tc>
          <w:tcPr>
            <w:tcW w:w="532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Total rooms</w:t>
            </w:r>
          </w:p>
        </w:tc>
        <w:tc>
          <w:tcPr>
            <w:tcW w:w="23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1,298</w:t>
            </w:r>
          </w:p>
        </w:tc>
      </w:tr>
      <w:tr>
        <w:trPr>
          <w:trHeight w:val="20"/>
        </w:trPr>
        <w:tc>
          <w:tcPr>
            <w:tcW w:w="22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2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20" w:type="dxa"/>
            <w:vAlign w:val="bottom"/>
          </w:tcPr>
          <w:p>
            <w:pPr>
              <w:spacing w:after="0"/>
              <w:rPr>
                <w:sz w:val="7"/>
                <w:szCs w:val="7"/>
                <w:color w:val="auto"/>
              </w:rPr>
            </w:pPr>
          </w:p>
        </w:tc>
      </w:tr>
    </w:tbl>
    <w:p>
      <w:pPr>
        <w:spacing w:after="0" w:line="81" w:lineRule="exact"/>
        <w:rPr>
          <w:sz w:val="20"/>
          <w:szCs w:val="20"/>
          <w:color w:val="auto"/>
        </w:rPr>
      </w:pPr>
    </w:p>
    <w:p>
      <w:pPr>
        <w:ind w:left="380" w:hanging="330"/>
        <w:spacing w:after="0"/>
        <w:tabs>
          <w:tab w:leader="none" w:pos="3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hotels currently in operation. We have significant additional entitlements for future hotel projects on our land holdings.</w:t>
      </w:r>
    </w:p>
    <w:p>
      <w:pPr>
        <w:spacing w:after="0" w:line="26" w:lineRule="exact"/>
        <w:rPr>
          <w:rFonts w:ascii="Times New Roman" w:cs="Times New Roman" w:eastAsia="Times New Roman" w:hAnsi="Times New Roman"/>
          <w:sz w:val="16"/>
          <w:szCs w:val="16"/>
          <w:color w:val="auto"/>
        </w:rPr>
      </w:pPr>
    </w:p>
    <w:p>
      <w:pPr>
        <w:ind w:left="380" w:hanging="330"/>
        <w:spacing w:after="0"/>
        <w:tabs>
          <w:tab w:leader="none" w:pos="3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Property is related to a consolidated JV. See Note 4. </w:t>
      </w:r>
      <w:r>
        <w:rPr>
          <w:rFonts w:ascii="Times New Roman" w:cs="Times New Roman" w:eastAsia="Times New Roman" w:hAnsi="Times New Roman"/>
          <w:sz w:val="16"/>
          <w:szCs w:val="16"/>
          <w:i w:val="1"/>
          <w:iCs w:val="1"/>
          <w:color w:val="auto"/>
        </w:rPr>
        <w:t>Joint Ventures</w:t>
      </w:r>
      <w:r>
        <w:rPr>
          <w:rFonts w:ascii="Times New Roman" w:cs="Times New Roman" w:eastAsia="Times New Roman" w:hAnsi="Times New Roman"/>
          <w:sz w:val="16"/>
          <w:szCs w:val="16"/>
          <w:color w:val="auto"/>
        </w:rPr>
        <w:t xml:space="preserve"> for additional information.</w:t>
      </w:r>
    </w:p>
    <w:p>
      <w:pPr>
        <w:spacing w:after="0" w:line="18" w:lineRule="exact"/>
        <w:rPr>
          <w:rFonts w:ascii="Times New Roman" w:cs="Times New Roman" w:eastAsia="Times New Roman" w:hAnsi="Times New Roman"/>
          <w:sz w:val="16"/>
          <w:szCs w:val="16"/>
          <w:color w:val="auto"/>
        </w:rPr>
      </w:pPr>
    </w:p>
    <w:p>
      <w:pPr>
        <w:ind w:left="380" w:right="439" w:hanging="330"/>
        <w:spacing w:after="0" w:line="264" w:lineRule="auto"/>
        <w:tabs>
          <w:tab w:leader="none" w:pos="3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hotel is operated by our JV partner. The Pier Park TPS JV is unconsolidated and is accounted for using the equity method, which is included within our commercial segment. See Note 4. </w:t>
      </w:r>
      <w:r>
        <w:rPr>
          <w:rFonts w:ascii="Times New Roman" w:cs="Times New Roman" w:eastAsia="Times New Roman" w:hAnsi="Times New Roman"/>
          <w:sz w:val="16"/>
          <w:szCs w:val="16"/>
          <w:i w:val="1"/>
          <w:iCs w:val="1"/>
          <w:color w:val="auto"/>
        </w:rPr>
        <w:t>Joint Ventures</w:t>
      </w:r>
      <w:r>
        <w:rPr>
          <w:rFonts w:ascii="Times New Roman" w:cs="Times New Roman" w:eastAsia="Times New Roman" w:hAnsi="Times New Roman"/>
          <w:sz w:val="16"/>
          <w:szCs w:val="16"/>
          <w:color w:val="auto"/>
        </w:rPr>
        <w:t xml:space="preserve"> for additional information.</w:t>
      </w:r>
    </w:p>
    <w:p>
      <w:pPr>
        <w:ind w:left="380" w:right="119" w:hanging="330"/>
        <w:spacing w:after="0" w:line="288" w:lineRule="auto"/>
        <w:tabs>
          <w:tab w:leader="none" w:pos="3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hotel is operated by our JV partner. The Pier Park RI JV is unconsolidated and is accounted for using the equity method, which is included within our commercial segment. See Note 4. </w:t>
      </w:r>
      <w:r>
        <w:rPr>
          <w:rFonts w:ascii="Times New Roman" w:cs="Times New Roman" w:eastAsia="Times New Roman" w:hAnsi="Times New Roman"/>
          <w:sz w:val="16"/>
          <w:szCs w:val="16"/>
          <w:i w:val="1"/>
          <w:iCs w:val="1"/>
          <w:color w:val="auto"/>
        </w:rPr>
        <w:t>Joint Ventures</w:t>
      </w:r>
      <w:r>
        <w:rPr>
          <w:rFonts w:ascii="Times New Roman" w:cs="Times New Roman" w:eastAsia="Times New Roman" w:hAnsi="Times New Roman"/>
          <w:sz w:val="16"/>
          <w:szCs w:val="16"/>
          <w:color w:val="auto"/>
        </w:rPr>
        <w:t xml:space="preserve"> for additional information.</w:t>
      </w:r>
    </w:p>
    <w:p>
      <w:pPr>
        <w:spacing w:after="0" w:line="59" w:lineRule="exact"/>
        <w:rPr>
          <w:sz w:val="20"/>
          <w:szCs w:val="20"/>
          <w:color w:val="auto"/>
        </w:rPr>
      </w:pPr>
    </w:p>
    <w:p>
      <w:pPr>
        <w:ind w:left="60" w:right="279" w:firstLine="324"/>
        <w:spacing w:after="0" w:line="282" w:lineRule="auto"/>
        <w:rPr>
          <w:sz w:val="20"/>
          <w:szCs w:val="20"/>
          <w:color w:val="auto"/>
        </w:rPr>
      </w:pPr>
      <w:r>
        <w:rPr>
          <w:rFonts w:ascii="Times New Roman" w:cs="Times New Roman" w:eastAsia="Times New Roman" w:hAnsi="Times New Roman"/>
          <w:sz w:val="18"/>
          <w:szCs w:val="18"/>
          <w:color w:val="auto"/>
        </w:rPr>
        <w:t>We own and operate two marinas, the Point South Marina Bay Point in Bay County, Florida and Point South Marina Port St. Joe in Gulf County, Florida. We are planning new marinas along the Intracoastal Waterway.</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also own and operate retail stores, standalone restaurants and other entertainment assets.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addition to the properties listed above, we have a number of hospitality projects in various stages of planning.</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Commercial Segment</w:t>
      </w:r>
    </w:p>
    <w:p>
      <w:pPr>
        <w:spacing w:after="0" w:line="229" w:lineRule="exact"/>
        <w:rPr>
          <w:sz w:val="20"/>
          <w:szCs w:val="20"/>
          <w:color w:val="auto"/>
        </w:rPr>
      </w:pPr>
    </w:p>
    <w:p>
      <w:pPr>
        <w:ind w:left="60" w:right="119" w:firstLine="324"/>
        <w:spacing w:after="0" w:line="252" w:lineRule="auto"/>
        <w:rPr>
          <w:sz w:val="20"/>
          <w:szCs w:val="20"/>
          <w:color w:val="auto"/>
        </w:rPr>
      </w:pPr>
      <w:r>
        <w:rPr>
          <w:rFonts w:ascii="Times New Roman" w:cs="Times New Roman" w:eastAsia="Times New Roman" w:hAnsi="Times New Roman"/>
          <w:sz w:val="18"/>
          <w:szCs w:val="18"/>
          <w:color w:val="auto"/>
        </w:rPr>
        <w:t xml:space="preserve">Our commercial segment includes leasing of commercial property, multi-family, self-storage and other assets, as well as senior living prior to the sale of the Watercrest JV’s senior living community property in September 2025. See Note 4. </w:t>
      </w:r>
      <w:r>
        <w:rPr>
          <w:rFonts w:ascii="Times New Roman" w:cs="Times New Roman" w:eastAsia="Times New Roman" w:hAnsi="Times New Roman"/>
          <w:sz w:val="18"/>
          <w:szCs w:val="18"/>
          <w:i w:val="1"/>
          <w:iCs w:val="1"/>
          <w:color w:val="auto"/>
        </w:rPr>
        <w:t xml:space="preserve">Joint Ventures </w:t>
      </w:r>
      <w:r>
        <w:rPr>
          <w:rFonts w:ascii="Times New Roman" w:cs="Times New Roman" w:eastAsia="Times New Roman" w:hAnsi="Times New Roman"/>
          <w:sz w:val="18"/>
          <w:szCs w:val="18"/>
          <w:color w:val="auto"/>
        </w:rPr>
        <w:t>for additional information. The commercial segment also oversees the planning, development, entitlement,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and sale of our commercial and forestry land holdings for a variety of uses, including a broad range of retail, office, hotel, senior living, multi-family, self-storage and industrial properties. We believe the diversity of our commercial segment complements the growth of our residential and hospitality segments. We provide development opportunities for national, regional and local retailers and other strategic partners in Northwest Florida. We own and manage retail shopping centers and develop commercial parcels. We are currently developing the Watersound Town Center in Walton County, Florida and Watersound West Bay Center in Bay County, Florida. These lifestyle centers are complementary to the Watersound Origins, Watersound Origins West and Latitude Margaritaville Watersound residential communities. In conjunction with Florida State University (“FSU”) and Tallahassee Memorial Hospital (“TMH”), we are in the process of developing an 87-acre medical campus in Panama City Beach, Florida. We have large land holdings near the Pier Park retail center, adjacent to the Northwest Florida Beaches International Airport, near or within business districts in the region and along major roadways. We lease land for various other uses. The commercial segment manages our timber holdings in Northwest Florida, which includes growing and selling pulpwood, sawtimber and other products.</w:t>
      </w:r>
    </w:p>
    <w:p>
      <w:pPr>
        <w:spacing w:after="0" w:line="196"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The commercial segment generates leasing revenue and incurs leasing expenses primarily from maintenance and management of our properties, personnel costs and asset holding costs. Our commercial segment generates revenue from the sale of developed and undeveloped land, timber holdings or land with limited development and/or entitlements and the sale of commercial operating properties. Real estate sales in our commercial segment incur costs of revenue directly</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199"/>
        <w:spacing w:after="0" w:line="261" w:lineRule="auto"/>
        <w:rPr>
          <w:sz w:val="20"/>
          <w:szCs w:val="20"/>
          <w:color w:val="auto"/>
        </w:rPr>
      </w:pPr>
      <w:r>
        <w:rPr>
          <w:rFonts w:ascii="Times New Roman" w:cs="Times New Roman" w:eastAsia="Times New Roman" w:hAnsi="Times New Roman"/>
          <w:sz w:val="18"/>
          <w:szCs w:val="18"/>
          <w:color w:val="auto"/>
        </w:rPr>
        <w:t xml:space="preserve">associated with the land, development, construction, timber and selling costs. Our commercial segment generates timber revenue primarily from open market sales of timber on site without the associated delivery costs. Cost of leasing revenue and cost of real estate revenue exclude depreciation, depletion and amortization expense. Some of our JV assets and other assets incur interest and financing expenses related to loans as described in Note 8. </w:t>
      </w:r>
      <w:r>
        <w:rPr>
          <w:rFonts w:ascii="Times New Roman" w:cs="Times New Roman" w:eastAsia="Times New Roman" w:hAnsi="Times New Roman"/>
          <w:sz w:val="18"/>
          <w:szCs w:val="18"/>
          <w:i w:val="1"/>
          <w:iCs w:val="1"/>
          <w:color w:val="auto"/>
        </w:rPr>
        <w:t>Debt, Net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Total units and percentage leased for multi-family and senior living communities by location are as follows:</w:t>
      </w:r>
    </w:p>
    <w:p>
      <w:pPr>
        <w:spacing w:after="0" w:line="237"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1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5"/>
          </w:tcPr>
          <w:p>
            <w:pPr>
              <w:jc w:val="right"/>
              <w:ind w:right="591"/>
              <w:spacing w:after="0"/>
              <w:rPr>
                <w:sz w:val="20"/>
                <w:szCs w:val="20"/>
                <w:color w:val="auto"/>
              </w:rPr>
            </w:pPr>
            <w:r>
              <w:rPr>
                <w:rFonts w:ascii="Times New Roman" w:cs="Times New Roman" w:eastAsia="Times New Roman" w:hAnsi="Times New Roman"/>
                <w:sz w:val="13"/>
                <w:szCs w:val="13"/>
                <w:b w:val="1"/>
                <w:bCs w:val="1"/>
                <w:color w:val="auto"/>
                <w:w w:val="93"/>
              </w:rPr>
              <w:t>September 30, 2026</w:t>
            </w:r>
          </w:p>
        </w:tc>
        <w:tc>
          <w:tcPr>
            <w:tcW w:w="36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5"/>
          </w:tcPr>
          <w:p>
            <w:pPr>
              <w:jc w:val="right"/>
              <w:ind w:right="591"/>
              <w:spacing w:after="0"/>
              <w:rPr>
                <w:sz w:val="20"/>
                <w:szCs w:val="20"/>
                <w:color w:val="auto"/>
              </w:rPr>
            </w:pPr>
            <w:r>
              <w:rPr>
                <w:rFonts w:ascii="Times New Roman" w:cs="Times New Roman" w:eastAsia="Times New Roman" w:hAnsi="Times New Roman"/>
                <w:sz w:val="13"/>
                <w:szCs w:val="13"/>
                <w:b w:val="1"/>
                <w:bCs w:val="1"/>
                <w:color w:val="auto"/>
                <w:w w:val="95"/>
              </w:rPr>
              <w:t>December 31, 2025</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Percentage</w:t>
            </w: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Percentage</w:t>
            </w: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Leased</w:t>
            </w: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Leased</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gridSpan w:val="2"/>
          </w:tcPr>
          <w:p>
            <w:pPr>
              <w:jc w:val="right"/>
              <w:ind w:right="70"/>
              <w:spacing w:after="0" w:line="128"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Units</w:t>
            </w:r>
          </w:p>
        </w:tc>
        <w:tc>
          <w:tcPr>
            <w:tcW w:w="780" w:type="dxa"/>
            <w:vAlign w:val="bottom"/>
            <w:gridSpan w:val="2"/>
          </w:tcPr>
          <w:p>
            <w:pPr>
              <w:jc w:val="right"/>
              <w:ind w:right="90"/>
              <w:spacing w:after="0" w:line="128"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Units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right="120"/>
              <w:spacing w:after="0" w:line="128" w:lineRule="exact"/>
              <w:rPr>
                <w:sz w:val="20"/>
                <w:szCs w:val="20"/>
                <w:color w:val="auto"/>
              </w:rPr>
            </w:pPr>
            <w:r>
              <w:rPr>
                <w:rFonts w:ascii="Times New Roman" w:cs="Times New Roman" w:eastAsia="Times New Roman" w:hAnsi="Times New Roman"/>
                <w:sz w:val="13"/>
                <w:szCs w:val="13"/>
                <w:b w:val="1"/>
                <w:bCs w:val="1"/>
                <w:color w:val="auto"/>
                <w:w w:val="94"/>
              </w:rPr>
              <w:t>Units</w:t>
            </w:r>
          </w:p>
        </w:tc>
        <w:tc>
          <w:tcPr>
            <w:tcW w:w="74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of Units</w:t>
            </w:r>
          </w:p>
        </w:tc>
        <w:tc>
          <w:tcPr>
            <w:tcW w:w="360" w:type="dxa"/>
            <w:vAlign w:val="bottom"/>
          </w:tcPr>
          <w:p>
            <w:pPr>
              <w:spacing w:after="0"/>
              <w:rPr>
                <w:sz w:val="11"/>
                <w:szCs w:val="11"/>
                <w:color w:val="auto"/>
              </w:rPr>
            </w:pPr>
          </w:p>
        </w:tc>
        <w:tc>
          <w:tcPr>
            <w:tcW w:w="660" w:type="dxa"/>
            <w:vAlign w:val="bottom"/>
          </w:tcPr>
          <w:p>
            <w:pPr>
              <w:jc w:val="right"/>
              <w:ind w:right="89"/>
              <w:spacing w:after="0" w:line="128" w:lineRule="exact"/>
              <w:rPr>
                <w:sz w:val="20"/>
                <w:szCs w:val="20"/>
                <w:color w:val="auto"/>
              </w:rPr>
            </w:pPr>
            <w:r>
              <w:rPr>
                <w:rFonts w:ascii="Times New Roman" w:cs="Times New Roman" w:eastAsia="Times New Roman" w:hAnsi="Times New Roman"/>
                <w:sz w:val="13"/>
                <w:szCs w:val="13"/>
                <w:b w:val="1"/>
                <w:bCs w:val="1"/>
                <w:color w:val="auto"/>
              </w:rPr>
              <w:t>Units</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center"/>
              <w:ind w:right="140"/>
              <w:spacing w:after="0" w:line="128" w:lineRule="exact"/>
              <w:rPr>
                <w:sz w:val="20"/>
                <w:szCs w:val="20"/>
                <w:color w:val="auto"/>
              </w:rPr>
            </w:pPr>
            <w:r>
              <w:rPr>
                <w:rFonts w:ascii="Times New Roman" w:cs="Times New Roman" w:eastAsia="Times New Roman" w:hAnsi="Times New Roman"/>
                <w:sz w:val="13"/>
                <w:szCs w:val="13"/>
                <w:b w:val="1"/>
                <w:bCs w:val="1"/>
                <w:color w:val="auto"/>
                <w:w w:val="94"/>
              </w:rPr>
              <w:t>Units</w:t>
            </w:r>
          </w:p>
        </w:tc>
        <w:tc>
          <w:tcPr>
            <w:tcW w:w="74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of Units</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760" w:type="dxa"/>
            <w:vAlign w:val="bottom"/>
          </w:tcPr>
          <w:p>
            <w:pPr>
              <w:spacing w:after="0"/>
              <w:rPr>
                <w:sz w:val="14"/>
                <w:szCs w:val="14"/>
                <w:color w:val="auto"/>
              </w:rPr>
            </w:pPr>
          </w:p>
        </w:tc>
        <w:tc>
          <w:tcPr>
            <w:tcW w:w="1140" w:type="dxa"/>
            <w:vAlign w:val="bottom"/>
            <w:gridSpan w:val="2"/>
          </w:tcPr>
          <w:p>
            <w:pPr>
              <w:ind w:left="320"/>
              <w:spacing w:after="0"/>
              <w:rPr>
                <w:sz w:val="20"/>
                <w:szCs w:val="20"/>
                <w:color w:val="auto"/>
              </w:rPr>
            </w:pPr>
            <w:r>
              <w:rPr>
                <w:rFonts w:ascii="Times New Roman" w:cs="Times New Roman" w:eastAsia="Times New Roman" w:hAnsi="Times New Roman"/>
                <w:sz w:val="13"/>
                <w:szCs w:val="13"/>
                <w:b w:val="1"/>
                <w:bCs w:val="1"/>
                <w:color w:val="auto"/>
              </w:rPr>
              <w:t>Location</w:t>
            </w:r>
          </w:p>
        </w:tc>
        <w:tc>
          <w:tcPr>
            <w:tcW w:w="6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Times New Roman" w:cs="Times New Roman" w:eastAsia="Times New Roman" w:hAnsi="Times New Roman"/>
                <w:sz w:val="13"/>
                <w:szCs w:val="13"/>
                <w:b w:val="1"/>
                <w:bCs w:val="1"/>
                <w:color w:val="auto"/>
                <w:w w:val="89"/>
              </w:rPr>
              <w:t xml:space="preserve">Planned </w:t>
            </w:r>
            <w:r>
              <w:rPr>
                <w:rFonts w:ascii="Times New Roman" w:cs="Times New Roman" w:eastAsia="Times New Roman" w:hAnsi="Times New Roman"/>
                <w:sz w:val="18"/>
                <w:szCs w:val="18"/>
                <w:b w:val="1"/>
                <w:bCs w:val="1"/>
                <w:color w:val="auto"/>
                <w:w w:val="89"/>
                <w:vertAlign w:val="superscript"/>
              </w:rPr>
              <w:t>(a)</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Completed</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Leased</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Completed</w:t>
            </w:r>
          </w:p>
        </w:tc>
        <w:tc>
          <w:tcPr>
            <w:tcW w:w="3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Completed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Leased</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Completed</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6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Multi-family</w:t>
            </w:r>
          </w:p>
        </w:tc>
        <w:tc>
          <w:tcPr>
            <w:tcW w:w="4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tcPr>
          <w:p>
            <w:pPr>
              <w:ind w:left="20"/>
              <w:spacing w:after="0" w:line="149" w:lineRule="exact"/>
              <w:rPr>
                <w:sz w:val="20"/>
                <w:szCs w:val="20"/>
                <w:color w:val="auto"/>
              </w:rPr>
            </w:pPr>
            <w:r>
              <w:rPr>
                <w:rFonts w:ascii="Times New Roman" w:cs="Times New Roman" w:eastAsia="Times New Roman" w:hAnsi="Times New Roman"/>
                <w:sz w:val="12"/>
                <w:szCs w:val="12"/>
                <w:color w:val="auto"/>
              </w:rPr>
              <w:t xml:space="preserve">Pier Park Crossings </w:t>
            </w:r>
            <w:r>
              <w:rPr>
                <w:rFonts w:ascii="Times New Roman" w:cs="Times New Roman" w:eastAsia="Times New Roman" w:hAnsi="Times New Roman"/>
                <w:sz w:val="17"/>
                <w:szCs w:val="17"/>
                <w:color w:val="auto"/>
                <w:vertAlign w:val="superscript"/>
              </w:rPr>
              <w:t>(b)</w:t>
            </w:r>
          </w:p>
        </w:tc>
        <w:tc>
          <w:tcPr>
            <w:tcW w:w="11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Bay County, FL</w:t>
            </w:r>
          </w:p>
        </w:tc>
        <w:tc>
          <w:tcPr>
            <w:tcW w:w="6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240</w:t>
            </w: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240</w:t>
            </w:r>
          </w:p>
        </w:tc>
        <w:tc>
          <w:tcPr>
            <w:tcW w:w="8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227</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w:t>
            </w:r>
          </w:p>
        </w:tc>
        <w:tc>
          <w:tcPr>
            <w:tcW w:w="36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240</w:t>
            </w:r>
          </w:p>
        </w:tc>
        <w:tc>
          <w:tcPr>
            <w:tcW w:w="8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229</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w:t>
            </w: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2"/>
        </w:trPr>
        <w:tc>
          <w:tcPr>
            <w:tcW w:w="176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4"/>
                <w:szCs w:val="14"/>
                <w:color w:val="auto"/>
              </w:rPr>
              <w:t>Pier Park Crossings Phase II</w:t>
            </w:r>
          </w:p>
        </w:tc>
        <w:tc>
          <w:tcPr>
            <w:tcW w:w="11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Bay County, FL</w:t>
            </w:r>
          </w:p>
        </w:tc>
        <w:tc>
          <w:tcPr>
            <w:tcW w:w="6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8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20" w:type="dxa"/>
            <w:vAlign w:val="bottom"/>
            <w:shd w:val="clear" w:color="auto" w:fill="CCEEFF"/>
          </w:tcPr>
          <w:p>
            <w:pPr>
              <w:spacing w:after="0"/>
              <w:rPr>
                <w:sz w:val="10"/>
                <w:szCs w:val="10"/>
                <w:color w:val="auto"/>
              </w:rPr>
            </w:pPr>
          </w:p>
        </w:tc>
        <w:tc>
          <w:tcPr>
            <w:tcW w:w="1100" w:type="dxa"/>
            <w:vAlign w:val="bottom"/>
            <w:gridSpan w:val="2"/>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98 %</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8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2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91 %</w:t>
            </w:r>
          </w:p>
        </w:tc>
        <w:tc>
          <w:tcPr>
            <w:tcW w:w="0" w:type="dxa"/>
            <w:vAlign w:val="bottom"/>
          </w:tcPr>
          <w:p>
            <w:pPr>
              <w:spacing w:after="0"/>
              <w:rPr>
                <w:sz w:val="1"/>
                <w:szCs w:val="1"/>
                <w:color w:val="auto"/>
              </w:rPr>
            </w:pPr>
          </w:p>
        </w:tc>
      </w:tr>
      <w:tr>
        <w:trPr>
          <w:trHeight w:val="135"/>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w:t>
            </w:r>
          </w:p>
        </w:tc>
        <w:tc>
          <w:tcPr>
            <w:tcW w:w="1140" w:type="dxa"/>
            <w:vAlign w:val="bottom"/>
            <w:gridSpan w:val="2"/>
            <w:vMerge w:val="continue"/>
            <w:shd w:val="clear" w:color="auto" w:fill="CCEEFF"/>
          </w:tcPr>
          <w:p>
            <w:pPr>
              <w:spacing w:after="0"/>
              <w:rPr>
                <w:sz w:val="11"/>
                <w:szCs w:val="11"/>
                <w:color w:val="auto"/>
              </w:rPr>
            </w:pPr>
          </w:p>
        </w:tc>
        <w:tc>
          <w:tcPr>
            <w:tcW w:w="640" w:type="dxa"/>
            <w:vAlign w:val="bottom"/>
            <w:gridSpan w:val="2"/>
            <w:vMerge w:val="continue"/>
            <w:shd w:val="clear" w:color="auto" w:fill="CCEEFF"/>
          </w:tcPr>
          <w:p>
            <w:pPr>
              <w:spacing w:after="0"/>
              <w:rPr>
                <w:sz w:val="11"/>
                <w:szCs w:val="11"/>
                <w:color w:val="auto"/>
              </w:rPr>
            </w:pPr>
          </w:p>
        </w:tc>
        <w:tc>
          <w:tcPr>
            <w:tcW w:w="780" w:type="dxa"/>
            <w:vAlign w:val="bottom"/>
            <w:gridSpan w:val="2"/>
            <w:vMerge w:val="continue"/>
            <w:shd w:val="clear" w:color="auto" w:fill="CCEEFF"/>
          </w:tcPr>
          <w:p>
            <w:pPr>
              <w:spacing w:after="0"/>
              <w:rPr>
                <w:sz w:val="11"/>
                <w:szCs w:val="11"/>
                <w:color w:val="auto"/>
              </w:rPr>
            </w:pPr>
          </w:p>
        </w:tc>
        <w:tc>
          <w:tcPr>
            <w:tcW w:w="840" w:type="dxa"/>
            <w:vAlign w:val="bottom"/>
            <w:gridSpan w:val="3"/>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gridSpan w:val="2"/>
            <w:vMerge w:val="continue"/>
            <w:shd w:val="clear" w:color="auto" w:fill="CCEEFF"/>
          </w:tcPr>
          <w:p>
            <w:pPr>
              <w:spacing w:after="0"/>
              <w:rPr>
                <w:sz w:val="11"/>
                <w:szCs w:val="11"/>
                <w:color w:val="auto"/>
              </w:rPr>
            </w:pPr>
          </w:p>
        </w:tc>
        <w:tc>
          <w:tcPr>
            <w:tcW w:w="660" w:type="dxa"/>
            <w:vAlign w:val="bottom"/>
            <w:vMerge w:val="continue"/>
            <w:shd w:val="clear" w:color="auto" w:fill="CCEEFF"/>
          </w:tcPr>
          <w:p>
            <w:pPr>
              <w:spacing w:after="0"/>
              <w:rPr>
                <w:sz w:val="11"/>
                <w:szCs w:val="11"/>
                <w:color w:val="auto"/>
              </w:rPr>
            </w:pPr>
          </w:p>
        </w:tc>
        <w:tc>
          <w:tcPr>
            <w:tcW w:w="820" w:type="dxa"/>
            <w:vAlign w:val="bottom"/>
            <w:gridSpan w:val="3"/>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760" w:type="dxa"/>
            <w:vAlign w:val="bottom"/>
          </w:tcPr>
          <w:p>
            <w:pPr>
              <w:ind w:left="20"/>
              <w:spacing w:after="0" w:line="122" w:lineRule="exact"/>
              <w:rPr>
                <w:sz w:val="20"/>
                <w:szCs w:val="20"/>
                <w:color w:val="auto"/>
              </w:rPr>
            </w:pPr>
            <w:r>
              <w:rPr>
                <w:rFonts w:ascii="Times New Roman" w:cs="Times New Roman" w:eastAsia="Times New Roman" w:hAnsi="Times New Roman"/>
                <w:sz w:val="14"/>
                <w:szCs w:val="14"/>
                <w:color w:val="auto"/>
              </w:rPr>
              <w:t>Watersound Origins</w:t>
            </w:r>
          </w:p>
        </w:tc>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Walton County, FL</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8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36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8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1760" w:type="dxa"/>
            <w:vAlign w:val="bottom"/>
          </w:tcPr>
          <w:p>
            <w:pPr>
              <w:ind w:left="20"/>
              <w:spacing w:after="0" w:line="176" w:lineRule="exact"/>
              <w:rPr>
                <w:sz w:val="20"/>
                <w:szCs w:val="20"/>
                <w:color w:val="auto"/>
              </w:rPr>
            </w:pPr>
            <w:r>
              <w:rPr>
                <w:rFonts w:ascii="Times New Roman" w:cs="Times New Roman" w:eastAsia="Times New Roman" w:hAnsi="Times New Roman"/>
                <w:sz w:val="14"/>
                <w:szCs w:val="14"/>
                <w:color w:val="auto"/>
              </w:rPr>
              <w:t xml:space="preserve">Crossings </w:t>
            </w:r>
            <w:r>
              <w:rPr>
                <w:rFonts w:ascii="Times New Roman" w:cs="Times New Roman" w:eastAsia="Times New Roman" w:hAnsi="Times New Roman"/>
                <w:sz w:val="20"/>
                <w:szCs w:val="20"/>
                <w:color w:val="auto"/>
                <w:vertAlign w:val="superscript"/>
              </w:rPr>
              <w:t>(b)</w:t>
            </w:r>
          </w:p>
        </w:tc>
        <w:tc>
          <w:tcPr>
            <w:tcW w:w="1140" w:type="dxa"/>
            <w:vAlign w:val="bottom"/>
            <w:gridSpan w:val="2"/>
            <w:vMerge w:val="continue"/>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7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North Bay Landing</w:t>
            </w:r>
          </w:p>
        </w:tc>
        <w:tc>
          <w:tcPr>
            <w:tcW w:w="11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Bay County, FL</w:t>
            </w:r>
          </w:p>
        </w:tc>
        <w:tc>
          <w:tcPr>
            <w:tcW w:w="6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240</w:t>
            </w:r>
          </w:p>
        </w:tc>
        <w:tc>
          <w:tcPr>
            <w:tcW w:w="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240</w:t>
            </w:r>
          </w:p>
        </w:tc>
        <w:tc>
          <w:tcPr>
            <w:tcW w:w="84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222</w:t>
            </w: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93 %</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240</w:t>
            </w:r>
          </w:p>
        </w:tc>
        <w:tc>
          <w:tcPr>
            <w:tcW w:w="8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218</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91 %</w:t>
            </w:r>
          </w:p>
        </w:tc>
        <w:tc>
          <w:tcPr>
            <w:tcW w:w="0" w:type="dxa"/>
            <w:vAlign w:val="bottom"/>
          </w:tcPr>
          <w:p>
            <w:pPr>
              <w:spacing w:after="0"/>
              <w:rPr>
                <w:sz w:val="1"/>
                <w:szCs w:val="1"/>
                <w:color w:val="auto"/>
              </w:rPr>
            </w:pPr>
          </w:p>
        </w:tc>
      </w:tr>
      <w:tr>
        <w:trPr>
          <w:trHeight w:val="149"/>
        </w:trPr>
        <w:tc>
          <w:tcPr>
            <w:tcW w:w="1760" w:type="dxa"/>
            <w:vAlign w:val="bottom"/>
          </w:tcPr>
          <w:p>
            <w:pPr>
              <w:ind w:left="20"/>
              <w:spacing w:after="0" w:line="149" w:lineRule="exact"/>
              <w:rPr>
                <w:sz w:val="20"/>
                <w:szCs w:val="20"/>
                <w:color w:val="auto"/>
              </w:rPr>
            </w:pPr>
            <w:r>
              <w:rPr>
                <w:rFonts w:ascii="Times New Roman" w:cs="Times New Roman" w:eastAsia="Times New Roman" w:hAnsi="Times New Roman"/>
                <w:sz w:val="12"/>
                <w:szCs w:val="12"/>
                <w:color w:val="auto"/>
              </w:rPr>
              <w:t xml:space="preserve">Mexico Beach Crossings </w:t>
            </w:r>
            <w:r>
              <w:rPr>
                <w:rFonts w:ascii="Times New Roman" w:cs="Times New Roman" w:eastAsia="Times New Roman" w:hAnsi="Times New Roman"/>
                <w:sz w:val="17"/>
                <w:szCs w:val="17"/>
                <w:color w:val="auto"/>
                <w:vertAlign w:val="superscript"/>
              </w:rPr>
              <w:t>(b)</w:t>
            </w:r>
          </w:p>
        </w:tc>
        <w:tc>
          <w:tcPr>
            <w:tcW w:w="11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Bay County, FL</w:t>
            </w:r>
          </w:p>
        </w:tc>
        <w:tc>
          <w:tcPr>
            <w:tcW w:w="6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216</w:t>
            </w: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216</w:t>
            </w:r>
          </w:p>
        </w:tc>
        <w:tc>
          <w:tcPr>
            <w:tcW w:w="8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199</w:t>
            </w:r>
          </w:p>
        </w:tc>
        <w:tc>
          <w:tcPr>
            <w:tcW w:w="120" w:type="dxa"/>
            <w:vAlign w:val="bottom"/>
          </w:tcPr>
          <w:p>
            <w:pPr>
              <w:spacing w:after="0"/>
              <w:rPr>
                <w:sz w:val="12"/>
                <w:szCs w:val="12"/>
                <w:color w:val="auto"/>
              </w:rPr>
            </w:pPr>
          </w:p>
        </w:tc>
        <w:tc>
          <w:tcPr>
            <w:tcW w:w="110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92 %</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216</w:t>
            </w:r>
          </w:p>
        </w:tc>
        <w:tc>
          <w:tcPr>
            <w:tcW w:w="8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202</w:t>
            </w:r>
          </w:p>
        </w:tc>
        <w:tc>
          <w:tcPr>
            <w:tcW w:w="12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94 %</w:t>
            </w:r>
          </w:p>
        </w:tc>
        <w:tc>
          <w:tcPr>
            <w:tcW w:w="0" w:type="dxa"/>
            <w:vAlign w:val="bottom"/>
          </w:tcPr>
          <w:p>
            <w:pPr>
              <w:spacing w:after="0"/>
              <w:rPr>
                <w:sz w:val="1"/>
                <w:szCs w:val="1"/>
                <w:color w:val="auto"/>
              </w:rPr>
            </w:pPr>
          </w:p>
        </w:tc>
      </w:tr>
      <w:tr>
        <w:trPr>
          <w:trHeight w:val="121"/>
        </w:trPr>
        <w:tc>
          <w:tcPr>
            <w:tcW w:w="176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4"/>
                <w:szCs w:val="14"/>
                <w:color w:val="auto"/>
              </w:rPr>
              <w:t>Watersound Villas on the</w:t>
            </w:r>
          </w:p>
        </w:tc>
        <w:tc>
          <w:tcPr>
            <w:tcW w:w="11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Walton County, FL</w:t>
            </w:r>
          </w:p>
        </w:tc>
        <w:tc>
          <w:tcPr>
            <w:tcW w:w="6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N/A</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36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0" w:type="dxa"/>
            <w:vAlign w:val="bottom"/>
          </w:tcPr>
          <w:p>
            <w:pPr>
              <w:spacing w:after="0"/>
              <w:rPr>
                <w:sz w:val="1"/>
                <w:szCs w:val="1"/>
                <w:color w:val="auto"/>
              </w:rPr>
            </w:pPr>
          </w:p>
        </w:tc>
      </w:tr>
      <w:tr>
        <w:trPr>
          <w:trHeight w:val="176"/>
        </w:trPr>
        <w:tc>
          <w:tcPr>
            <w:tcW w:w="17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4"/>
                <w:szCs w:val="14"/>
                <w:color w:val="auto"/>
              </w:rPr>
              <w:t xml:space="preserve">Fairway </w:t>
            </w:r>
            <w:r>
              <w:rPr>
                <w:rFonts w:ascii="Times New Roman" w:cs="Times New Roman" w:eastAsia="Times New Roman" w:hAnsi="Times New Roman"/>
                <w:sz w:val="20"/>
                <w:szCs w:val="20"/>
                <w:color w:val="auto"/>
                <w:vertAlign w:val="superscript"/>
              </w:rPr>
              <w:t>(c)</w:t>
            </w:r>
          </w:p>
        </w:tc>
        <w:tc>
          <w:tcPr>
            <w:tcW w:w="1140" w:type="dxa"/>
            <w:vAlign w:val="bottom"/>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820" w:type="dxa"/>
            <w:vAlign w:val="bottom"/>
            <w:gridSpan w:val="3"/>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760" w:type="dxa"/>
            <w:vAlign w:val="bottom"/>
          </w:tcPr>
          <w:p>
            <w:pPr>
              <w:ind w:left="20"/>
              <w:spacing w:after="0" w:line="149" w:lineRule="exact"/>
              <w:rPr>
                <w:sz w:val="20"/>
                <w:szCs w:val="20"/>
                <w:color w:val="auto"/>
              </w:rPr>
            </w:pPr>
            <w:r>
              <w:rPr>
                <w:rFonts w:ascii="Times New Roman" w:cs="Times New Roman" w:eastAsia="Times New Roman" w:hAnsi="Times New Roman"/>
                <w:sz w:val="12"/>
                <w:szCs w:val="12"/>
                <w:color w:val="auto"/>
              </w:rPr>
              <w:t xml:space="preserve">WindMark Beach </w:t>
            </w:r>
            <w:r>
              <w:rPr>
                <w:rFonts w:ascii="Times New Roman" w:cs="Times New Roman" w:eastAsia="Times New Roman" w:hAnsi="Times New Roman"/>
                <w:sz w:val="17"/>
                <w:szCs w:val="17"/>
                <w:color w:val="auto"/>
                <w:vertAlign w:val="superscript"/>
              </w:rPr>
              <w:t>(d)</w:t>
            </w:r>
          </w:p>
        </w:tc>
        <w:tc>
          <w:tcPr>
            <w:tcW w:w="11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Gulf County, FL</w:t>
            </w:r>
          </w:p>
        </w:tc>
        <w:tc>
          <w:tcPr>
            <w:tcW w:w="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3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8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12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71 %</w:t>
            </w:r>
          </w:p>
        </w:tc>
        <w:tc>
          <w:tcPr>
            <w:tcW w:w="0" w:type="dxa"/>
            <w:vAlign w:val="bottom"/>
          </w:tcPr>
          <w:p>
            <w:pPr>
              <w:spacing w:after="0"/>
              <w:rPr>
                <w:sz w:val="1"/>
                <w:szCs w:val="1"/>
                <w:color w:val="auto"/>
              </w:rPr>
            </w:pPr>
          </w:p>
        </w:tc>
      </w:tr>
      <w:tr>
        <w:trPr>
          <w:trHeight w:val="142"/>
        </w:trPr>
        <w:tc>
          <w:tcPr>
            <w:tcW w:w="176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Total multi-family units </w:t>
            </w:r>
            <w:r>
              <w:rPr>
                <w:rFonts w:ascii="Times New Roman" w:cs="Times New Roman" w:eastAsia="Times New Roman" w:hAnsi="Times New Roman"/>
                <w:sz w:val="16"/>
                <w:szCs w:val="16"/>
                <w:b w:val="1"/>
                <w:bCs w:val="1"/>
                <w:color w:val="auto"/>
                <w:vertAlign w:val="superscript"/>
              </w:rPr>
              <w:t>(e)</w:t>
            </w:r>
          </w:p>
        </w:tc>
        <w:tc>
          <w:tcPr>
            <w:tcW w:w="4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1,033</w:t>
            </w:r>
          </w:p>
        </w:tc>
        <w:tc>
          <w:tcPr>
            <w:tcW w:w="1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1,033</w:t>
            </w: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972</w:t>
            </w:r>
          </w:p>
        </w:tc>
        <w:tc>
          <w:tcPr>
            <w:tcW w:w="12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94</w:t>
            </w:r>
          </w:p>
        </w:tc>
        <w:tc>
          <w:tcPr>
            <w:tcW w:w="360" w:type="dxa"/>
            <w:vAlign w:val="bottom"/>
            <w:tcBorders>
              <w:top w:val="single" w:sz="8" w:color="CCEEFF"/>
            </w:tcBorders>
            <w:shd w:val="clear" w:color="auto" w:fill="CCEEFF"/>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1,104</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988</w:t>
            </w:r>
          </w:p>
        </w:tc>
        <w:tc>
          <w:tcPr>
            <w:tcW w:w="12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89</w:t>
            </w:r>
          </w:p>
        </w:tc>
        <w:tc>
          <w:tcPr>
            <w:tcW w:w="18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1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Senior living</w:t>
            </w:r>
          </w:p>
        </w:tc>
        <w:tc>
          <w:tcPr>
            <w:tcW w:w="4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tcPr>
          <w:p>
            <w:pPr>
              <w:ind w:left="20"/>
              <w:spacing w:after="0" w:line="149" w:lineRule="exact"/>
              <w:rPr>
                <w:sz w:val="20"/>
                <w:szCs w:val="20"/>
                <w:color w:val="auto"/>
              </w:rPr>
            </w:pPr>
            <w:r>
              <w:rPr>
                <w:rFonts w:ascii="Times New Roman" w:cs="Times New Roman" w:eastAsia="Times New Roman" w:hAnsi="Times New Roman"/>
                <w:sz w:val="12"/>
                <w:szCs w:val="12"/>
                <w:color w:val="auto"/>
              </w:rPr>
              <w:t xml:space="preserve">Watersound Fountains </w:t>
            </w:r>
            <w:r>
              <w:rPr>
                <w:rFonts w:ascii="Times New Roman" w:cs="Times New Roman" w:eastAsia="Times New Roman" w:hAnsi="Times New Roman"/>
                <w:sz w:val="17"/>
                <w:szCs w:val="17"/>
                <w:color w:val="auto"/>
                <w:vertAlign w:val="superscript"/>
              </w:rPr>
              <w:t>(f)</w:t>
            </w:r>
          </w:p>
        </w:tc>
        <w:tc>
          <w:tcPr>
            <w:tcW w:w="11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Walton County, FL</w:t>
            </w:r>
          </w:p>
        </w:tc>
        <w:tc>
          <w:tcPr>
            <w:tcW w:w="6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148</w:t>
            </w: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148</w:t>
            </w:r>
          </w:p>
        </w:tc>
        <w:tc>
          <w:tcPr>
            <w:tcW w:w="8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79</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36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148</w:t>
            </w:r>
          </w:p>
        </w:tc>
        <w:tc>
          <w:tcPr>
            <w:tcW w:w="8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69</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176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senior living units</w:t>
            </w:r>
          </w:p>
        </w:tc>
        <w:tc>
          <w:tcPr>
            <w:tcW w:w="4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148</w:t>
            </w:r>
          </w:p>
        </w:tc>
        <w:tc>
          <w:tcPr>
            <w:tcW w:w="1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148</w:t>
            </w: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79</w:t>
            </w:r>
          </w:p>
        </w:tc>
        <w:tc>
          <w:tcPr>
            <w:tcW w:w="12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53</w:t>
            </w:r>
          </w:p>
        </w:tc>
        <w:tc>
          <w:tcPr>
            <w:tcW w:w="360" w:type="dxa"/>
            <w:vAlign w:val="bottom"/>
            <w:tcBorders>
              <w:top w:val="single" w:sz="8" w:color="CCEEFF"/>
            </w:tcBorders>
            <w:shd w:val="clear" w:color="auto" w:fill="CCEEFF"/>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148</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69</w:t>
            </w:r>
          </w:p>
        </w:tc>
        <w:tc>
          <w:tcPr>
            <w:tcW w:w="12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47</w:t>
            </w:r>
          </w:p>
        </w:tc>
        <w:tc>
          <w:tcPr>
            <w:tcW w:w="18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17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units</w:t>
            </w: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1,181</w:t>
            </w:r>
          </w:p>
        </w:tc>
        <w:tc>
          <w:tcPr>
            <w:tcW w:w="12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1,181</w:t>
            </w:r>
          </w:p>
        </w:tc>
        <w:tc>
          <w:tcPr>
            <w:tcW w:w="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1,051</w:t>
            </w:r>
          </w:p>
        </w:tc>
        <w:tc>
          <w:tcPr>
            <w:tcW w:w="12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89</w:t>
            </w:r>
          </w:p>
        </w:tc>
        <w:tc>
          <w:tcPr>
            <w:tcW w:w="360" w:type="dxa"/>
            <w:vAlign w:val="bottom"/>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1,252</w:t>
            </w:r>
          </w:p>
        </w:tc>
        <w:tc>
          <w:tcPr>
            <w:tcW w:w="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1,057</w:t>
            </w:r>
          </w:p>
        </w:tc>
        <w:tc>
          <w:tcPr>
            <w:tcW w:w="12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84</w:t>
            </w:r>
          </w:p>
        </w:tc>
        <w:tc>
          <w:tcPr>
            <w:tcW w:w="1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7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380" w:hanging="330"/>
        <w:spacing w:after="0"/>
        <w:tabs>
          <w:tab w:leader="none" w:pos="38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additional multi-family communities in various stages of planning.</w:t>
      </w:r>
    </w:p>
    <w:p>
      <w:pPr>
        <w:spacing w:after="0" w:line="26" w:lineRule="exact"/>
        <w:rPr>
          <w:rFonts w:ascii="Times New Roman" w:cs="Times New Roman" w:eastAsia="Times New Roman" w:hAnsi="Times New Roman"/>
          <w:sz w:val="16"/>
          <w:szCs w:val="16"/>
          <w:color w:val="auto"/>
        </w:rPr>
      </w:pPr>
    </w:p>
    <w:p>
      <w:pPr>
        <w:ind w:left="380" w:hanging="330"/>
        <w:spacing w:after="0"/>
        <w:tabs>
          <w:tab w:leader="none" w:pos="38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Property is related to a consolidated JV. See Note 4. </w:t>
      </w:r>
      <w:r>
        <w:rPr>
          <w:rFonts w:ascii="Times New Roman" w:cs="Times New Roman" w:eastAsia="Times New Roman" w:hAnsi="Times New Roman"/>
          <w:sz w:val="16"/>
          <w:szCs w:val="16"/>
          <w:i w:val="1"/>
          <w:iCs w:val="1"/>
          <w:color w:val="auto"/>
        </w:rPr>
        <w:t>Joint Ventures</w:t>
      </w:r>
      <w:r>
        <w:rPr>
          <w:rFonts w:ascii="Times New Roman" w:cs="Times New Roman" w:eastAsia="Times New Roman" w:hAnsi="Times New Roman"/>
          <w:sz w:val="16"/>
          <w:szCs w:val="16"/>
          <w:color w:val="auto"/>
        </w:rPr>
        <w:t xml:space="preserve"> for additional information.</w:t>
      </w:r>
    </w:p>
    <w:p>
      <w:pPr>
        <w:spacing w:after="0" w:line="18" w:lineRule="exact"/>
        <w:rPr>
          <w:rFonts w:ascii="Times New Roman" w:cs="Times New Roman" w:eastAsia="Times New Roman" w:hAnsi="Times New Roman"/>
          <w:sz w:val="16"/>
          <w:szCs w:val="16"/>
          <w:color w:val="auto"/>
        </w:rPr>
      </w:pPr>
    </w:p>
    <w:p>
      <w:pPr>
        <w:ind w:left="380" w:right="199" w:hanging="330"/>
        <w:spacing w:after="0" w:line="264" w:lineRule="auto"/>
        <w:tabs>
          <w:tab w:leader="none" w:pos="38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January 2025, the townhomes were platted as individual units, which created the ability to sell them individually. We are no longer entering into new leases. As of September 30, 2026, the remaining townhomes are included within our residential segment.</w:t>
      </w:r>
    </w:p>
    <w:p>
      <w:pPr>
        <w:ind w:left="380" w:hanging="330"/>
        <w:spacing w:after="0"/>
        <w:tabs>
          <w:tab w:leader="none" w:pos="38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July 2026, the multi-family units were sold.</w:t>
      </w:r>
    </w:p>
    <w:p>
      <w:pPr>
        <w:spacing w:after="0" w:line="18" w:lineRule="exact"/>
        <w:rPr>
          <w:rFonts w:ascii="Times New Roman" w:cs="Times New Roman" w:eastAsia="Times New Roman" w:hAnsi="Times New Roman"/>
          <w:sz w:val="16"/>
          <w:szCs w:val="16"/>
          <w:color w:val="auto"/>
        </w:rPr>
      </w:pPr>
    </w:p>
    <w:p>
      <w:pPr>
        <w:ind w:left="380" w:right="219" w:hanging="330"/>
        <w:spacing w:after="0" w:line="264" w:lineRule="auto"/>
        <w:tabs>
          <w:tab w:leader="none" w:pos="38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All multi-family communities are managed by our unconsolidated Watersound Management JV. The Watersound Management JV is unconsolidated and is accounted for using the equity method. See Note 4. </w:t>
      </w:r>
      <w:r>
        <w:rPr>
          <w:rFonts w:ascii="Times New Roman" w:cs="Times New Roman" w:eastAsia="Times New Roman" w:hAnsi="Times New Roman"/>
          <w:sz w:val="16"/>
          <w:szCs w:val="16"/>
          <w:i w:val="1"/>
          <w:iCs w:val="1"/>
          <w:color w:val="auto"/>
        </w:rPr>
        <w:t>Joint Ventures</w:t>
      </w:r>
      <w:r>
        <w:rPr>
          <w:rFonts w:ascii="Times New Roman" w:cs="Times New Roman" w:eastAsia="Times New Roman" w:hAnsi="Times New Roman"/>
          <w:sz w:val="16"/>
          <w:szCs w:val="16"/>
          <w:color w:val="auto"/>
        </w:rPr>
        <w:t xml:space="preserve"> for additional information.</w:t>
      </w:r>
    </w:p>
    <w:p>
      <w:pPr>
        <w:ind w:left="380" w:right="319" w:hanging="330"/>
        <w:spacing w:after="0" w:line="276" w:lineRule="auto"/>
        <w:tabs>
          <w:tab w:leader="none" w:pos="38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community is under lease-up. The senior living community is operated by our JV partner. The Watersound Fountains Independent Living JV is unconsolidated and is accounted for using the equity method. See Note 4. </w:t>
      </w:r>
      <w:r>
        <w:rPr>
          <w:rFonts w:ascii="Times New Roman" w:cs="Times New Roman" w:eastAsia="Times New Roman" w:hAnsi="Times New Roman"/>
          <w:sz w:val="16"/>
          <w:szCs w:val="16"/>
          <w:i w:val="1"/>
          <w:iCs w:val="1"/>
          <w:color w:val="auto"/>
        </w:rPr>
        <w:t>Joint Ventures</w:t>
      </w:r>
      <w:r>
        <w:rPr>
          <w:rFonts w:ascii="Times New Roman" w:cs="Times New Roman" w:eastAsia="Times New Roman" w:hAnsi="Times New Roman"/>
          <w:sz w:val="16"/>
          <w:szCs w:val="16"/>
          <w:color w:val="auto"/>
        </w:rPr>
        <w:t xml:space="preserve"> for additional information.</w:t>
      </w:r>
    </w:p>
    <w:p>
      <w:pPr>
        <w:spacing w:after="0" w:line="176"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As of September 30, 2026, our leasing portfolio consists of approximately 1,148,000 square feet of leasable space for mixed-use, retail, industrial, office, self-storage and medical uses. Through separate unconsolidated JVs, other commercial properties that are operated by our JV partners include a 124-room TownePlace Suites by Marriott, a 121-room Residence Inn, a Busy Bee branded fuel station and convenience store, which includes a Starbucks, and a golf cart sales and service facility, all located in Bay County, Florida.</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total net leasable building square feet and percentage leased of leasing properties are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4"/>
          </w:tcPr>
          <w:p>
            <w:pPr>
              <w:jc w:val="right"/>
              <w:ind w:right="165"/>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320" w:type="dxa"/>
            <w:vAlign w:val="bottom"/>
          </w:tcPr>
          <w:p>
            <w:pPr>
              <w:spacing w:after="0"/>
              <w:rPr>
                <w:sz w:val="15"/>
                <w:szCs w:val="15"/>
                <w:color w:val="auto"/>
              </w:rPr>
            </w:pPr>
          </w:p>
        </w:tc>
        <w:tc>
          <w:tcPr>
            <w:tcW w:w="1820" w:type="dxa"/>
            <w:vAlign w:val="bottom"/>
            <w:tcBorders>
              <w:bottom w:val="single" w:sz="8" w:color="auto"/>
            </w:tcBorders>
            <w:gridSpan w:val="3"/>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240" w:type="dxa"/>
            <w:vAlign w:val="bottom"/>
          </w:tcPr>
          <w:p>
            <w:pPr>
              <w:spacing w:after="0"/>
              <w:rPr>
                <w:sz w:val="10"/>
                <w:szCs w:val="10"/>
                <w:color w:val="auto"/>
              </w:rPr>
            </w:pPr>
          </w:p>
        </w:tc>
        <w:tc>
          <w:tcPr>
            <w:tcW w:w="2440" w:type="dxa"/>
            <w:vAlign w:val="bottom"/>
            <w:gridSpan w:val="3"/>
          </w:tcPr>
          <w:p>
            <w:pPr>
              <w:ind w:left="160"/>
              <w:spacing w:after="0" w:line="126"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center"/>
              <w:ind w:right="5"/>
              <w:spacing w:after="0" w:line="126" w:lineRule="exact"/>
              <w:rPr>
                <w:sz w:val="20"/>
                <w:szCs w:val="20"/>
                <w:color w:val="auto"/>
              </w:rPr>
            </w:pPr>
            <w:r>
              <w:rPr>
                <w:rFonts w:ascii="Times New Roman" w:cs="Times New Roman" w:eastAsia="Times New Roman" w:hAnsi="Times New Roman"/>
                <w:sz w:val="13"/>
                <w:szCs w:val="13"/>
                <w:b w:val="1"/>
                <w:bCs w:val="1"/>
                <w:color w:val="auto"/>
              </w:rPr>
              <w:t>Net</w:t>
            </w:r>
          </w:p>
        </w:tc>
        <w:tc>
          <w:tcPr>
            <w:tcW w:w="180" w:type="dxa"/>
            <w:vAlign w:val="bottom"/>
            <w:gridSpan w:val="2"/>
          </w:tcPr>
          <w:p>
            <w:pPr>
              <w:ind w:left="80"/>
              <w:spacing w:after="0" w:line="126"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0"/>
                <w:szCs w:val="10"/>
                <w:color w:val="auto"/>
              </w:rPr>
            </w:pPr>
          </w:p>
        </w:tc>
        <w:tc>
          <w:tcPr>
            <w:tcW w:w="320" w:type="dxa"/>
            <w:vAlign w:val="bottom"/>
          </w:tcPr>
          <w:p>
            <w:pPr>
              <w:jc w:val="right"/>
              <w:ind w:right="27"/>
              <w:spacing w:after="0" w:line="126"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center"/>
              <w:spacing w:after="0" w:line="126" w:lineRule="exact"/>
              <w:rPr>
                <w:sz w:val="20"/>
                <w:szCs w:val="20"/>
                <w:color w:val="auto"/>
              </w:rPr>
            </w:pPr>
            <w:r>
              <w:rPr>
                <w:rFonts w:ascii="Times New Roman" w:cs="Times New Roman" w:eastAsia="Times New Roman" w:hAnsi="Times New Roman"/>
                <w:sz w:val="13"/>
                <w:szCs w:val="13"/>
                <w:b w:val="1"/>
                <w:bCs w:val="1"/>
                <w:color w:val="auto"/>
              </w:rPr>
              <w:t>Net</w:t>
            </w:r>
          </w:p>
        </w:tc>
        <w:tc>
          <w:tcPr>
            <w:tcW w:w="980" w:type="dxa"/>
            <w:vAlign w:val="bottom"/>
            <w:gridSpan w:val="2"/>
          </w:tcPr>
          <w:p>
            <w:pPr>
              <w:jc w:val="right"/>
              <w:ind w:right="728"/>
              <w:spacing w:after="0" w:line="126"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25"/>
              <w:spacing w:after="0"/>
              <w:rPr>
                <w:sz w:val="20"/>
                <w:szCs w:val="20"/>
                <w:color w:val="auto"/>
              </w:rPr>
            </w:pPr>
            <w:r>
              <w:rPr>
                <w:rFonts w:ascii="Times New Roman" w:cs="Times New Roman" w:eastAsia="Times New Roman" w:hAnsi="Times New Roman"/>
                <w:sz w:val="13"/>
                <w:szCs w:val="13"/>
                <w:b w:val="1"/>
                <w:bCs w:val="1"/>
                <w:color w:val="auto"/>
              </w:rPr>
              <w:t>Leasable</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Leasable</w:t>
            </w: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25"/>
              <w:spacing w:after="0"/>
              <w:rPr>
                <w:sz w:val="20"/>
                <w:szCs w:val="20"/>
                <w:color w:val="auto"/>
              </w:rPr>
            </w:pPr>
            <w:r>
              <w:rPr>
                <w:rFonts w:ascii="Times New Roman" w:cs="Times New Roman" w:eastAsia="Times New Roman" w:hAnsi="Times New Roman"/>
                <w:sz w:val="13"/>
                <w:szCs w:val="13"/>
                <w:b w:val="1"/>
                <w:bCs w:val="1"/>
                <w:color w:val="auto"/>
              </w:rPr>
              <w:t>Square</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2"/>
          </w:tcPr>
          <w:p>
            <w:pPr>
              <w:jc w:val="right"/>
              <w:ind w:right="307"/>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Square</w:t>
            </w:r>
          </w:p>
        </w:tc>
        <w:tc>
          <w:tcPr>
            <w:tcW w:w="140" w:type="dxa"/>
            <w:vAlign w:val="bottom"/>
          </w:tcPr>
          <w:p>
            <w:pPr>
              <w:spacing w:after="0"/>
              <w:rPr>
                <w:sz w:val="12"/>
                <w:szCs w:val="12"/>
                <w:color w:val="auto"/>
              </w:rPr>
            </w:pPr>
          </w:p>
        </w:tc>
        <w:tc>
          <w:tcPr>
            <w:tcW w:w="1140" w:type="dxa"/>
            <w:vAlign w:val="bottom"/>
            <w:gridSpan w:val="2"/>
          </w:tcPr>
          <w:p>
            <w:pPr>
              <w:jc w:val="right"/>
              <w:ind w:right="324"/>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0" w:type="dxa"/>
            <w:vAlign w:val="bottom"/>
          </w:tcPr>
          <w:p>
            <w:pPr>
              <w:spacing w:after="0"/>
              <w:rPr>
                <w:sz w:val="1"/>
                <w:szCs w:val="1"/>
                <w:color w:val="auto"/>
              </w:rPr>
            </w:pPr>
          </w:p>
        </w:tc>
      </w:tr>
      <w:tr>
        <w:trPr>
          <w:trHeight w:val="165"/>
        </w:trPr>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2"/>
          </w:tcPr>
          <w:p>
            <w:pPr>
              <w:ind w:left="840"/>
              <w:spacing w:after="0"/>
              <w:rPr>
                <w:sz w:val="20"/>
                <w:szCs w:val="20"/>
                <w:color w:val="auto"/>
              </w:rPr>
            </w:pPr>
            <w:r>
              <w:rPr>
                <w:rFonts w:ascii="Times New Roman" w:cs="Times New Roman" w:eastAsia="Times New Roman" w:hAnsi="Times New Roman"/>
                <w:sz w:val="13"/>
                <w:szCs w:val="13"/>
                <w:b w:val="1"/>
                <w:bCs w:val="1"/>
                <w:color w:val="auto"/>
              </w:rPr>
              <w:t>Location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5"/>
              <w:spacing w:after="0"/>
              <w:rPr>
                <w:sz w:val="20"/>
                <w:szCs w:val="20"/>
                <w:color w:val="auto"/>
              </w:rPr>
            </w:pPr>
            <w:r>
              <w:rPr>
                <w:rFonts w:ascii="Times New Roman" w:cs="Times New Roman" w:eastAsia="Times New Roman" w:hAnsi="Times New Roman"/>
                <w:sz w:val="13"/>
                <w:szCs w:val="13"/>
                <w:b w:val="1"/>
                <w:bCs w:val="1"/>
                <w:color w:val="auto"/>
              </w:rPr>
              <w:t>Feet*</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gridSpan w:val="2"/>
          </w:tcPr>
          <w:p>
            <w:pPr>
              <w:jc w:val="right"/>
              <w:ind w:right="407"/>
              <w:spacing w:after="0"/>
              <w:rPr>
                <w:sz w:val="20"/>
                <w:szCs w:val="20"/>
                <w:color w:val="auto"/>
              </w:rPr>
            </w:pPr>
            <w:r>
              <w:rPr>
                <w:rFonts w:ascii="Times New Roman" w:cs="Times New Roman" w:eastAsia="Times New Roman" w:hAnsi="Times New Roman"/>
                <w:sz w:val="13"/>
                <w:szCs w:val="13"/>
                <w:b w:val="1"/>
                <w:bCs w:val="1"/>
                <w:color w:val="auto"/>
              </w:rPr>
              <w:t>Leased</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Feet*</w:t>
            </w:r>
          </w:p>
        </w:tc>
        <w:tc>
          <w:tcPr>
            <w:tcW w:w="140" w:type="dxa"/>
            <w:vAlign w:val="bottom"/>
          </w:tcPr>
          <w:p>
            <w:pPr>
              <w:spacing w:after="0"/>
              <w:rPr>
                <w:sz w:val="14"/>
                <w:szCs w:val="14"/>
                <w:color w:val="auto"/>
              </w:rPr>
            </w:pPr>
          </w:p>
        </w:tc>
        <w:tc>
          <w:tcPr>
            <w:tcW w:w="1140" w:type="dxa"/>
            <w:vAlign w:val="bottom"/>
            <w:gridSpan w:val="2"/>
          </w:tcPr>
          <w:p>
            <w:pPr>
              <w:jc w:val="right"/>
              <w:ind w:right="444"/>
              <w:spacing w:after="0"/>
              <w:rPr>
                <w:sz w:val="20"/>
                <w:szCs w:val="20"/>
                <w:color w:val="auto"/>
              </w:rPr>
            </w:pPr>
            <w:r>
              <w:rPr>
                <w:rFonts w:ascii="Times New Roman" w:cs="Times New Roman" w:eastAsia="Times New Roman" w:hAnsi="Times New Roman"/>
                <w:sz w:val="13"/>
                <w:szCs w:val="13"/>
                <w:b w:val="1"/>
                <w:bCs w:val="1"/>
                <w:color w:val="auto"/>
              </w:rPr>
              <w:t>Leased</w:t>
            </w:r>
          </w:p>
        </w:tc>
        <w:tc>
          <w:tcPr>
            <w:tcW w:w="0" w:type="dxa"/>
            <w:vAlign w:val="bottom"/>
          </w:tcPr>
          <w:p>
            <w:pPr>
              <w:spacing w:after="0"/>
              <w:rPr>
                <w:sz w:val="1"/>
                <w:szCs w:val="1"/>
                <w:color w:val="auto"/>
              </w:rPr>
            </w:pPr>
          </w:p>
        </w:tc>
      </w:tr>
      <w:tr>
        <w:trPr>
          <w:trHeight w:val="155"/>
        </w:trPr>
        <w:tc>
          <w:tcPr>
            <w:tcW w:w="224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Pier Park North </w:t>
            </w:r>
            <w:r>
              <w:rPr>
                <w:rFonts w:ascii="Times New Roman" w:cs="Times New Roman" w:eastAsia="Times New Roman" w:hAnsi="Times New Roman"/>
                <w:sz w:val="18"/>
                <w:szCs w:val="18"/>
                <w:color w:val="auto"/>
                <w:vertAlign w:val="superscript"/>
              </w:rPr>
              <w:t>(a) (b)</w:t>
            </w:r>
          </w:p>
        </w:tc>
        <w:tc>
          <w:tcPr>
            <w:tcW w:w="220" w:type="dxa"/>
            <w:vAlign w:val="bottom"/>
            <w:tcBorders>
              <w:top w:val="single" w:sz="8" w:color="CCEEFF"/>
            </w:tcBorders>
            <w:shd w:val="clear" w:color="auto" w:fill="CCEEFF"/>
          </w:tcPr>
          <w:p>
            <w:pPr>
              <w:spacing w:after="0"/>
              <w:rPr>
                <w:sz w:val="13"/>
                <w:szCs w:val="13"/>
                <w:color w:val="auto"/>
              </w:rPr>
            </w:pPr>
          </w:p>
        </w:tc>
        <w:tc>
          <w:tcPr>
            <w:tcW w:w="2160" w:type="dxa"/>
            <w:vAlign w:val="bottom"/>
            <w:tcBorders>
              <w:top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Bay County, FL</w:t>
            </w: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318,278</w:t>
            </w:r>
          </w:p>
        </w:tc>
        <w:tc>
          <w:tcPr>
            <w:tcW w:w="1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100</w:t>
            </w:r>
          </w:p>
        </w:tc>
        <w:tc>
          <w:tcPr>
            <w:tcW w:w="32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320,310</w:t>
            </w:r>
          </w:p>
        </w:tc>
        <w:tc>
          <w:tcPr>
            <w:tcW w:w="14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100</w:t>
            </w:r>
          </w:p>
        </w:tc>
        <w:tc>
          <w:tcPr>
            <w:tcW w:w="30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240" w:type="dxa"/>
            <w:vAlign w:val="bottom"/>
          </w:tcPr>
          <w:p>
            <w:pPr>
              <w:ind w:left="20"/>
              <w:spacing w:after="0" w:line="162" w:lineRule="exact"/>
              <w:rPr>
                <w:sz w:val="20"/>
                <w:szCs w:val="20"/>
                <w:color w:val="auto"/>
              </w:rPr>
            </w:pPr>
            <w:r>
              <w:rPr>
                <w:rFonts w:ascii="Times New Roman" w:cs="Times New Roman" w:eastAsia="Times New Roman" w:hAnsi="Times New Roman"/>
                <w:sz w:val="15"/>
                <w:szCs w:val="15"/>
                <w:color w:val="auto"/>
              </w:rPr>
              <w:t>VentureCrossings</w:t>
            </w:r>
          </w:p>
        </w:tc>
        <w:tc>
          <w:tcPr>
            <w:tcW w:w="220" w:type="dxa"/>
            <w:vAlign w:val="bottom"/>
          </w:tcPr>
          <w:p>
            <w:pPr>
              <w:spacing w:after="0"/>
              <w:rPr>
                <w:sz w:val="14"/>
                <w:szCs w:val="14"/>
                <w:color w:val="auto"/>
              </w:rPr>
            </w:pPr>
          </w:p>
        </w:tc>
        <w:tc>
          <w:tcPr>
            <w:tcW w:w="222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color w:val="auto"/>
              </w:rPr>
              <w:t>Bay County, FL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303,605</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gridSpan w:val="2"/>
          </w:tcPr>
          <w:p>
            <w:pPr>
              <w:jc w:val="right"/>
              <w:ind w:right="107"/>
              <w:spacing w:after="0" w:line="162" w:lineRule="exact"/>
              <w:rPr>
                <w:sz w:val="20"/>
                <w:szCs w:val="20"/>
                <w:color w:val="auto"/>
              </w:rPr>
            </w:pPr>
            <w:r>
              <w:rPr>
                <w:rFonts w:ascii="Times New Roman" w:cs="Times New Roman" w:eastAsia="Times New Roman" w:hAnsi="Times New Roman"/>
                <w:sz w:val="15"/>
                <w:szCs w:val="15"/>
                <w:color w:val="auto"/>
              </w:rPr>
              <w:t>100 %</w:t>
            </w:r>
          </w:p>
        </w:tc>
        <w:tc>
          <w:tcPr>
            <w:tcW w:w="8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303,605</w:t>
            </w:r>
          </w:p>
        </w:tc>
        <w:tc>
          <w:tcPr>
            <w:tcW w:w="1280" w:type="dxa"/>
            <w:vAlign w:val="bottom"/>
            <w:gridSpan w:val="3"/>
          </w:tcPr>
          <w:p>
            <w:pPr>
              <w:jc w:val="right"/>
              <w:ind w:right="104"/>
              <w:spacing w:after="0" w:line="162" w:lineRule="exact"/>
              <w:rPr>
                <w:sz w:val="20"/>
                <w:szCs w:val="20"/>
                <w:color w:val="auto"/>
              </w:rPr>
            </w:pPr>
            <w:r>
              <w:rPr>
                <w:rFonts w:ascii="Times New Roman" w:cs="Times New Roman" w:eastAsia="Times New Roman" w:hAnsi="Times New Roman"/>
                <w:sz w:val="15"/>
                <w:szCs w:val="15"/>
                <w:color w:val="auto"/>
              </w:rPr>
              <w:t>100 %</w:t>
            </w:r>
          </w:p>
        </w:tc>
        <w:tc>
          <w:tcPr>
            <w:tcW w:w="0" w:type="dxa"/>
            <w:vAlign w:val="bottom"/>
          </w:tcPr>
          <w:p>
            <w:pPr>
              <w:spacing w:after="0"/>
              <w:rPr>
                <w:sz w:val="1"/>
                <w:szCs w:val="1"/>
                <w:color w:val="auto"/>
              </w:rPr>
            </w:pPr>
          </w:p>
        </w:tc>
      </w:tr>
      <w:tr>
        <w:trPr>
          <w:trHeight w:val="162"/>
        </w:trPr>
        <w:tc>
          <w:tcPr>
            <w:tcW w:w="224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Watersound Town Center </w:t>
            </w:r>
            <w:r>
              <w:rPr>
                <w:rFonts w:ascii="Times New Roman" w:cs="Times New Roman" w:eastAsia="Times New Roman" w:hAnsi="Times New Roman"/>
                <w:sz w:val="18"/>
                <w:szCs w:val="18"/>
                <w:color w:val="auto"/>
                <w:vertAlign w:val="superscript"/>
              </w:rPr>
              <w:t>(c) (d)</w:t>
            </w:r>
          </w:p>
        </w:tc>
        <w:tc>
          <w:tcPr>
            <w:tcW w:w="220" w:type="dxa"/>
            <w:vAlign w:val="bottom"/>
            <w:shd w:val="clear" w:color="auto" w:fill="CCEEFF"/>
          </w:tcPr>
          <w:p>
            <w:pPr>
              <w:spacing w:after="0"/>
              <w:rPr>
                <w:sz w:val="14"/>
                <w:szCs w:val="14"/>
                <w:color w:val="auto"/>
              </w:rPr>
            </w:pPr>
          </w:p>
        </w:tc>
        <w:tc>
          <w:tcPr>
            <w:tcW w:w="222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Walton County, FL</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161,108</w:t>
            </w: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7"/>
              <w:spacing w:after="0" w:line="162" w:lineRule="exact"/>
              <w:rPr>
                <w:sz w:val="20"/>
                <w:szCs w:val="20"/>
                <w:color w:val="auto"/>
              </w:rPr>
            </w:pPr>
            <w:r>
              <w:rPr>
                <w:rFonts w:ascii="Times New Roman" w:cs="Times New Roman" w:eastAsia="Times New Roman" w:hAnsi="Times New Roman"/>
                <w:sz w:val="15"/>
                <w:szCs w:val="15"/>
                <w:color w:val="auto"/>
              </w:rPr>
              <w:t>98 %</w:t>
            </w:r>
          </w:p>
        </w:tc>
        <w:tc>
          <w:tcPr>
            <w:tcW w:w="8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149,210</w:t>
            </w:r>
          </w:p>
        </w:tc>
        <w:tc>
          <w:tcPr>
            <w:tcW w:w="1280" w:type="dxa"/>
            <w:vAlign w:val="bottom"/>
            <w:gridSpan w:val="3"/>
            <w:shd w:val="clear" w:color="auto" w:fill="CCEEFF"/>
          </w:tcPr>
          <w:p>
            <w:pPr>
              <w:jc w:val="right"/>
              <w:ind w:right="104"/>
              <w:spacing w:after="0" w:line="162" w:lineRule="exact"/>
              <w:rPr>
                <w:sz w:val="20"/>
                <w:szCs w:val="20"/>
                <w:color w:val="auto"/>
              </w:rPr>
            </w:pPr>
            <w:r>
              <w:rPr>
                <w:rFonts w:ascii="Times New Roman" w:cs="Times New Roman" w:eastAsia="Times New Roman" w:hAnsi="Times New Roman"/>
                <w:sz w:val="15"/>
                <w:szCs w:val="15"/>
                <w:color w:val="auto"/>
              </w:rPr>
              <w:t>98 %</w:t>
            </w:r>
          </w:p>
        </w:tc>
        <w:tc>
          <w:tcPr>
            <w:tcW w:w="0" w:type="dxa"/>
            <w:vAlign w:val="bottom"/>
          </w:tcPr>
          <w:p>
            <w:pPr>
              <w:spacing w:after="0"/>
              <w:rPr>
                <w:sz w:val="1"/>
                <w:szCs w:val="1"/>
                <w:color w:val="auto"/>
              </w:rPr>
            </w:pPr>
          </w:p>
        </w:tc>
      </w:tr>
      <w:tr>
        <w:trPr>
          <w:trHeight w:val="162"/>
        </w:trPr>
        <w:tc>
          <w:tcPr>
            <w:tcW w:w="2240" w:type="dxa"/>
            <w:vAlign w:val="bottom"/>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Beckrich Office Park </w:t>
            </w:r>
            <w:r>
              <w:rPr>
                <w:rFonts w:ascii="Times New Roman" w:cs="Times New Roman" w:eastAsia="Times New Roman" w:hAnsi="Times New Roman"/>
                <w:sz w:val="18"/>
                <w:szCs w:val="18"/>
                <w:color w:val="auto"/>
                <w:vertAlign w:val="superscript"/>
              </w:rPr>
              <w:t>(d) (e)</w:t>
            </w:r>
          </w:p>
        </w:tc>
        <w:tc>
          <w:tcPr>
            <w:tcW w:w="220" w:type="dxa"/>
            <w:vAlign w:val="bottom"/>
          </w:tcPr>
          <w:p>
            <w:pPr>
              <w:spacing w:after="0"/>
              <w:rPr>
                <w:sz w:val="14"/>
                <w:szCs w:val="14"/>
                <w:color w:val="auto"/>
              </w:rPr>
            </w:pPr>
          </w:p>
        </w:tc>
        <w:tc>
          <w:tcPr>
            <w:tcW w:w="222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color w:val="auto"/>
              </w:rPr>
              <w:t>Bay County, FL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80,675</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gridSpan w:val="2"/>
          </w:tcPr>
          <w:p>
            <w:pPr>
              <w:jc w:val="right"/>
              <w:ind w:right="107"/>
              <w:spacing w:after="0" w:line="162" w:lineRule="exact"/>
              <w:rPr>
                <w:sz w:val="20"/>
                <w:szCs w:val="20"/>
                <w:color w:val="auto"/>
              </w:rPr>
            </w:pPr>
            <w:r>
              <w:rPr>
                <w:rFonts w:ascii="Times New Roman" w:cs="Times New Roman" w:eastAsia="Times New Roman" w:hAnsi="Times New Roman"/>
                <w:sz w:val="15"/>
                <w:szCs w:val="15"/>
                <w:color w:val="auto"/>
              </w:rPr>
              <w:t>91 %</w:t>
            </w:r>
          </w:p>
        </w:tc>
        <w:tc>
          <w:tcPr>
            <w:tcW w:w="8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80,675</w:t>
            </w:r>
          </w:p>
        </w:tc>
        <w:tc>
          <w:tcPr>
            <w:tcW w:w="1280" w:type="dxa"/>
            <w:vAlign w:val="bottom"/>
            <w:gridSpan w:val="3"/>
          </w:tcPr>
          <w:p>
            <w:pPr>
              <w:jc w:val="right"/>
              <w:ind w:right="104"/>
              <w:spacing w:after="0" w:line="162" w:lineRule="exact"/>
              <w:rPr>
                <w:sz w:val="20"/>
                <w:szCs w:val="20"/>
                <w:color w:val="auto"/>
              </w:rPr>
            </w:pPr>
            <w:r>
              <w:rPr>
                <w:rFonts w:ascii="Times New Roman" w:cs="Times New Roman" w:eastAsia="Times New Roman" w:hAnsi="Times New Roman"/>
                <w:sz w:val="15"/>
                <w:szCs w:val="15"/>
                <w:color w:val="auto"/>
              </w:rPr>
              <w:t>87 %</w:t>
            </w:r>
          </w:p>
        </w:tc>
        <w:tc>
          <w:tcPr>
            <w:tcW w:w="0" w:type="dxa"/>
            <w:vAlign w:val="bottom"/>
          </w:tcPr>
          <w:p>
            <w:pPr>
              <w:spacing w:after="0"/>
              <w:rPr>
                <w:sz w:val="1"/>
                <w:szCs w:val="1"/>
                <w:color w:val="auto"/>
              </w:rPr>
            </w:pPr>
          </w:p>
        </w:tc>
      </w:tr>
      <w:tr>
        <w:trPr>
          <w:trHeight w:val="162"/>
        </w:trPr>
        <w:tc>
          <w:tcPr>
            <w:tcW w:w="224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5"/>
                <w:szCs w:val="15"/>
                <w:color w:val="auto"/>
              </w:rPr>
              <w:t>FSU/TMH Medical Campus</w:t>
            </w:r>
          </w:p>
        </w:tc>
        <w:tc>
          <w:tcPr>
            <w:tcW w:w="220" w:type="dxa"/>
            <w:vAlign w:val="bottom"/>
            <w:shd w:val="clear" w:color="auto" w:fill="CCEEFF"/>
          </w:tcPr>
          <w:p>
            <w:pPr>
              <w:spacing w:after="0"/>
              <w:rPr>
                <w:sz w:val="14"/>
                <w:szCs w:val="14"/>
                <w:color w:val="auto"/>
              </w:rPr>
            </w:pPr>
          </w:p>
        </w:tc>
        <w:tc>
          <w:tcPr>
            <w:tcW w:w="222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Bay County, FL</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78,670</w:t>
            </w: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7"/>
              <w:spacing w:after="0" w:line="162" w:lineRule="exact"/>
              <w:rPr>
                <w:sz w:val="20"/>
                <w:szCs w:val="20"/>
                <w:color w:val="auto"/>
              </w:rPr>
            </w:pPr>
            <w:r>
              <w:rPr>
                <w:rFonts w:ascii="Times New Roman" w:cs="Times New Roman" w:eastAsia="Times New Roman" w:hAnsi="Times New Roman"/>
                <w:sz w:val="15"/>
                <w:szCs w:val="15"/>
                <w:color w:val="auto"/>
              </w:rPr>
              <w:t>100 %</w:t>
            </w:r>
          </w:p>
        </w:tc>
        <w:tc>
          <w:tcPr>
            <w:tcW w:w="8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78,670</w:t>
            </w:r>
          </w:p>
        </w:tc>
        <w:tc>
          <w:tcPr>
            <w:tcW w:w="1280" w:type="dxa"/>
            <w:vAlign w:val="bottom"/>
            <w:gridSpan w:val="3"/>
            <w:shd w:val="clear" w:color="auto" w:fill="CCEEFF"/>
          </w:tcPr>
          <w:p>
            <w:pPr>
              <w:jc w:val="right"/>
              <w:ind w:right="104"/>
              <w:spacing w:after="0" w:line="162" w:lineRule="exact"/>
              <w:rPr>
                <w:sz w:val="20"/>
                <w:szCs w:val="20"/>
                <w:color w:val="auto"/>
              </w:rPr>
            </w:pPr>
            <w:r>
              <w:rPr>
                <w:rFonts w:ascii="Times New Roman" w:cs="Times New Roman" w:eastAsia="Times New Roman" w:hAnsi="Times New Roman"/>
                <w:sz w:val="15"/>
                <w:szCs w:val="15"/>
                <w:color w:val="auto"/>
              </w:rPr>
              <w:t>100 %</w:t>
            </w:r>
          </w:p>
        </w:tc>
        <w:tc>
          <w:tcPr>
            <w:tcW w:w="0" w:type="dxa"/>
            <w:vAlign w:val="bottom"/>
          </w:tcPr>
          <w:p>
            <w:pPr>
              <w:spacing w:after="0"/>
              <w:rPr>
                <w:sz w:val="1"/>
                <w:szCs w:val="1"/>
                <w:color w:val="auto"/>
              </w:rPr>
            </w:pPr>
          </w:p>
        </w:tc>
      </w:tr>
      <w:tr>
        <w:trPr>
          <w:trHeight w:val="162"/>
        </w:trPr>
        <w:tc>
          <w:tcPr>
            <w:tcW w:w="2240" w:type="dxa"/>
            <w:vAlign w:val="bottom"/>
          </w:tcPr>
          <w:p>
            <w:pPr>
              <w:ind w:left="20"/>
              <w:spacing w:after="0" w:line="162" w:lineRule="exact"/>
              <w:rPr>
                <w:sz w:val="20"/>
                <w:szCs w:val="20"/>
                <w:color w:val="auto"/>
              </w:rPr>
            </w:pPr>
            <w:r>
              <w:rPr>
                <w:rFonts w:ascii="Times New Roman" w:cs="Times New Roman" w:eastAsia="Times New Roman" w:hAnsi="Times New Roman"/>
                <w:sz w:val="15"/>
                <w:szCs w:val="15"/>
                <w:color w:val="auto"/>
              </w:rPr>
              <w:t>Watersound Self-Storage</w:t>
            </w:r>
          </w:p>
        </w:tc>
        <w:tc>
          <w:tcPr>
            <w:tcW w:w="220" w:type="dxa"/>
            <w:vAlign w:val="bottom"/>
          </w:tcPr>
          <w:p>
            <w:pPr>
              <w:spacing w:after="0"/>
              <w:rPr>
                <w:sz w:val="14"/>
                <w:szCs w:val="14"/>
                <w:color w:val="auto"/>
              </w:rPr>
            </w:pPr>
          </w:p>
        </w:tc>
        <w:tc>
          <w:tcPr>
            <w:tcW w:w="222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color w:val="auto"/>
              </w:rPr>
              <w:t>Walton County, FL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67,694</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gridSpan w:val="2"/>
          </w:tcPr>
          <w:p>
            <w:pPr>
              <w:jc w:val="right"/>
              <w:ind w:right="107"/>
              <w:spacing w:after="0" w:line="162" w:lineRule="exact"/>
              <w:rPr>
                <w:sz w:val="20"/>
                <w:szCs w:val="20"/>
                <w:color w:val="auto"/>
              </w:rPr>
            </w:pPr>
            <w:r>
              <w:rPr>
                <w:rFonts w:ascii="Times New Roman" w:cs="Times New Roman" w:eastAsia="Times New Roman" w:hAnsi="Times New Roman"/>
                <w:sz w:val="15"/>
                <w:szCs w:val="15"/>
                <w:color w:val="auto"/>
              </w:rPr>
              <w:t>97 %</w:t>
            </w:r>
          </w:p>
        </w:tc>
        <w:tc>
          <w:tcPr>
            <w:tcW w:w="8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67,694</w:t>
            </w:r>
          </w:p>
        </w:tc>
        <w:tc>
          <w:tcPr>
            <w:tcW w:w="1280" w:type="dxa"/>
            <w:vAlign w:val="bottom"/>
            <w:gridSpan w:val="3"/>
          </w:tcPr>
          <w:p>
            <w:pPr>
              <w:jc w:val="right"/>
              <w:ind w:right="104"/>
              <w:spacing w:after="0" w:line="162" w:lineRule="exact"/>
              <w:rPr>
                <w:sz w:val="20"/>
                <w:szCs w:val="20"/>
                <w:color w:val="auto"/>
              </w:rPr>
            </w:pPr>
            <w:r>
              <w:rPr>
                <w:rFonts w:ascii="Times New Roman" w:cs="Times New Roman" w:eastAsia="Times New Roman" w:hAnsi="Times New Roman"/>
                <w:sz w:val="15"/>
                <w:szCs w:val="15"/>
                <w:color w:val="auto"/>
              </w:rPr>
              <w:t>93 %</w:t>
            </w:r>
          </w:p>
        </w:tc>
        <w:tc>
          <w:tcPr>
            <w:tcW w:w="0" w:type="dxa"/>
            <w:vAlign w:val="bottom"/>
          </w:tcPr>
          <w:p>
            <w:pPr>
              <w:spacing w:after="0"/>
              <w:rPr>
                <w:sz w:val="1"/>
                <w:szCs w:val="1"/>
                <w:color w:val="auto"/>
              </w:rPr>
            </w:pPr>
          </w:p>
        </w:tc>
      </w:tr>
      <w:tr>
        <w:trPr>
          <w:trHeight w:val="162"/>
        </w:trPr>
        <w:tc>
          <w:tcPr>
            <w:tcW w:w="224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Watersound West Bay Center </w:t>
            </w:r>
            <w:r>
              <w:rPr>
                <w:rFonts w:ascii="Times New Roman" w:cs="Times New Roman" w:eastAsia="Times New Roman" w:hAnsi="Times New Roman"/>
                <w:sz w:val="18"/>
                <w:szCs w:val="18"/>
                <w:color w:val="auto"/>
                <w:vertAlign w:val="superscript"/>
              </w:rPr>
              <w:t>(f)</w:t>
            </w:r>
          </w:p>
        </w:tc>
        <w:tc>
          <w:tcPr>
            <w:tcW w:w="220" w:type="dxa"/>
            <w:vAlign w:val="bottom"/>
            <w:shd w:val="clear" w:color="auto" w:fill="CCEEFF"/>
          </w:tcPr>
          <w:p>
            <w:pPr>
              <w:spacing w:after="0"/>
              <w:rPr>
                <w:sz w:val="14"/>
                <w:szCs w:val="14"/>
                <w:color w:val="auto"/>
              </w:rPr>
            </w:pPr>
          </w:p>
        </w:tc>
        <w:tc>
          <w:tcPr>
            <w:tcW w:w="222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Bay County, FL</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21,369</w:t>
            </w: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7"/>
              <w:spacing w:after="0" w:line="162" w:lineRule="exact"/>
              <w:rPr>
                <w:sz w:val="20"/>
                <w:szCs w:val="20"/>
                <w:color w:val="auto"/>
              </w:rPr>
            </w:pPr>
            <w:r>
              <w:rPr>
                <w:rFonts w:ascii="Times New Roman" w:cs="Times New Roman" w:eastAsia="Times New Roman" w:hAnsi="Times New Roman"/>
                <w:sz w:val="15"/>
                <w:szCs w:val="15"/>
                <w:color w:val="auto"/>
              </w:rPr>
              <w:t>59 %</w:t>
            </w:r>
          </w:p>
        </w:tc>
        <w:tc>
          <w:tcPr>
            <w:tcW w:w="8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3,366</w:t>
            </w:r>
          </w:p>
        </w:tc>
        <w:tc>
          <w:tcPr>
            <w:tcW w:w="1280" w:type="dxa"/>
            <w:vAlign w:val="bottom"/>
            <w:gridSpan w:val="3"/>
            <w:shd w:val="clear" w:color="auto" w:fill="CCEEFF"/>
          </w:tcPr>
          <w:p>
            <w:pPr>
              <w:jc w:val="right"/>
              <w:ind w:right="104"/>
              <w:spacing w:after="0" w:line="162" w:lineRule="exact"/>
              <w:rPr>
                <w:sz w:val="20"/>
                <w:szCs w:val="20"/>
                <w:color w:val="auto"/>
              </w:rPr>
            </w:pPr>
            <w:r>
              <w:rPr>
                <w:rFonts w:ascii="Times New Roman" w:cs="Times New Roman" w:eastAsia="Times New Roman" w:hAnsi="Times New Roman"/>
                <w:sz w:val="15"/>
                <w:szCs w:val="15"/>
                <w:color w:val="auto"/>
              </w:rPr>
              <w:t>100 %</w:t>
            </w:r>
          </w:p>
        </w:tc>
        <w:tc>
          <w:tcPr>
            <w:tcW w:w="0" w:type="dxa"/>
            <w:vAlign w:val="bottom"/>
          </w:tcPr>
          <w:p>
            <w:pPr>
              <w:spacing w:after="0"/>
              <w:rPr>
                <w:sz w:val="1"/>
                <w:szCs w:val="1"/>
                <w:color w:val="auto"/>
              </w:rPr>
            </w:pPr>
          </w:p>
        </w:tc>
      </w:tr>
      <w:tr>
        <w:trPr>
          <w:trHeight w:val="162"/>
        </w:trPr>
        <w:tc>
          <w:tcPr>
            <w:tcW w:w="2240" w:type="dxa"/>
            <w:vAlign w:val="bottom"/>
          </w:tcPr>
          <w:p>
            <w:pPr>
              <w:ind w:left="20"/>
              <w:spacing w:after="0" w:line="162" w:lineRule="exact"/>
              <w:rPr>
                <w:sz w:val="20"/>
                <w:szCs w:val="20"/>
                <w:color w:val="auto"/>
              </w:rPr>
            </w:pPr>
            <w:r>
              <w:rPr>
                <w:rFonts w:ascii="Times New Roman" w:cs="Times New Roman" w:eastAsia="Times New Roman" w:hAnsi="Times New Roman"/>
                <w:sz w:val="15"/>
                <w:szCs w:val="15"/>
                <w:color w:val="auto"/>
              </w:rPr>
              <w:t>Cedar Grove Commerce Park</w:t>
            </w:r>
          </w:p>
        </w:tc>
        <w:tc>
          <w:tcPr>
            <w:tcW w:w="220" w:type="dxa"/>
            <w:vAlign w:val="bottom"/>
          </w:tcPr>
          <w:p>
            <w:pPr>
              <w:spacing w:after="0"/>
              <w:rPr>
                <w:sz w:val="14"/>
                <w:szCs w:val="14"/>
                <w:color w:val="auto"/>
              </w:rPr>
            </w:pPr>
          </w:p>
        </w:tc>
        <w:tc>
          <w:tcPr>
            <w:tcW w:w="222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color w:val="auto"/>
              </w:rPr>
              <w:t>Bay County, FL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19,389</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gridSpan w:val="2"/>
          </w:tcPr>
          <w:p>
            <w:pPr>
              <w:jc w:val="right"/>
              <w:ind w:right="107"/>
              <w:spacing w:after="0" w:line="162" w:lineRule="exact"/>
              <w:rPr>
                <w:sz w:val="20"/>
                <w:szCs w:val="20"/>
                <w:color w:val="auto"/>
              </w:rPr>
            </w:pPr>
            <w:r>
              <w:rPr>
                <w:rFonts w:ascii="Times New Roman" w:cs="Times New Roman" w:eastAsia="Times New Roman" w:hAnsi="Times New Roman"/>
                <w:sz w:val="15"/>
                <w:szCs w:val="15"/>
                <w:color w:val="auto"/>
              </w:rPr>
              <w:t>50 %</w:t>
            </w:r>
          </w:p>
        </w:tc>
        <w:tc>
          <w:tcPr>
            <w:tcW w:w="8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19,389</w:t>
            </w:r>
          </w:p>
        </w:tc>
        <w:tc>
          <w:tcPr>
            <w:tcW w:w="1280" w:type="dxa"/>
            <w:vAlign w:val="bottom"/>
            <w:gridSpan w:val="3"/>
          </w:tcPr>
          <w:p>
            <w:pPr>
              <w:jc w:val="right"/>
              <w:ind w:right="104"/>
              <w:spacing w:after="0" w:line="162" w:lineRule="exact"/>
              <w:rPr>
                <w:sz w:val="20"/>
                <w:szCs w:val="20"/>
                <w:color w:val="auto"/>
              </w:rPr>
            </w:pPr>
            <w:r>
              <w:rPr>
                <w:rFonts w:ascii="Times New Roman" w:cs="Times New Roman" w:eastAsia="Times New Roman" w:hAnsi="Times New Roman"/>
                <w:sz w:val="15"/>
                <w:szCs w:val="15"/>
                <w:color w:val="auto"/>
              </w:rPr>
              <w:t>100 %</w:t>
            </w:r>
          </w:p>
        </w:tc>
        <w:tc>
          <w:tcPr>
            <w:tcW w:w="0" w:type="dxa"/>
            <w:vAlign w:val="bottom"/>
          </w:tcPr>
          <w:p>
            <w:pPr>
              <w:spacing w:after="0"/>
              <w:rPr>
                <w:sz w:val="1"/>
                <w:szCs w:val="1"/>
                <w:color w:val="auto"/>
              </w:rPr>
            </w:pPr>
          </w:p>
        </w:tc>
      </w:tr>
      <w:tr>
        <w:trPr>
          <w:trHeight w:val="162"/>
        </w:trPr>
        <w:tc>
          <w:tcPr>
            <w:tcW w:w="224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WaterColor Town Center </w:t>
            </w:r>
            <w:r>
              <w:rPr>
                <w:rFonts w:ascii="Times New Roman" w:cs="Times New Roman" w:eastAsia="Times New Roman" w:hAnsi="Times New Roman"/>
                <w:sz w:val="18"/>
                <w:szCs w:val="18"/>
                <w:color w:val="auto"/>
                <w:vertAlign w:val="superscript"/>
              </w:rPr>
              <w:t>(d)</w:t>
            </w:r>
          </w:p>
        </w:tc>
        <w:tc>
          <w:tcPr>
            <w:tcW w:w="220" w:type="dxa"/>
            <w:vAlign w:val="bottom"/>
            <w:shd w:val="clear" w:color="auto" w:fill="CCEEFF"/>
          </w:tcPr>
          <w:p>
            <w:pPr>
              <w:spacing w:after="0"/>
              <w:rPr>
                <w:sz w:val="14"/>
                <w:szCs w:val="14"/>
                <w:color w:val="auto"/>
              </w:rPr>
            </w:pPr>
          </w:p>
        </w:tc>
        <w:tc>
          <w:tcPr>
            <w:tcW w:w="222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Walton County, FL</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17,334</w:t>
            </w: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7"/>
              <w:spacing w:after="0" w:line="162" w:lineRule="exact"/>
              <w:rPr>
                <w:sz w:val="20"/>
                <w:szCs w:val="20"/>
                <w:color w:val="auto"/>
              </w:rPr>
            </w:pPr>
            <w:r>
              <w:rPr>
                <w:rFonts w:ascii="Times New Roman" w:cs="Times New Roman" w:eastAsia="Times New Roman" w:hAnsi="Times New Roman"/>
                <w:sz w:val="15"/>
                <w:szCs w:val="15"/>
                <w:color w:val="auto"/>
              </w:rPr>
              <w:t>97 %</w:t>
            </w:r>
          </w:p>
        </w:tc>
        <w:tc>
          <w:tcPr>
            <w:tcW w:w="8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17,560</w:t>
            </w:r>
          </w:p>
        </w:tc>
        <w:tc>
          <w:tcPr>
            <w:tcW w:w="1280" w:type="dxa"/>
            <w:vAlign w:val="bottom"/>
            <w:gridSpan w:val="3"/>
            <w:shd w:val="clear" w:color="auto" w:fill="CCEEFF"/>
          </w:tcPr>
          <w:p>
            <w:pPr>
              <w:jc w:val="right"/>
              <w:ind w:right="104"/>
              <w:spacing w:after="0" w:line="162" w:lineRule="exact"/>
              <w:rPr>
                <w:sz w:val="20"/>
                <w:szCs w:val="20"/>
                <w:color w:val="auto"/>
              </w:rPr>
            </w:pPr>
            <w:r>
              <w:rPr>
                <w:rFonts w:ascii="Times New Roman" w:cs="Times New Roman" w:eastAsia="Times New Roman" w:hAnsi="Times New Roman"/>
                <w:sz w:val="15"/>
                <w:szCs w:val="15"/>
                <w:color w:val="auto"/>
              </w:rPr>
              <w:t>96 %</w:t>
            </w:r>
          </w:p>
        </w:tc>
        <w:tc>
          <w:tcPr>
            <w:tcW w:w="0" w:type="dxa"/>
            <w:vAlign w:val="bottom"/>
          </w:tcPr>
          <w:p>
            <w:pPr>
              <w:spacing w:after="0"/>
              <w:rPr>
                <w:sz w:val="1"/>
                <w:szCs w:val="1"/>
                <w:color w:val="auto"/>
              </w:rPr>
            </w:pPr>
          </w:p>
        </w:tc>
      </w:tr>
      <w:tr>
        <w:trPr>
          <w:trHeight w:val="162"/>
        </w:trPr>
        <w:tc>
          <w:tcPr>
            <w:tcW w:w="2240" w:type="dxa"/>
            <w:vAlign w:val="bottom"/>
          </w:tcPr>
          <w:p>
            <w:pPr>
              <w:ind w:left="20"/>
              <w:spacing w:after="0" w:line="162" w:lineRule="exact"/>
              <w:rPr>
                <w:sz w:val="20"/>
                <w:szCs w:val="20"/>
                <w:color w:val="auto"/>
              </w:rPr>
            </w:pPr>
            <w:r>
              <w:rPr>
                <w:rFonts w:ascii="Times New Roman" w:cs="Times New Roman" w:eastAsia="Times New Roman" w:hAnsi="Times New Roman"/>
                <w:sz w:val="15"/>
                <w:szCs w:val="15"/>
                <w:color w:val="auto"/>
              </w:rPr>
              <w:t>Port St. Joe Commercial</w:t>
            </w:r>
          </w:p>
        </w:tc>
        <w:tc>
          <w:tcPr>
            <w:tcW w:w="220" w:type="dxa"/>
            <w:vAlign w:val="bottom"/>
          </w:tcPr>
          <w:p>
            <w:pPr>
              <w:spacing w:after="0"/>
              <w:rPr>
                <w:sz w:val="14"/>
                <w:szCs w:val="14"/>
                <w:color w:val="auto"/>
              </w:rPr>
            </w:pPr>
          </w:p>
        </w:tc>
        <w:tc>
          <w:tcPr>
            <w:tcW w:w="222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color w:val="auto"/>
              </w:rPr>
              <w:t>Gulf County, FL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16,964</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gridSpan w:val="2"/>
          </w:tcPr>
          <w:p>
            <w:pPr>
              <w:jc w:val="right"/>
              <w:ind w:right="107"/>
              <w:spacing w:after="0" w:line="162" w:lineRule="exact"/>
              <w:rPr>
                <w:sz w:val="20"/>
                <w:szCs w:val="20"/>
                <w:color w:val="auto"/>
              </w:rPr>
            </w:pPr>
            <w:r>
              <w:rPr>
                <w:rFonts w:ascii="Times New Roman" w:cs="Times New Roman" w:eastAsia="Times New Roman" w:hAnsi="Times New Roman"/>
                <w:sz w:val="15"/>
                <w:szCs w:val="15"/>
                <w:color w:val="auto"/>
              </w:rPr>
              <w:t>100 %</w:t>
            </w:r>
          </w:p>
        </w:tc>
        <w:tc>
          <w:tcPr>
            <w:tcW w:w="8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16,964</w:t>
            </w:r>
          </w:p>
        </w:tc>
        <w:tc>
          <w:tcPr>
            <w:tcW w:w="1280" w:type="dxa"/>
            <w:vAlign w:val="bottom"/>
            <w:gridSpan w:val="3"/>
          </w:tcPr>
          <w:p>
            <w:pPr>
              <w:jc w:val="right"/>
              <w:ind w:right="104"/>
              <w:spacing w:after="0" w:line="162" w:lineRule="exact"/>
              <w:rPr>
                <w:sz w:val="20"/>
                <w:szCs w:val="20"/>
                <w:color w:val="auto"/>
              </w:rPr>
            </w:pPr>
            <w:r>
              <w:rPr>
                <w:rFonts w:ascii="Times New Roman" w:cs="Times New Roman" w:eastAsia="Times New Roman" w:hAnsi="Times New Roman"/>
                <w:sz w:val="15"/>
                <w:szCs w:val="15"/>
                <w:color w:val="auto"/>
              </w:rPr>
              <w:t>100 %</w:t>
            </w:r>
          </w:p>
        </w:tc>
        <w:tc>
          <w:tcPr>
            <w:tcW w:w="0" w:type="dxa"/>
            <w:vAlign w:val="bottom"/>
          </w:tcPr>
          <w:p>
            <w:pPr>
              <w:spacing w:after="0"/>
              <w:rPr>
                <w:sz w:val="1"/>
                <w:szCs w:val="1"/>
                <w:color w:val="auto"/>
              </w:rPr>
            </w:pPr>
          </w:p>
        </w:tc>
      </w:tr>
      <w:tr>
        <w:trPr>
          <w:trHeight w:val="162"/>
        </w:trPr>
        <w:tc>
          <w:tcPr>
            <w:tcW w:w="224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Beach Commerce Park </w:t>
            </w:r>
            <w:r>
              <w:rPr>
                <w:rFonts w:ascii="Times New Roman" w:cs="Times New Roman" w:eastAsia="Times New Roman" w:hAnsi="Times New Roman"/>
                <w:sz w:val="18"/>
                <w:szCs w:val="18"/>
                <w:color w:val="auto"/>
                <w:vertAlign w:val="superscript"/>
              </w:rPr>
              <w:t>(d)</w:t>
            </w:r>
          </w:p>
        </w:tc>
        <w:tc>
          <w:tcPr>
            <w:tcW w:w="220" w:type="dxa"/>
            <w:vAlign w:val="bottom"/>
            <w:shd w:val="clear" w:color="auto" w:fill="CCEEFF"/>
          </w:tcPr>
          <w:p>
            <w:pPr>
              <w:spacing w:after="0"/>
              <w:rPr>
                <w:sz w:val="14"/>
                <w:szCs w:val="14"/>
                <w:color w:val="auto"/>
              </w:rPr>
            </w:pPr>
          </w:p>
        </w:tc>
        <w:tc>
          <w:tcPr>
            <w:tcW w:w="222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Bay County, FL</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14,800</w:t>
            </w: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7"/>
              <w:spacing w:after="0" w:line="162" w:lineRule="exact"/>
              <w:rPr>
                <w:sz w:val="20"/>
                <w:szCs w:val="20"/>
                <w:color w:val="auto"/>
              </w:rPr>
            </w:pPr>
            <w:r>
              <w:rPr>
                <w:rFonts w:ascii="Times New Roman" w:cs="Times New Roman" w:eastAsia="Times New Roman" w:hAnsi="Times New Roman"/>
                <w:sz w:val="15"/>
                <w:szCs w:val="15"/>
                <w:color w:val="auto"/>
              </w:rPr>
              <w:t>100 %</w:t>
            </w:r>
          </w:p>
        </w:tc>
        <w:tc>
          <w:tcPr>
            <w:tcW w:w="8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14,800</w:t>
            </w:r>
          </w:p>
        </w:tc>
        <w:tc>
          <w:tcPr>
            <w:tcW w:w="1280" w:type="dxa"/>
            <w:vAlign w:val="bottom"/>
            <w:gridSpan w:val="3"/>
            <w:shd w:val="clear" w:color="auto" w:fill="CCEEFF"/>
          </w:tcPr>
          <w:p>
            <w:pPr>
              <w:jc w:val="right"/>
              <w:ind w:right="104"/>
              <w:spacing w:after="0" w:line="162" w:lineRule="exact"/>
              <w:rPr>
                <w:sz w:val="20"/>
                <w:szCs w:val="20"/>
                <w:color w:val="auto"/>
              </w:rPr>
            </w:pPr>
            <w:r>
              <w:rPr>
                <w:rFonts w:ascii="Times New Roman" w:cs="Times New Roman" w:eastAsia="Times New Roman" w:hAnsi="Times New Roman"/>
                <w:sz w:val="15"/>
                <w:szCs w:val="15"/>
                <w:color w:val="auto"/>
              </w:rPr>
              <w:t>100 %</w:t>
            </w:r>
          </w:p>
        </w:tc>
        <w:tc>
          <w:tcPr>
            <w:tcW w:w="0" w:type="dxa"/>
            <w:vAlign w:val="bottom"/>
          </w:tcPr>
          <w:p>
            <w:pPr>
              <w:spacing w:after="0"/>
              <w:rPr>
                <w:sz w:val="1"/>
                <w:szCs w:val="1"/>
                <w:color w:val="auto"/>
              </w:rPr>
            </w:pPr>
          </w:p>
        </w:tc>
      </w:tr>
      <w:tr>
        <w:trPr>
          <w:trHeight w:val="162"/>
        </w:trPr>
        <w:tc>
          <w:tcPr>
            <w:tcW w:w="2240" w:type="dxa"/>
            <w:vAlign w:val="bottom"/>
          </w:tcPr>
          <w:p>
            <w:pPr>
              <w:ind w:left="20"/>
              <w:spacing w:after="0" w:line="162" w:lineRule="exact"/>
              <w:rPr>
                <w:sz w:val="20"/>
                <w:szCs w:val="20"/>
                <w:color w:val="auto"/>
              </w:rPr>
            </w:pPr>
            <w:r>
              <w:rPr>
                <w:rFonts w:ascii="Times New Roman" w:cs="Times New Roman" w:eastAsia="Times New Roman" w:hAnsi="Times New Roman"/>
                <w:sz w:val="15"/>
                <w:szCs w:val="15"/>
                <w:color w:val="auto"/>
              </w:rPr>
              <w:t>South Walton Commerce Park</w:t>
            </w:r>
          </w:p>
        </w:tc>
        <w:tc>
          <w:tcPr>
            <w:tcW w:w="220" w:type="dxa"/>
            <w:vAlign w:val="bottom"/>
          </w:tcPr>
          <w:p>
            <w:pPr>
              <w:spacing w:after="0"/>
              <w:rPr>
                <w:sz w:val="14"/>
                <w:szCs w:val="14"/>
                <w:color w:val="auto"/>
              </w:rPr>
            </w:pPr>
          </w:p>
        </w:tc>
        <w:tc>
          <w:tcPr>
            <w:tcW w:w="222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color w:val="auto"/>
              </w:rPr>
              <w:t>Walton County, FL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11,570</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gridSpan w:val="2"/>
          </w:tcPr>
          <w:p>
            <w:pPr>
              <w:jc w:val="right"/>
              <w:ind w:right="107"/>
              <w:spacing w:after="0" w:line="162" w:lineRule="exact"/>
              <w:rPr>
                <w:sz w:val="20"/>
                <w:szCs w:val="20"/>
                <w:color w:val="auto"/>
              </w:rPr>
            </w:pPr>
            <w:r>
              <w:rPr>
                <w:rFonts w:ascii="Times New Roman" w:cs="Times New Roman" w:eastAsia="Times New Roman" w:hAnsi="Times New Roman"/>
                <w:sz w:val="15"/>
                <w:szCs w:val="15"/>
                <w:color w:val="auto"/>
              </w:rPr>
              <w:t>100 %</w:t>
            </w:r>
          </w:p>
        </w:tc>
        <w:tc>
          <w:tcPr>
            <w:tcW w:w="8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11,570</w:t>
            </w:r>
          </w:p>
        </w:tc>
        <w:tc>
          <w:tcPr>
            <w:tcW w:w="1280" w:type="dxa"/>
            <w:vAlign w:val="bottom"/>
            <w:gridSpan w:val="3"/>
          </w:tcPr>
          <w:p>
            <w:pPr>
              <w:jc w:val="right"/>
              <w:ind w:right="104"/>
              <w:spacing w:after="0" w:line="162" w:lineRule="exact"/>
              <w:rPr>
                <w:sz w:val="20"/>
                <w:szCs w:val="20"/>
                <w:color w:val="auto"/>
              </w:rPr>
            </w:pPr>
            <w:r>
              <w:rPr>
                <w:rFonts w:ascii="Times New Roman" w:cs="Times New Roman" w:eastAsia="Times New Roman" w:hAnsi="Times New Roman"/>
                <w:sz w:val="15"/>
                <w:szCs w:val="15"/>
                <w:color w:val="auto"/>
              </w:rPr>
              <w:t>100 %</w:t>
            </w:r>
          </w:p>
        </w:tc>
        <w:tc>
          <w:tcPr>
            <w:tcW w:w="0" w:type="dxa"/>
            <w:vAlign w:val="bottom"/>
          </w:tcPr>
          <w:p>
            <w:pPr>
              <w:spacing w:after="0"/>
              <w:rPr>
                <w:sz w:val="1"/>
                <w:szCs w:val="1"/>
                <w:color w:val="auto"/>
              </w:rPr>
            </w:pPr>
          </w:p>
        </w:tc>
      </w:tr>
      <w:tr>
        <w:trPr>
          <w:trHeight w:val="162"/>
        </w:trPr>
        <w:tc>
          <w:tcPr>
            <w:tcW w:w="224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Watersound Gatehouse </w:t>
            </w:r>
            <w:r>
              <w:rPr>
                <w:rFonts w:ascii="Times New Roman" w:cs="Times New Roman" w:eastAsia="Times New Roman" w:hAnsi="Times New Roman"/>
                <w:sz w:val="18"/>
                <w:szCs w:val="18"/>
                <w:color w:val="auto"/>
                <w:vertAlign w:val="superscript"/>
              </w:rPr>
              <w:t>(d) (g)</w:t>
            </w:r>
          </w:p>
        </w:tc>
        <w:tc>
          <w:tcPr>
            <w:tcW w:w="220" w:type="dxa"/>
            <w:vAlign w:val="bottom"/>
            <w:shd w:val="clear" w:color="auto" w:fill="CCEEFF"/>
          </w:tcPr>
          <w:p>
            <w:pPr>
              <w:spacing w:after="0"/>
              <w:rPr>
                <w:sz w:val="14"/>
                <w:szCs w:val="14"/>
                <w:color w:val="auto"/>
              </w:rPr>
            </w:pPr>
          </w:p>
        </w:tc>
        <w:tc>
          <w:tcPr>
            <w:tcW w:w="222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Walton County, FL</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6,453</w:t>
            </w: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7"/>
              <w:spacing w:after="0" w:line="162" w:lineRule="exact"/>
              <w:rPr>
                <w:sz w:val="20"/>
                <w:szCs w:val="20"/>
                <w:color w:val="auto"/>
              </w:rPr>
            </w:pPr>
            <w:r>
              <w:rPr>
                <w:rFonts w:ascii="Times New Roman" w:cs="Times New Roman" w:eastAsia="Times New Roman" w:hAnsi="Times New Roman"/>
                <w:sz w:val="15"/>
                <w:szCs w:val="15"/>
                <w:color w:val="auto"/>
              </w:rPr>
              <w:t>100 %</w:t>
            </w:r>
          </w:p>
        </w:tc>
        <w:tc>
          <w:tcPr>
            <w:tcW w:w="8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10,271</w:t>
            </w:r>
          </w:p>
        </w:tc>
        <w:tc>
          <w:tcPr>
            <w:tcW w:w="1280" w:type="dxa"/>
            <w:vAlign w:val="bottom"/>
            <w:gridSpan w:val="3"/>
            <w:shd w:val="clear" w:color="auto" w:fill="CCEEFF"/>
          </w:tcPr>
          <w:p>
            <w:pPr>
              <w:jc w:val="right"/>
              <w:ind w:right="104"/>
              <w:spacing w:after="0" w:line="162" w:lineRule="exact"/>
              <w:rPr>
                <w:sz w:val="20"/>
                <w:szCs w:val="20"/>
                <w:color w:val="auto"/>
              </w:rPr>
            </w:pPr>
            <w:r>
              <w:rPr>
                <w:rFonts w:ascii="Times New Roman" w:cs="Times New Roman" w:eastAsia="Times New Roman" w:hAnsi="Times New Roman"/>
                <w:sz w:val="15"/>
                <w:szCs w:val="15"/>
                <w:color w:val="auto"/>
              </w:rPr>
              <w:t>87 %</w:t>
            </w:r>
          </w:p>
        </w:tc>
        <w:tc>
          <w:tcPr>
            <w:tcW w:w="0" w:type="dxa"/>
            <w:vAlign w:val="bottom"/>
          </w:tcPr>
          <w:p>
            <w:pPr>
              <w:spacing w:after="0"/>
              <w:rPr>
                <w:sz w:val="1"/>
                <w:szCs w:val="1"/>
                <w:color w:val="auto"/>
              </w:rPr>
            </w:pPr>
          </w:p>
        </w:tc>
      </w:tr>
      <w:tr>
        <w:trPr>
          <w:trHeight w:val="145"/>
        </w:trPr>
        <w:tc>
          <w:tcPr>
            <w:tcW w:w="224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 xml:space="preserve">Other </w:t>
            </w:r>
            <w:r>
              <w:rPr>
                <w:rFonts w:ascii="Times New Roman" w:cs="Times New Roman" w:eastAsia="Times New Roman" w:hAnsi="Times New Roman"/>
                <w:sz w:val="22"/>
                <w:szCs w:val="22"/>
                <w:color w:val="auto"/>
                <w:vertAlign w:val="superscript"/>
              </w:rPr>
              <w:t>(h)</w:t>
            </w:r>
          </w:p>
        </w:tc>
        <w:tc>
          <w:tcPr>
            <w:tcW w:w="220" w:type="dxa"/>
            <w:vAlign w:val="bottom"/>
          </w:tcPr>
          <w:p>
            <w:pPr>
              <w:spacing w:after="0"/>
              <w:rPr>
                <w:sz w:val="12"/>
                <w:szCs w:val="12"/>
                <w:color w:val="auto"/>
              </w:rPr>
            </w:pPr>
          </w:p>
        </w:tc>
        <w:tc>
          <w:tcPr>
            <w:tcW w:w="2220" w:type="dxa"/>
            <w:vAlign w:val="bottom"/>
            <w:gridSpan w:val="2"/>
          </w:tcPr>
          <w:p>
            <w:pPr>
              <w:spacing w:after="0" w:line="145" w:lineRule="exact"/>
              <w:rPr>
                <w:sz w:val="20"/>
                <w:szCs w:val="20"/>
                <w:color w:val="auto"/>
              </w:rPr>
            </w:pPr>
            <w:r>
              <w:rPr>
                <w:rFonts w:ascii="Times New Roman" w:cs="Times New Roman" w:eastAsia="Times New Roman" w:hAnsi="Times New Roman"/>
                <w:sz w:val="15"/>
                <w:szCs w:val="15"/>
                <w:color w:val="auto"/>
              </w:rPr>
              <w:t>Bay, Gulf and Walton Counties,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2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2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FL</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29,596</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gridSpan w:val="2"/>
          </w:tcPr>
          <w:p>
            <w:pPr>
              <w:jc w:val="right"/>
              <w:ind w:right="107"/>
              <w:spacing w:after="0"/>
              <w:rPr>
                <w:sz w:val="20"/>
                <w:szCs w:val="20"/>
                <w:color w:val="auto"/>
              </w:rPr>
            </w:pPr>
            <w:r>
              <w:rPr>
                <w:rFonts w:ascii="Times New Roman" w:cs="Times New Roman" w:eastAsia="Times New Roman" w:hAnsi="Times New Roman"/>
                <w:sz w:val="15"/>
                <w:szCs w:val="15"/>
                <w:color w:val="auto"/>
              </w:rPr>
              <w:t>100 %</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35,208</w:t>
            </w:r>
          </w:p>
        </w:tc>
        <w:tc>
          <w:tcPr>
            <w:tcW w:w="1280" w:type="dxa"/>
            <w:vAlign w:val="bottom"/>
            <w:gridSpan w:val="3"/>
          </w:tcPr>
          <w:p>
            <w:pPr>
              <w:jc w:val="right"/>
              <w:ind w:right="104"/>
              <w:spacing w:after="0"/>
              <w:rPr>
                <w:sz w:val="20"/>
                <w:szCs w:val="20"/>
                <w:color w:val="auto"/>
              </w:rPr>
            </w:pPr>
            <w:r>
              <w:rPr>
                <w:rFonts w:ascii="Times New Roman" w:cs="Times New Roman" w:eastAsia="Times New Roman" w:hAnsi="Times New Roman"/>
                <w:sz w:val="15"/>
                <w:szCs w:val="15"/>
                <w:color w:val="auto"/>
              </w:rPr>
              <w:t>100 %</w:t>
            </w:r>
          </w:p>
        </w:tc>
        <w:tc>
          <w:tcPr>
            <w:tcW w:w="0" w:type="dxa"/>
            <w:vAlign w:val="bottom"/>
          </w:tcPr>
          <w:p>
            <w:pPr>
              <w:spacing w:after="0"/>
              <w:rPr>
                <w:sz w:val="1"/>
                <w:szCs w:val="1"/>
                <w:color w:val="auto"/>
              </w:rPr>
            </w:pPr>
          </w:p>
        </w:tc>
      </w:tr>
      <w:tr>
        <w:trPr>
          <w:trHeight w:val="162"/>
        </w:trPr>
        <w:tc>
          <w:tcPr>
            <w:tcW w:w="224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WindMark Beach Town Center </w:t>
            </w:r>
            <w:r>
              <w:rPr>
                <w:rFonts w:ascii="Times New Roman" w:cs="Times New Roman" w:eastAsia="Times New Roman" w:hAnsi="Times New Roman"/>
                <w:sz w:val="18"/>
                <w:szCs w:val="18"/>
                <w:color w:val="auto"/>
                <w:vertAlign w:val="superscript"/>
              </w:rPr>
              <w:t>(i)</w:t>
            </w:r>
          </w:p>
        </w:tc>
        <w:tc>
          <w:tcPr>
            <w:tcW w:w="220" w:type="dxa"/>
            <w:vAlign w:val="bottom"/>
            <w:shd w:val="clear" w:color="auto" w:fill="CCEEFF"/>
          </w:tcPr>
          <w:p>
            <w:pPr>
              <w:spacing w:after="0"/>
              <w:rPr>
                <w:sz w:val="14"/>
                <w:szCs w:val="14"/>
                <w:color w:val="auto"/>
              </w:rPr>
            </w:pPr>
          </w:p>
        </w:tc>
        <w:tc>
          <w:tcPr>
            <w:tcW w:w="222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Gulf County, FL</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N/A</w:t>
            </w: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07"/>
              <w:spacing w:after="0" w:line="162" w:lineRule="exact"/>
              <w:rPr>
                <w:sz w:val="20"/>
                <w:szCs w:val="20"/>
                <w:color w:val="auto"/>
              </w:rPr>
            </w:pPr>
            <w:r>
              <w:rPr>
                <w:rFonts w:ascii="Times New Roman" w:cs="Times New Roman" w:eastAsia="Times New Roman" w:hAnsi="Times New Roman"/>
                <w:sz w:val="15"/>
                <w:szCs w:val="15"/>
                <w:color w:val="auto"/>
              </w:rPr>
              <w:t>N/A</w:t>
            </w:r>
          </w:p>
        </w:tc>
        <w:tc>
          <w:tcPr>
            <w:tcW w:w="8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44,748</w:t>
            </w:r>
          </w:p>
        </w:tc>
        <w:tc>
          <w:tcPr>
            <w:tcW w:w="1280" w:type="dxa"/>
            <w:vAlign w:val="bottom"/>
            <w:gridSpan w:val="3"/>
            <w:shd w:val="clear" w:color="auto" w:fill="CCEEFF"/>
          </w:tcPr>
          <w:p>
            <w:pPr>
              <w:jc w:val="right"/>
              <w:ind w:right="104"/>
              <w:spacing w:after="0" w:line="162" w:lineRule="exact"/>
              <w:rPr>
                <w:sz w:val="20"/>
                <w:szCs w:val="20"/>
                <w:color w:val="auto"/>
              </w:rPr>
            </w:pPr>
            <w:r>
              <w:rPr>
                <w:rFonts w:ascii="Times New Roman" w:cs="Times New Roman" w:eastAsia="Times New Roman" w:hAnsi="Times New Roman"/>
                <w:sz w:val="15"/>
                <w:szCs w:val="15"/>
                <w:color w:val="auto"/>
              </w:rPr>
              <w:t>57 %</w:t>
            </w:r>
          </w:p>
        </w:tc>
        <w:tc>
          <w:tcPr>
            <w:tcW w:w="0" w:type="dxa"/>
            <w:vAlign w:val="bottom"/>
          </w:tcPr>
          <w:p>
            <w:pPr>
              <w:spacing w:after="0"/>
              <w:rPr>
                <w:sz w:val="1"/>
                <w:szCs w:val="1"/>
                <w:color w:val="auto"/>
              </w:rPr>
            </w:pPr>
          </w:p>
        </w:tc>
      </w:tr>
      <w:tr>
        <w:trPr>
          <w:trHeight w:val="155"/>
        </w:trPr>
        <w:tc>
          <w:tcPr>
            <w:tcW w:w="2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60" w:type="dxa"/>
            <w:vAlign w:val="bottom"/>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1,147,505</w:t>
            </w:r>
          </w:p>
        </w:tc>
        <w:tc>
          <w:tcPr>
            <w:tcW w:w="140" w:type="dxa"/>
            <w:vAlign w:val="bottom"/>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97</w:t>
            </w:r>
          </w:p>
        </w:tc>
        <w:tc>
          <w:tcPr>
            <w:tcW w:w="320" w:type="dxa"/>
            <w:vAlign w:val="bottom"/>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1,174,040</w:t>
            </w:r>
          </w:p>
        </w:tc>
        <w:tc>
          <w:tcPr>
            <w:tcW w:w="14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96</w:t>
            </w:r>
          </w:p>
        </w:tc>
        <w:tc>
          <w:tcPr>
            <w:tcW w:w="300" w:type="dxa"/>
            <w:vAlign w:val="bottom"/>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21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3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380" w:right="159" w:hanging="330"/>
        <w:spacing w:after="0" w:line="297" w:lineRule="auto"/>
        <w:tabs>
          <w:tab w:leader="none" w:pos="380" w:val="left"/>
        </w:tabs>
        <w:numPr>
          <w:ilvl w:val="0"/>
          <w:numId w:val="27"/>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Net Leasable Square Feet is designated as the current square feet available for lease as specified in the applicable lease agreements plus management’s estimate of space available for lease based on construction drawings.</w:t>
      </w:r>
    </w:p>
    <w:p>
      <w:pPr>
        <w:spacing w:after="0" w:line="149" w:lineRule="exact"/>
        <w:rPr>
          <w:sz w:val="20"/>
          <w:szCs w:val="20"/>
          <w:color w:val="auto"/>
        </w:rPr>
      </w:pPr>
    </w:p>
    <w:p>
      <w:pPr>
        <w:ind w:left="380" w:hanging="330"/>
        <w:spacing w:after="0"/>
        <w:tabs>
          <w:tab w:leader="none" w:pos="3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Property is related to a consolidated JV. See Note 4. </w:t>
      </w:r>
      <w:r>
        <w:rPr>
          <w:rFonts w:ascii="Times New Roman" w:cs="Times New Roman" w:eastAsia="Times New Roman" w:hAnsi="Times New Roman"/>
          <w:sz w:val="16"/>
          <w:szCs w:val="16"/>
          <w:i w:val="1"/>
          <w:iCs w:val="1"/>
          <w:color w:val="auto"/>
        </w:rPr>
        <w:t>Joint Ventures</w:t>
      </w:r>
      <w:r>
        <w:rPr>
          <w:rFonts w:ascii="Times New Roman" w:cs="Times New Roman" w:eastAsia="Times New Roman" w:hAnsi="Times New Roman"/>
          <w:sz w:val="16"/>
          <w:szCs w:val="16"/>
          <w:color w:val="auto"/>
        </w:rPr>
        <w:t xml:space="preserve"> for additional information.</w:t>
      </w:r>
    </w:p>
    <w:p>
      <w:pPr>
        <w:spacing w:after="0" w:line="28" w:lineRule="exact"/>
        <w:rPr>
          <w:rFonts w:ascii="Times New Roman" w:cs="Times New Roman" w:eastAsia="Times New Roman" w:hAnsi="Times New Roman"/>
          <w:sz w:val="16"/>
          <w:szCs w:val="16"/>
          <w:color w:val="auto"/>
        </w:rPr>
      </w:pPr>
    </w:p>
    <w:p>
      <w:pPr>
        <w:ind w:left="380" w:right="339" w:hanging="330"/>
        <w:spacing w:after="0" w:line="264" w:lineRule="auto"/>
        <w:tabs>
          <w:tab w:leader="none" w:pos="3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September 30, 2026, we occupied 2,032 square feet for our Business Services, which is excluded from net leasable square feet.</w:t>
      </w:r>
    </w:p>
    <w:p>
      <w:pPr>
        <w:jc w:val="both"/>
        <w:ind w:left="380" w:right="159" w:hanging="330"/>
        <w:spacing w:after="0" w:line="264" w:lineRule="auto"/>
        <w:tabs>
          <w:tab w:leader="none" w:pos="3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additional building was completed in the first quarter of 2026. As of September 30, 2026 and December 31, 2025, we occupied 6,752 square feet for our Business Services, which is excluded from net leasable square feet. Included in net leasable square feet as of December 31, 2025, is 1,200 square feet leased to an unconsolidated JV.</w:t>
      </w:r>
    </w:p>
    <w:p>
      <w:pPr>
        <w:ind w:left="380" w:hanging="330"/>
        <w:spacing w:after="0"/>
        <w:tabs>
          <w:tab w:leader="none" w:pos="3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addition to net leasable square feet, there is also space that we occupy or that serves as common area.</w:t>
      </w:r>
    </w:p>
    <w:p>
      <w:pPr>
        <w:spacing w:after="0" w:line="18" w:lineRule="exact"/>
        <w:rPr>
          <w:rFonts w:ascii="Times New Roman" w:cs="Times New Roman" w:eastAsia="Times New Roman" w:hAnsi="Times New Roman"/>
          <w:sz w:val="16"/>
          <w:szCs w:val="16"/>
          <w:color w:val="auto"/>
        </w:rPr>
      </w:pPr>
    </w:p>
    <w:p>
      <w:pPr>
        <w:ind w:left="380" w:right="139" w:hanging="330"/>
        <w:spacing w:after="0" w:line="264" w:lineRule="auto"/>
        <w:tabs>
          <w:tab w:leader="none" w:pos="3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occupied approximately 22,556 square feet as our headquarters as of both September 30, 2026 and December 31, 2025, each of which is excluded from net leasable square feet.</w:t>
      </w:r>
    </w:p>
    <w:p>
      <w:pPr>
        <w:ind w:left="380" w:right="199" w:hanging="330"/>
        <w:spacing w:after="0" w:line="264" w:lineRule="auto"/>
        <w:tabs>
          <w:tab w:leader="none" w:pos="3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 additional building was completed in the first quarter of 2026. In addition to net leasable square feet, as of September 30, 2026 and December 31, 2025, our unconsolidated Electric Cart Watersound JV owns and operates 11,813 square feet for its golf cart sales and service facility. See Note 4. </w:t>
      </w:r>
      <w:r>
        <w:rPr>
          <w:rFonts w:ascii="Times New Roman" w:cs="Times New Roman" w:eastAsia="Times New Roman" w:hAnsi="Times New Roman"/>
          <w:sz w:val="16"/>
          <w:szCs w:val="16"/>
          <w:i w:val="1"/>
          <w:iCs w:val="1"/>
          <w:color w:val="auto"/>
        </w:rPr>
        <w:t>Joint Ventures</w:t>
      </w:r>
      <w:r>
        <w:rPr>
          <w:rFonts w:ascii="Times New Roman" w:cs="Times New Roman" w:eastAsia="Times New Roman" w:hAnsi="Times New Roman"/>
          <w:sz w:val="16"/>
          <w:szCs w:val="16"/>
          <w:color w:val="auto"/>
        </w:rPr>
        <w:t xml:space="preserve"> for additional information.</w:t>
      </w:r>
    </w:p>
    <w:p>
      <w:pPr>
        <w:ind w:left="380" w:right="339" w:hanging="330"/>
        <w:spacing w:after="0" w:line="264" w:lineRule="auto"/>
        <w:tabs>
          <w:tab w:leader="none" w:pos="3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September 30, 2026, we occupied 2,468 square feet for our Business Services, which is excluded from net leasable square feet.</w:t>
      </w:r>
    </w:p>
    <w:p>
      <w:pPr>
        <w:ind w:left="380" w:hanging="330"/>
        <w:spacing w:after="0"/>
        <w:tabs>
          <w:tab w:leader="none" w:pos="3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various other properties, each with less than 10,000 net leasable square feet.</w:t>
      </w:r>
    </w:p>
    <w:p>
      <w:pPr>
        <w:spacing w:after="0" w:line="18" w:lineRule="exact"/>
        <w:rPr>
          <w:rFonts w:ascii="Times New Roman" w:cs="Times New Roman" w:eastAsia="Times New Roman" w:hAnsi="Times New Roman"/>
          <w:sz w:val="16"/>
          <w:szCs w:val="16"/>
          <w:color w:val="auto"/>
        </w:rPr>
      </w:pPr>
    </w:p>
    <w:p>
      <w:pPr>
        <w:ind w:left="380" w:right="259" w:hanging="330"/>
        <w:spacing w:after="0" w:line="288" w:lineRule="auto"/>
        <w:tabs>
          <w:tab w:leader="none" w:pos="3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July 2026, the WindMark Beach Town Center was sold. Included in net leasable square feet as of December 31, 2025, is 5,658 square feet of unfinished space.</w:t>
      </w:r>
    </w:p>
    <w:p>
      <w:pPr>
        <w:spacing w:after="0" w:line="167" w:lineRule="exact"/>
        <w:rPr>
          <w:rFonts w:ascii="Times New Roman" w:cs="Times New Roman" w:eastAsia="Times New Roman" w:hAnsi="Times New Roman"/>
          <w:sz w:val="16"/>
          <w:szCs w:val="16"/>
          <w:color w:val="auto"/>
        </w:rPr>
      </w:pPr>
    </w:p>
    <w:p>
      <w:pPr>
        <w:ind w:left="3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In addition to the leased properties above, we have ground leases in various locations of our land holdings.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We have commercial projects under development and construction as detailed in the table below. In addition to these properties, we have other commercial buildings and sites in various stages of planning and development.</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Completed Square</w:t>
            </w:r>
          </w:p>
        </w:tc>
        <w:tc>
          <w:tcPr>
            <w:tcW w:w="14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Square Feet Under</w:t>
            </w:r>
          </w:p>
        </w:tc>
        <w:tc>
          <w:tcPr>
            <w:tcW w:w="118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Square</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340" w:type="dxa"/>
            <w:vAlign w:val="bottom"/>
            <w:gridSpan w:val="2"/>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1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Planned Square</w:t>
            </w: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Feet</w:t>
            </w:r>
          </w:p>
        </w:tc>
        <w:tc>
          <w:tcPr>
            <w:tcW w:w="14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Feet</w:t>
            </w:r>
          </w:p>
        </w:tc>
        <w:tc>
          <w:tcPr>
            <w:tcW w:w="90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Feet*</w:t>
            </w:r>
          </w:p>
        </w:tc>
        <w:tc>
          <w:tcPr>
            <w:tcW w:w="0" w:type="dxa"/>
            <w:vAlign w:val="bottom"/>
          </w:tcPr>
          <w:p>
            <w:pPr>
              <w:spacing w:after="0"/>
              <w:rPr>
                <w:sz w:val="1"/>
                <w:szCs w:val="1"/>
                <w:color w:val="auto"/>
              </w:rPr>
            </w:pPr>
          </w:p>
        </w:tc>
      </w:tr>
      <w:tr>
        <w:trPr>
          <w:trHeight w:val="196"/>
        </w:trPr>
        <w:tc>
          <w:tcPr>
            <w:tcW w:w="2460" w:type="dxa"/>
            <w:vAlign w:val="bottom"/>
            <w:tcBorders>
              <w:top w:val="single" w:sz="8" w:color="CCEEFF"/>
            </w:tcBorders>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5"/>
                <w:szCs w:val="15"/>
                <w:color w:val="auto"/>
              </w:rPr>
              <w:t xml:space="preserve">Watersound Town Center </w:t>
            </w:r>
            <w:r>
              <w:rPr>
                <w:rFonts w:ascii="Times New Roman" w:cs="Times New Roman" w:eastAsia="Times New Roman" w:hAnsi="Times New Roman"/>
                <w:sz w:val="22"/>
                <w:szCs w:val="22"/>
                <w:color w:val="auto"/>
                <w:vertAlign w:val="superscript"/>
              </w:rPr>
              <w:t>(a)</w:t>
            </w:r>
          </w:p>
        </w:tc>
        <w:tc>
          <w:tcPr>
            <w:tcW w:w="1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Walton County, FL</w:t>
            </w:r>
          </w:p>
        </w:tc>
        <w:tc>
          <w:tcPr>
            <w:tcW w:w="14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168,887</w:t>
            </w:r>
          </w:p>
        </w:tc>
        <w:tc>
          <w:tcPr>
            <w:tcW w:w="16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16,812</w:t>
            </w:r>
          </w:p>
        </w:tc>
        <w:tc>
          <w:tcPr>
            <w:tcW w:w="1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214,301</w:t>
            </w:r>
          </w:p>
        </w:tc>
        <w:tc>
          <w:tcPr>
            <w:tcW w:w="1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0" w:type="dxa"/>
            <w:vAlign w:val="bottom"/>
          </w:tcPr>
          <w:p>
            <w:pPr>
              <w:spacing w:after="0"/>
              <w:rPr>
                <w:sz w:val="1"/>
                <w:szCs w:val="1"/>
                <w:color w:val="auto"/>
              </w:rPr>
            </w:pPr>
          </w:p>
        </w:tc>
      </w:tr>
      <w:tr>
        <w:trPr>
          <w:trHeight w:val="203"/>
        </w:trPr>
        <w:tc>
          <w:tcPr>
            <w:tcW w:w="246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6"/>
                <w:szCs w:val="16"/>
                <w:color w:val="auto"/>
              </w:rPr>
              <w:t xml:space="preserve">Watersound West Bay Center </w:t>
            </w:r>
            <w:r>
              <w:rPr>
                <w:rFonts w:ascii="Times New Roman" w:cs="Times New Roman" w:eastAsia="Times New Roman" w:hAnsi="Times New Roman"/>
                <w:sz w:val="23"/>
                <w:szCs w:val="23"/>
                <w:color w:val="auto"/>
                <w:vertAlign w:val="superscript"/>
              </w:rPr>
              <w:t>(b) (c)</w:t>
            </w: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Bay County, FL</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33,182</w:t>
            </w: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69,134</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397,684</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0" w:type="dxa"/>
            <w:vAlign w:val="bottom"/>
          </w:tcPr>
          <w:p>
            <w:pPr>
              <w:spacing w:after="0"/>
              <w:rPr>
                <w:sz w:val="1"/>
                <w:szCs w:val="1"/>
                <w:color w:val="auto"/>
              </w:rPr>
            </w:pPr>
          </w:p>
        </w:tc>
      </w:tr>
      <w:tr>
        <w:trPr>
          <w:trHeight w:val="203"/>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FSU/TMH Medical Campus</w:t>
            </w:r>
          </w:p>
        </w:tc>
        <w:tc>
          <w:tcPr>
            <w:tcW w:w="1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Bay County, FL</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78,670</w:t>
            </w:r>
          </w:p>
        </w:tc>
        <w:tc>
          <w:tcPr>
            <w:tcW w:w="1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241,330</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320,000</w:t>
            </w:r>
          </w:p>
        </w:tc>
        <w:tc>
          <w:tcPr>
            <w:tcW w:w="0" w:type="dxa"/>
            <w:vAlign w:val="bottom"/>
          </w:tcPr>
          <w:p>
            <w:pPr>
              <w:spacing w:after="0"/>
              <w:rPr>
                <w:sz w:val="1"/>
                <w:szCs w:val="1"/>
                <w:color w:val="auto"/>
              </w:rPr>
            </w:pPr>
          </w:p>
        </w:tc>
      </w:tr>
      <w:tr>
        <w:trPr>
          <w:trHeight w:val="196"/>
        </w:trPr>
        <w:tc>
          <w:tcPr>
            <w:tcW w:w="2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280,739</w:t>
            </w:r>
          </w:p>
        </w:tc>
        <w:tc>
          <w:tcPr>
            <w:tcW w:w="160" w:type="dxa"/>
            <w:vAlign w:val="bottom"/>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85,946</w:t>
            </w:r>
          </w:p>
        </w:tc>
        <w:tc>
          <w:tcPr>
            <w:tcW w:w="16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853,315</w:t>
            </w:r>
          </w:p>
        </w:tc>
        <w:tc>
          <w:tcPr>
            <w:tcW w:w="14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1,220,000</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hanging="330"/>
        <w:spacing w:after="0"/>
        <w:tabs>
          <w:tab w:leader="none" w:pos="380" w:val="left"/>
        </w:tabs>
        <w:numPr>
          <w:ilvl w:val="0"/>
          <w:numId w:val="29"/>
        </w:numPr>
        <w:rPr>
          <w:rFonts w:ascii="Arial" w:cs="Arial" w:eastAsia="Arial" w:hAnsi="Arial"/>
          <w:sz w:val="18"/>
          <w:szCs w:val="18"/>
          <w:b w:val="1"/>
          <w:bCs w:val="1"/>
          <w:color w:val="auto"/>
        </w:rPr>
      </w:pPr>
      <w:r>
        <w:rPr>
          <w:rFonts w:ascii="Times New Roman" w:cs="Times New Roman" w:eastAsia="Times New Roman" w:hAnsi="Times New Roman"/>
          <w:sz w:val="16"/>
          <w:szCs w:val="16"/>
          <w:color w:val="auto"/>
        </w:rPr>
        <w:t>Total square feet are based on current estimates and are subject to change</w:t>
      </w:r>
      <w:r>
        <w:rPr>
          <w:rFonts w:ascii="Times New Roman" w:cs="Times New Roman" w:eastAsia="Times New Roman" w:hAnsi="Times New Roman"/>
          <w:sz w:val="17"/>
          <w:szCs w:val="17"/>
          <w:color w:val="auto"/>
        </w:rPr>
        <w:t>.</w:t>
      </w:r>
    </w:p>
    <w:p>
      <w:pPr>
        <w:spacing w:after="0" w:line="68" w:lineRule="exact"/>
        <w:rPr>
          <w:sz w:val="20"/>
          <w:szCs w:val="20"/>
          <w:color w:val="auto"/>
        </w:rPr>
      </w:pPr>
    </w:p>
    <w:p>
      <w:pPr>
        <w:ind w:left="380" w:right="439" w:hanging="330"/>
        <w:spacing w:after="0" w:line="269" w:lineRule="auto"/>
        <w:tabs>
          <w:tab w:leader="none" w:pos="3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occupy 6,752 square feet of the completed space for our Business Services. There is also an additional 1,027 square feet of completed space we occupy.</w:t>
      </w:r>
    </w:p>
    <w:p>
      <w:pPr>
        <w:ind w:left="380" w:right="299" w:hanging="330"/>
        <w:spacing w:after="0" w:line="264" w:lineRule="auto"/>
        <w:tabs>
          <w:tab w:leader="none" w:pos="3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Completed square feet include 11,813 square feet owned and operated by our unconsolidated Electric Cart Watersound JV for its golf cart sales and service facility. See Note 4. </w:t>
      </w:r>
      <w:r>
        <w:rPr>
          <w:rFonts w:ascii="Times New Roman" w:cs="Times New Roman" w:eastAsia="Times New Roman" w:hAnsi="Times New Roman"/>
          <w:sz w:val="16"/>
          <w:szCs w:val="16"/>
          <w:i w:val="1"/>
          <w:iCs w:val="1"/>
          <w:color w:val="auto"/>
        </w:rPr>
        <w:t>Joint Ventures</w:t>
      </w:r>
      <w:r>
        <w:rPr>
          <w:rFonts w:ascii="Times New Roman" w:cs="Times New Roman" w:eastAsia="Times New Roman" w:hAnsi="Times New Roman"/>
          <w:sz w:val="16"/>
          <w:szCs w:val="16"/>
          <w:color w:val="auto"/>
        </w:rPr>
        <w:t xml:space="preserve"> for additional information.</w:t>
      </w:r>
    </w:p>
    <w:p>
      <w:pPr>
        <w:ind w:left="380" w:hanging="330"/>
        <w:spacing w:after="0"/>
        <w:tabs>
          <w:tab w:leader="none" w:pos="3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Square feet under construction include 5,509 square feet for our Business Services.</w:t>
      </w:r>
    </w:p>
    <w:p>
      <w:pPr>
        <w:spacing w:after="0" w:line="2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are based upon our condensed consolidated financial statements, which have been prepared in accordance with GAAP. The preparation of these financial statements requires us to make estimates and judgments that affect the reported amounts of assets, liabilities, revenue and expenses and related disclosures of contingent assets and liabilities. We base these estimates on historical experience, available current market information and on various other assumptions that management believes are reasonable under the circumstances. Additionally, we evaluate the results of these estimates on an on-going basis. Management’s estimates form the basis for making judgments about the carrying values of assets and liabilities that are not readily apparent from other sources. Actual results may differ from these estimates under different assumptions or conditions and our accounting estimates are subject to change.</w:t>
      </w:r>
    </w:p>
    <w:p>
      <w:pPr>
        <w:spacing w:after="0" w:line="188"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Critical accounting policies that we believe reflect our more significant judgments and estimates used in the preparation of our condensed consolidated financial statements are set forth in Item 7 of our Annual Report on Form 10-K for the year ended December 31, 2025. There have been no significant changes in these policies during the first nine months of 2026, however we cannot assure you that these policies will not change in the future.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Recently Adopted and Issued Accounting Pronouncements</w:t>
      </w:r>
    </w:p>
    <w:p>
      <w:pPr>
        <w:spacing w:after="0" w:line="227" w:lineRule="exact"/>
        <w:rPr>
          <w:sz w:val="20"/>
          <w:szCs w:val="20"/>
          <w:color w:val="auto"/>
        </w:rPr>
      </w:pPr>
    </w:p>
    <w:p>
      <w:pPr>
        <w:ind w:left="60" w:right="219" w:firstLine="324"/>
        <w:spacing w:after="0" w:line="267" w:lineRule="auto"/>
        <w:rPr>
          <w:sz w:val="20"/>
          <w:szCs w:val="20"/>
          <w:color w:val="auto"/>
        </w:rPr>
      </w:pPr>
      <w:r>
        <w:rPr>
          <w:rFonts w:ascii="Times New Roman" w:cs="Times New Roman" w:eastAsia="Times New Roman" w:hAnsi="Times New Roman"/>
          <w:sz w:val="18"/>
          <w:szCs w:val="18"/>
          <w:color w:val="auto"/>
        </w:rPr>
        <w:t xml:space="preserve">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to our condensed consolidated financial statements included in this report for recently issued or adopted accounting standards, including the date of adoption and effect on our condensed consolidated financial statements.</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Seasonality and Market Variability</w:t>
      </w:r>
    </w:p>
    <w:p>
      <w:pPr>
        <w:spacing w:after="0" w:line="229"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Our operations may be affected by seasonal fluctuations. The revenues and earnings from our business segments may vary significantly from period to period. Homebuilders tend to buy multiple homesites in sporadic transactions. In addition, homesite prices vary significantly by community, which further impacts period over period results. Therefore, there may be reporting periods in which we have no, or significantly less, revenue from real estate sales. We may also choose to operate rather than lease assets, lease rather than sell assets, or sell improved rather than unimproved land that may delay revenue and profits.</w:t>
      </w:r>
    </w:p>
    <w:p>
      <w:pPr>
        <w:spacing w:after="0" w:line="187"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Hospitality revenues are typically higher in the second and third quarters, and vary depending on the timing of holidays and school breaks. Commercial and hospitality real estate sales tend to be non-recurring. Projects depend on uncertain demand. Extraordinary events such as hurricanes may dramatically change demand and pricing for products and services.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a comparison of the results of our operations: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40" w:type="dxa"/>
            <w:vAlign w:val="bottom"/>
            <w:gridSpan w:val="4"/>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60" w:type="dxa"/>
            <w:vAlign w:val="bottom"/>
            <w:gridSpan w:val="7"/>
          </w:tcPr>
          <w:p>
            <w:pPr>
              <w:ind w:left="2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080" w:type="dxa"/>
            <w:vAlign w:val="bottom"/>
            <w:vMerge w:val="restart"/>
          </w:tcPr>
          <w:p>
            <w:pPr>
              <w:ind w:left="19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40" w:type="dxa"/>
            <w:vAlign w:val="bottom"/>
            <w:tcBorders>
              <w:bottom w:val="single" w:sz="8" w:color="auto"/>
            </w:tcBorders>
          </w:tcPr>
          <w:p>
            <w:pPr>
              <w:spacing w:after="0"/>
              <w:rPr>
                <w:sz w:val="15"/>
                <w:szCs w:val="15"/>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080" w:type="dxa"/>
            <w:vAlign w:val="bottom"/>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240" w:type="dxa"/>
            <w:vAlign w:val="bottom"/>
            <w:vMerge w:val="continue"/>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Borders>
              <w:bottom w:val="single" w:sz="8" w:color="auto"/>
            </w:tcBorders>
          </w:tcPr>
          <w:p>
            <w:pPr>
              <w:spacing w:after="0"/>
              <w:rPr>
                <w:sz w:val="12"/>
                <w:szCs w:val="12"/>
                <w:color w:val="auto"/>
              </w:rPr>
            </w:pPr>
          </w:p>
        </w:tc>
        <w:tc>
          <w:tcPr>
            <w:tcW w:w="24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3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484"/>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ind w:left="100"/>
              <w:spacing w:after="0" w:line="216" w:lineRule="exact"/>
              <w:rPr>
                <w:sz w:val="20"/>
                <w:szCs w:val="20"/>
                <w:color w:val="auto"/>
              </w:rPr>
            </w:pPr>
            <w:r>
              <w:rPr>
                <w:rFonts w:ascii="Times New Roman" w:cs="Times New Roman" w:eastAsia="Times New Roman" w:hAnsi="Times New Roman"/>
                <w:sz w:val="17"/>
                <w:szCs w:val="17"/>
                <w:color w:val="auto"/>
              </w:rPr>
              <w:t xml:space="preserve">Real estate revenue </w:t>
            </w:r>
            <w:r>
              <w:rPr>
                <w:rFonts w:ascii="Times New Roman" w:cs="Times New Roman" w:eastAsia="Times New Roman" w:hAnsi="Times New Roman"/>
                <w:sz w:val="25"/>
                <w:szCs w:val="25"/>
                <w:color w:val="auto"/>
                <w:vertAlign w:val="superscript"/>
              </w:rPr>
              <w:t>(a)</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56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52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580" w:type="dxa"/>
            <w:vAlign w:val="bottom"/>
            <w:gridSpan w:val="4"/>
          </w:tcPr>
          <w:p>
            <w:pPr>
              <w:jc w:val="right"/>
              <w:ind w:right="204"/>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Hospitality revenue</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Leasing revenue</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2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414.1</w:t>
            </w: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384.4</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gridSpan w:val="2"/>
          </w:tcPr>
          <w:p>
            <w:pPr>
              <w:jc w:val="right"/>
              <w:ind w:right="220"/>
              <w:spacing w:after="0"/>
              <w:rPr>
                <w:sz w:val="20"/>
                <w:szCs w:val="20"/>
                <w:color w:val="auto"/>
              </w:rPr>
            </w:pPr>
            <w:r>
              <w:rPr>
                <w:rFonts w:ascii="Times New Roman" w:cs="Times New Roman" w:eastAsia="Times New Roman" w:hAnsi="Times New Roman"/>
                <w:sz w:val="1"/>
                <w:szCs w:val="1"/>
                <w:color w:val="auto"/>
                <w:w w:val="4294942296"/>
              </w:rPr>
              <w:t>​</w:t>
            </w: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ind w:left="100"/>
              <w:spacing w:after="0" w:line="216" w:lineRule="exact"/>
              <w:rPr>
                <w:sz w:val="20"/>
                <w:szCs w:val="20"/>
                <w:color w:val="auto"/>
              </w:rPr>
            </w:pPr>
            <w:r>
              <w:rPr>
                <w:rFonts w:ascii="Times New Roman" w:cs="Times New Roman" w:eastAsia="Times New Roman" w:hAnsi="Times New Roman"/>
                <w:sz w:val="17"/>
                <w:szCs w:val="17"/>
                <w:color w:val="auto"/>
              </w:rPr>
              <w:t xml:space="preserve">Cost of real estate revenue </w:t>
            </w:r>
            <w:r>
              <w:rPr>
                <w:rFonts w:ascii="Times New Roman" w:cs="Times New Roman" w:eastAsia="Times New Roman" w:hAnsi="Times New Roman"/>
                <w:sz w:val="25"/>
                <w:szCs w:val="25"/>
                <w:color w:val="auto"/>
                <w:vertAlign w:val="superscript"/>
              </w:rPr>
              <w:t>(a) (b)</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ind w:left="100"/>
              <w:spacing w:after="0" w:line="216" w:lineRule="exact"/>
              <w:rPr>
                <w:sz w:val="20"/>
                <w:szCs w:val="20"/>
                <w:color w:val="auto"/>
              </w:rPr>
            </w:pPr>
            <w:r>
              <w:rPr>
                <w:rFonts w:ascii="Times New Roman" w:cs="Times New Roman" w:eastAsia="Times New Roman" w:hAnsi="Times New Roman"/>
                <w:sz w:val="17"/>
                <w:szCs w:val="17"/>
                <w:color w:val="auto"/>
              </w:rPr>
              <w:t xml:space="preserve">Cost of hospitality revenue </w:t>
            </w:r>
            <w:r>
              <w:rPr>
                <w:rFonts w:ascii="Times New Roman" w:cs="Times New Roman" w:eastAsia="Times New Roman" w:hAnsi="Times New Roman"/>
                <w:sz w:val="25"/>
                <w:szCs w:val="25"/>
                <w:color w:val="auto"/>
                <w:vertAlign w:val="superscript"/>
              </w:rPr>
              <w:t>(b)</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ind w:left="100"/>
              <w:spacing w:after="0" w:line="216" w:lineRule="exact"/>
              <w:rPr>
                <w:sz w:val="20"/>
                <w:szCs w:val="20"/>
                <w:color w:val="auto"/>
              </w:rPr>
            </w:pPr>
            <w:r>
              <w:rPr>
                <w:rFonts w:ascii="Times New Roman" w:cs="Times New Roman" w:eastAsia="Times New Roman" w:hAnsi="Times New Roman"/>
                <w:sz w:val="17"/>
                <w:szCs w:val="17"/>
                <w:color w:val="auto"/>
              </w:rPr>
              <w:t xml:space="preserve">Cost of leasing revenue </w:t>
            </w:r>
            <w:r>
              <w:rPr>
                <w:rFonts w:ascii="Times New Roman" w:cs="Times New Roman" w:eastAsia="Times New Roman" w:hAnsi="Times New Roman"/>
                <w:sz w:val="25"/>
                <w:szCs w:val="25"/>
                <w:color w:val="auto"/>
                <w:vertAlign w:val="superscript"/>
              </w:rPr>
              <w:t>(b)</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ind w:left="100"/>
              <w:spacing w:after="0" w:line="216" w:lineRule="exact"/>
              <w:rPr>
                <w:sz w:val="20"/>
                <w:szCs w:val="20"/>
                <w:color w:val="auto"/>
              </w:rPr>
            </w:pPr>
            <w:r>
              <w:rPr>
                <w:rFonts w:ascii="Times New Roman" w:cs="Times New Roman" w:eastAsia="Times New Roman" w:hAnsi="Times New Roman"/>
                <w:sz w:val="17"/>
                <w:szCs w:val="17"/>
                <w:color w:val="auto"/>
              </w:rPr>
              <w:t xml:space="preserve">Corporate and other operating expenses </w:t>
            </w:r>
            <w:r>
              <w:rPr>
                <w:rFonts w:ascii="Times New Roman" w:cs="Times New Roman" w:eastAsia="Times New Roman" w:hAnsi="Times New Roman"/>
                <w:sz w:val="25"/>
                <w:szCs w:val="25"/>
                <w:color w:val="auto"/>
                <w:vertAlign w:val="superscript"/>
              </w:rPr>
              <w:t>(b)</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 expenses</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2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279.6</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61.5</w:t>
            </w:r>
          </w:p>
        </w:tc>
        <w:tc>
          <w:tcPr>
            <w:tcW w:w="2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52.9</w:t>
            </w: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134.5</w:t>
            </w: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106.8</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Other income (expense):</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gridSpan w:val="2"/>
          </w:tcPr>
          <w:p>
            <w:pPr>
              <w:jc w:val="right"/>
              <w:ind w:right="220"/>
              <w:spacing w:after="0"/>
              <w:rPr>
                <w:sz w:val="20"/>
                <w:szCs w:val="20"/>
                <w:color w:val="auto"/>
              </w:rPr>
            </w:pPr>
            <w:r>
              <w:rPr>
                <w:rFonts w:ascii="Times New Roman" w:cs="Times New Roman" w:eastAsia="Times New Roman" w:hAnsi="Times New Roman"/>
                <w:sz w:val="1"/>
                <w:szCs w:val="1"/>
                <w:color w:val="auto"/>
                <w:w w:val="4294942296"/>
              </w:rPr>
              <w:t>​</w:t>
            </w: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 income, net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00" w:type="dxa"/>
            <w:vAlign w:val="bottom"/>
            <w:gridSpan w:val="2"/>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Equity in (loss) income from unconsolidated joint</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300" w:type="dxa"/>
            <w:vAlign w:val="bottom"/>
            <w:gridSpan w:val="2"/>
            <w:shd w:val="clear" w:color="auto" w:fill="CCEEFF"/>
          </w:tcPr>
          <w:p>
            <w:pPr>
              <w:ind w:left="220"/>
              <w:spacing w:after="0" w:line="242" w:lineRule="exact"/>
              <w:rPr>
                <w:sz w:val="20"/>
                <w:szCs w:val="20"/>
                <w:color w:val="auto"/>
              </w:rPr>
            </w:pPr>
            <w:r>
              <w:rPr>
                <w:rFonts w:ascii="Times New Roman" w:cs="Times New Roman" w:eastAsia="Times New Roman" w:hAnsi="Times New Roman"/>
                <w:sz w:val="18"/>
                <w:szCs w:val="18"/>
                <w:color w:val="auto"/>
              </w:rPr>
              <w:t xml:space="preserve">ventures </w:t>
            </w:r>
            <w:r>
              <w:rPr>
                <w:rFonts w:ascii="Times New Roman" w:cs="Times New Roman" w:eastAsia="Times New Roman" w:hAnsi="Times New Roman"/>
                <w:sz w:val="26"/>
                <w:szCs w:val="26"/>
                <w:color w:val="auto"/>
                <w:vertAlign w:val="superscript"/>
              </w:rPr>
              <w:t>(c)</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49.9</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122.8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37.0</w:t>
            </w:r>
          </w:p>
        </w:tc>
        <w:tc>
          <w:tcPr>
            <w:tcW w:w="240" w:type="dxa"/>
            <w:vAlign w:val="bottom"/>
          </w:tcPr>
          <w:p>
            <w:pPr>
              <w:spacing w:after="0"/>
              <w:rPr>
                <w:sz w:val="18"/>
                <w:szCs w:val="18"/>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40.2</w:t>
            </w:r>
          </w:p>
        </w:tc>
        <w:tc>
          <w:tcPr>
            <w:tcW w:w="240" w:type="dxa"/>
            <w:vAlign w:val="bottom"/>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91.3</w:t>
            </w:r>
          </w:p>
        </w:tc>
        <w:tc>
          <w:tcPr>
            <w:tcW w:w="2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320" w:type="dxa"/>
            <w:vAlign w:val="bottom"/>
          </w:tcPr>
          <w:p>
            <w:pPr>
              <w:jc w:val="right"/>
              <w:ind w:right="20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0" w:type="dxa"/>
            <w:vAlign w:val="bottom"/>
            <w:tcBorders>
              <w:bottom w:val="single" w:sz="8" w:color="auto"/>
            </w:tcBorders>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20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80" w:right="279" w:hanging="330"/>
        <w:spacing w:after="0" w:line="267" w:lineRule="auto"/>
        <w:tabs>
          <w:tab w:leader="none" w:pos="3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three and nine months ended September 30, 2026, include revenue of $31.4 million for the initial net present value of additional land sold to the Latitude Margaritaville Watersound JV and $9.6 million of cost of revenue. See Note 4. </w:t>
      </w:r>
      <w:r>
        <w:rPr>
          <w:rFonts w:ascii="Times New Roman" w:cs="Times New Roman" w:eastAsia="Times New Roman" w:hAnsi="Times New Roman"/>
          <w:sz w:val="16"/>
          <w:szCs w:val="16"/>
          <w:i w:val="1"/>
          <w:iCs w:val="1"/>
          <w:color w:val="auto"/>
        </w:rPr>
        <w:t>Joint Ventures</w:t>
      </w:r>
      <w:r>
        <w:rPr>
          <w:rFonts w:ascii="Times New Roman" w:cs="Times New Roman" w:eastAsia="Times New Roman" w:hAnsi="Times New Roman"/>
          <w:sz w:val="16"/>
          <w:szCs w:val="16"/>
          <w:color w:val="auto"/>
        </w:rPr>
        <w:t xml:space="preserve"> and Note 18. </w:t>
      </w:r>
      <w:r>
        <w:rPr>
          <w:rFonts w:ascii="Times New Roman" w:cs="Times New Roman" w:eastAsia="Times New Roman" w:hAnsi="Times New Roman"/>
          <w:sz w:val="16"/>
          <w:szCs w:val="16"/>
          <w:i w:val="1"/>
          <w:iCs w:val="1"/>
          <w:color w:val="auto"/>
        </w:rPr>
        <w:t>Related Party Transactions</w:t>
      </w:r>
      <w:r>
        <w:rPr>
          <w:rFonts w:ascii="Times New Roman" w:cs="Times New Roman" w:eastAsia="Times New Roman" w:hAnsi="Times New Roman"/>
          <w:sz w:val="16"/>
          <w:szCs w:val="16"/>
          <w:color w:val="auto"/>
        </w:rPr>
        <w:t xml:space="preserve"> for additional information.</w:t>
      </w:r>
    </w:p>
    <w:p>
      <w:pPr>
        <w:spacing w:after="0" w:line="1" w:lineRule="exact"/>
        <w:rPr>
          <w:rFonts w:ascii="Times New Roman" w:cs="Times New Roman" w:eastAsia="Times New Roman" w:hAnsi="Times New Roman"/>
          <w:sz w:val="16"/>
          <w:szCs w:val="16"/>
          <w:color w:val="auto"/>
        </w:rPr>
      </w:pPr>
    </w:p>
    <w:p>
      <w:pPr>
        <w:ind w:left="380" w:hanging="330"/>
        <w:spacing w:after="0"/>
        <w:tabs>
          <w:tab w:leader="none" w:pos="3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Excluding depreciation, depletion and amortization, shown separately above.</w:t>
      </w:r>
    </w:p>
    <w:p>
      <w:pPr>
        <w:spacing w:after="0" w:line="18" w:lineRule="exact"/>
        <w:rPr>
          <w:rFonts w:ascii="Times New Roman" w:cs="Times New Roman" w:eastAsia="Times New Roman" w:hAnsi="Times New Roman"/>
          <w:sz w:val="16"/>
          <w:szCs w:val="16"/>
          <w:color w:val="auto"/>
        </w:rPr>
      </w:pPr>
    </w:p>
    <w:p>
      <w:pPr>
        <w:ind w:left="380" w:right="179" w:hanging="330"/>
        <w:spacing w:after="0" w:line="272" w:lineRule="auto"/>
        <w:tabs>
          <w:tab w:leader="none" w:pos="3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Includes intra-entity profit elimination, based on our ownership interest, of $10.9 million during each of the three and nine months ended September 30, 2026, related to an additional land sale to the Latitude Margaritaville Watersound JV, a pro-rata portion of which will be recognized as each home on the land is sold by the JV. See Note 4. </w:t>
      </w:r>
      <w:r>
        <w:rPr>
          <w:rFonts w:ascii="Times New Roman" w:cs="Times New Roman" w:eastAsia="Times New Roman" w:hAnsi="Times New Roman"/>
          <w:sz w:val="16"/>
          <w:szCs w:val="16"/>
          <w:i w:val="1"/>
          <w:iCs w:val="1"/>
          <w:color w:val="auto"/>
        </w:rPr>
        <w:t>Joint Ventures</w:t>
      </w:r>
      <w:r>
        <w:rPr>
          <w:rFonts w:ascii="Times New Roman" w:cs="Times New Roman" w:eastAsia="Times New Roman" w:hAnsi="Times New Roman"/>
          <w:sz w:val="16"/>
          <w:szCs w:val="16"/>
          <w:color w:val="auto"/>
        </w:rPr>
        <w:t xml:space="preserve">, Note 15. </w:t>
      </w:r>
      <w:r>
        <w:rPr>
          <w:rFonts w:ascii="Times New Roman" w:cs="Times New Roman" w:eastAsia="Times New Roman" w:hAnsi="Times New Roman"/>
          <w:sz w:val="16"/>
          <w:szCs w:val="16"/>
          <w:i w:val="1"/>
          <w:iCs w:val="1"/>
          <w:color w:val="auto"/>
        </w:rPr>
        <w:t>Other (Expense) Income</w:t>
      </w:r>
      <w:r>
        <w:rPr>
          <w:rFonts w:ascii="Times New Roman" w:cs="Times New Roman" w:eastAsia="Times New Roman" w:hAnsi="Times New Roman"/>
          <w:sz w:val="16"/>
          <w:szCs w:val="16"/>
          <w:color w:val="auto"/>
        </w:rPr>
        <w:t xml:space="preserve"> and Note 18. </w:t>
      </w:r>
      <w:r>
        <w:rPr>
          <w:rFonts w:ascii="Times New Roman" w:cs="Times New Roman" w:eastAsia="Times New Roman" w:hAnsi="Times New Roman"/>
          <w:sz w:val="16"/>
          <w:szCs w:val="16"/>
          <w:i w:val="1"/>
          <w:iCs w:val="1"/>
          <w:color w:val="auto"/>
        </w:rPr>
        <w:t>Related Party Transactions</w:t>
      </w:r>
      <w:r>
        <w:rPr>
          <w:rFonts w:ascii="Times New Roman" w:cs="Times New Roman" w:eastAsia="Times New Roman" w:hAnsi="Times New Roman"/>
          <w:sz w:val="16"/>
          <w:szCs w:val="16"/>
          <w:color w:val="auto"/>
        </w:rPr>
        <w:t xml:space="preserve"> for additional information.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Real Estate Revenue and Gross Profit</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a comparison of our total consolidated real estate revenue and gross profit:</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140" w:type="dxa"/>
            <w:vAlign w:val="bottom"/>
            <w:gridSpan w:val="12"/>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00" w:type="dxa"/>
            <w:vAlign w:val="bottom"/>
            <w:gridSpan w:val="10"/>
          </w:tcPr>
          <w:p>
            <w:pPr>
              <w:ind w:left="3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480" w:type="dxa"/>
            <w:vAlign w:val="bottom"/>
          </w:tcPr>
          <w:p>
            <w:pPr>
              <w:spacing w:after="0"/>
              <w:rPr>
                <w:sz w:val="15"/>
                <w:szCs w:val="15"/>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2"/>
                <w:szCs w:val="12"/>
                <w:color w:val="auto"/>
              </w:rPr>
            </w:pPr>
          </w:p>
        </w:tc>
        <w:tc>
          <w:tcPr>
            <w:tcW w:w="88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6"/>
                <w:szCs w:val="16"/>
                <w:b w:val="1"/>
                <w:bCs w:val="1"/>
                <w:color w:val="auto"/>
                <w:vertAlign w:val="superscript"/>
              </w:rPr>
              <w:t>(a)</w:t>
            </w:r>
            <w:r>
              <w:rPr>
                <w:rFonts w:ascii="Times New Roman" w:cs="Times New Roman" w:eastAsia="Times New Roman" w:hAnsi="Times New Roman"/>
                <w:sz w:val="11"/>
                <w:szCs w:val="11"/>
                <w:color w:val="auto"/>
              </w:rPr>
              <w:t xml:space="preserve">    ​​​</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ind w:right="55"/>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w:t>
            </w:r>
            <w:r>
              <w:rPr>
                <w:rFonts w:ascii="Times New Roman" w:cs="Times New Roman" w:eastAsia="Times New Roman" w:hAnsi="Times New Roman"/>
                <w:sz w:val="8"/>
                <w:szCs w:val="8"/>
                <w:b w:val="1"/>
                <w:bCs w:val="1"/>
                <w:color w:val="auto"/>
              </w:rPr>
              <w:t xml:space="preserve"> (a)</w:t>
            </w:r>
          </w:p>
        </w:tc>
        <w:tc>
          <w:tcPr>
            <w:tcW w:w="240" w:type="dxa"/>
            <w:vAlign w:val="bottom"/>
            <w:vMerge w:val="continue"/>
          </w:tcPr>
          <w:p>
            <w:pPr>
              <w:spacing w:after="0"/>
              <w:rPr>
                <w:sz w:val="12"/>
                <w:szCs w:val="12"/>
                <w:color w:val="auto"/>
              </w:rPr>
            </w:pPr>
          </w:p>
        </w:tc>
        <w:tc>
          <w:tcPr>
            <w:tcW w:w="30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Pr>
          <w:p>
            <w:pPr>
              <w:spacing w:after="0"/>
              <w:rPr>
                <w:sz w:val="12"/>
                <w:szCs w:val="12"/>
                <w:color w:val="auto"/>
              </w:rPr>
            </w:pPr>
          </w:p>
        </w:tc>
        <w:tc>
          <w:tcPr>
            <w:tcW w:w="9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6"/>
                <w:szCs w:val="16"/>
                <w:b w:val="1"/>
                <w:bCs w:val="1"/>
                <w:color w:val="auto"/>
                <w:vertAlign w:val="superscript"/>
              </w:rPr>
              <w:t>(a)</w:t>
            </w:r>
            <w:r>
              <w:rPr>
                <w:rFonts w:ascii="Times New Roman" w:cs="Times New Roman" w:eastAsia="Times New Roman" w:hAnsi="Times New Roman"/>
                <w:sz w:val="11"/>
                <w:szCs w:val="11"/>
                <w:color w:val="auto"/>
              </w:rPr>
              <w:t xml:space="preserve">    ​​​</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2025    </w:t>
            </w:r>
            <w:r>
              <w:rPr>
                <w:rFonts w:ascii="Times New Roman" w:cs="Times New Roman" w:eastAsia="Times New Roman" w:hAnsi="Times New Roman"/>
                <w:sz w:val="14"/>
                <w:szCs w:val="14"/>
                <w:color w:val="auto"/>
              </w:rPr>
              <w:t>​​​</w:t>
            </w:r>
          </w:p>
        </w:tc>
        <w:tc>
          <w:tcPr>
            <w:tcW w:w="48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w:t>
            </w:r>
            <w:r>
              <w:rPr>
                <w:rFonts w:ascii="Times New Roman" w:cs="Times New Roman" w:eastAsia="Times New Roman" w:hAnsi="Times New Roman"/>
                <w:sz w:val="8"/>
                <w:szCs w:val="8"/>
                <w:b w:val="1"/>
                <w:bCs w:val="1"/>
                <w:color w:val="auto"/>
              </w:rPr>
              <w:t xml:space="preserve"> (a)</w:t>
            </w:r>
          </w:p>
        </w:tc>
        <w:tc>
          <w:tcPr>
            <w:tcW w:w="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3"/>
          </w:tcPr>
          <w:p>
            <w:pPr>
              <w:ind w:left="200"/>
              <w:spacing w:after="0" w:line="129" w:lineRule="exact"/>
              <w:rPr>
                <w:sz w:val="20"/>
                <w:szCs w:val="20"/>
                <w:color w:val="auto"/>
              </w:rPr>
            </w:pPr>
            <w:r>
              <w:rPr>
                <w:rFonts w:ascii="Times New Roman" w:cs="Times New Roman" w:eastAsia="Times New Roman" w:hAnsi="Times New Roman"/>
                <w:sz w:val="14"/>
                <w:szCs w:val="14"/>
                <w:i w:val="1"/>
                <w:iCs w:val="1"/>
                <w:color w:val="auto"/>
              </w:rPr>
              <w:t>Dollars in</w:t>
            </w:r>
          </w:p>
        </w:tc>
        <w:tc>
          <w:tcPr>
            <w:tcW w:w="660" w:type="dxa"/>
            <w:vAlign w:val="bottom"/>
            <w:gridSpan w:val="2"/>
          </w:tcPr>
          <w:p>
            <w:pPr>
              <w:jc w:val="right"/>
              <w:ind w:right="213"/>
              <w:spacing w:after="0" w:line="129" w:lineRule="exact"/>
              <w:rPr>
                <w:sz w:val="20"/>
                <w:szCs w:val="20"/>
                <w:color w:val="auto"/>
              </w:rPr>
            </w:pPr>
            <w:r>
              <w:rPr>
                <w:rFonts w:ascii="Times New Roman" w:cs="Times New Roman" w:eastAsia="Times New Roman" w:hAnsi="Times New Roman"/>
                <w:sz w:val="14"/>
                <w:szCs w:val="14"/>
                <w:i w:val="1"/>
                <w:iCs w:val="1"/>
                <w:color w:val="auto"/>
                <w:w w:val="75"/>
              </w:rPr>
              <w:t>millions</w:t>
            </w:r>
          </w:p>
        </w:tc>
        <w:tc>
          <w:tcPr>
            <w:tcW w:w="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00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Residential real estate</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4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60.7 %</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43.9 %</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60" w:type="dxa"/>
            <w:vAlign w:val="bottom"/>
          </w:tcPr>
          <w:p>
            <w:pPr>
              <w:spacing w:after="0"/>
              <w:rPr>
                <w:sz w:val="20"/>
                <w:szCs w:val="20"/>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68.7 %</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64.9 %</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00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Commercial, forestry and</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hospitality real estate</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4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29.6 %</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52.6 %</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6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21.1 %</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Timber revenue</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4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1.1 %</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6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revenue</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2.4 %</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Real estate revenue</w:t>
            </w:r>
          </w:p>
        </w:tc>
        <w:tc>
          <w:tcPr>
            <w:tcW w:w="1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76.1</w:t>
            </w:r>
          </w:p>
        </w:tc>
        <w:tc>
          <w:tcPr>
            <w:tcW w:w="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w:t>
            </w:r>
            <w:r>
              <w:rPr>
                <w:rFonts w:ascii="Times New Roman" w:cs="Times New Roman" w:eastAsia="Times New Roman" w:hAnsi="Times New Roman"/>
                <w:sz w:val="18"/>
                <w:szCs w:val="18"/>
                <w:b w:val="1"/>
                <w:bCs w:val="1"/>
                <w:u w:val="single" w:color="auto"/>
                <w:color w:val="auto"/>
              </w:rPr>
              <w:t>8</w:t>
            </w:r>
          </w:p>
        </w:tc>
        <w:tc>
          <w:tcPr>
            <w:tcW w:w="140" w:type="dxa"/>
            <w:vAlign w:val="bottom"/>
            <w:tcBorders>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77"/>
              </w:rPr>
              <w:t>%</w:t>
            </w:r>
          </w:p>
        </w:tc>
        <w:tc>
          <w:tcPr>
            <w:tcW w:w="1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185.4</w:t>
            </w: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166.0</w:t>
            </w:r>
          </w:p>
        </w:tc>
        <w:tc>
          <w:tcPr>
            <w:tcW w:w="1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100.0</w:t>
            </w:r>
          </w:p>
        </w:tc>
        <w:tc>
          <w:tcPr>
            <w:tcW w:w="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Residential real estate</w:t>
            </w:r>
          </w:p>
        </w:tc>
        <w:tc>
          <w:tcPr>
            <w:tcW w:w="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63.2 %</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51.1 %</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52.7 %</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47.1 %</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00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Commercial, forestry and</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hospitality real estate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4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78.2 %</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49.0 %</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60" w:type="dxa"/>
            <w:vAlign w:val="bottom"/>
          </w:tcPr>
          <w:p>
            <w:pPr>
              <w:spacing w:after="0"/>
              <w:rPr>
                <w:sz w:val="20"/>
                <w:szCs w:val="20"/>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74.0 %</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Timber</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77.8 %</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77.8 %</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79.3 %</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4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10.0 %</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23.3 %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48.3</w:t>
            </w:r>
          </w:p>
        </w:tc>
        <w:tc>
          <w:tcPr>
            <w:tcW w:w="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4"/>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63.5 %</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r>
              <w:rPr>
                <w:rFonts w:ascii="Times New Roman" w:cs="Times New Roman" w:eastAsia="Times New Roman" w:hAnsi="Times New Roman"/>
                <w:sz w:val="18"/>
                <w:szCs w:val="18"/>
                <w:b w:val="1"/>
                <w:bCs w:val="1"/>
                <w:u w:val="single" w:color="auto"/>
                <w:color w:val="auto"/>
              </w:rPr>
              <w:t>3</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49.3 %</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100.4</w:t>
            </w:r>
          </w:p>
        </w:tc>
        <w:tc>
          <w:tcPr>
            <w:tcW w:w="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4"/>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54.2 %</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r>
              <w:rPr>
                <w:rFonts w:ascii="Times New Roman" w:cs="Times New Roman" w:eastAsia="Times New Roman" w:hAnsi="Times New Roman"/>
                <w:sz w:val="18"/>
                <w:szCs w:val="18"/>
                <w:b w:val="1"/>
                <w:bCs w:val="1"/>
                <w:u w:val="single" w:color="auto"/>
                <w:color w:val="auto"/>
              </w:rPr>
              <w:t>8</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48.7 %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Borders>
              <w:bottom w:val="single" w:sz="8" w:color="auto"/>
            </w:tcBorders>
          </w:tcPr>
          <w:p>
            <w:pPr>
              <w:spacing w:after="0"/>
              <w:rPr>
                <w:sz w:val="7"/>
                <w:szCs w:val="7"/>
                <w:color w:val="auto"/>
              </w:rPr>
            </w:pPr>
          </w:p>
        </w:tc>
        <w:tc>
          <w:tcPr>
            <w:tcW w:w="20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(a)  Calculated percentage of total real estate revenue and the respective gross margin percentage.</w:t>
      </w:r>
    </w:p>
    <w:p>
      <w:pPr>
        <w:spacing w:after="0" w:line="2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Residential Real Estate Revenue and Gross Profit</w:t>
      </w:r>
      <w:r>
        <w:rPr>
          <w:rFonts w:ascii="Times New Roman" w:cs="Times New Roman" w:eastAsia="Times New Roman" w:hAnsi="Times New Roman"/>
          <w:sz w:val="18"/>
          <w:szCs w:val="18"/>
          <w:color w:val="auto"/>
        </w:rPr>
        <w:t>. During the three months ended September 30, 2026, residential real</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estate revenue increased $9.4 million, or 25.5%, to $46.2 million, as compared to $36.8 million during the same period in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2025. During the three months ended September 30, 2026, residential real estate gross profit increased $10.4 million to</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$29.2 million (or gross margin of 63.2%), as compared to $18.8 million (or gross margin of 51.1%) during the same period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 2025. During the three months ended September 30, 2026, we sold 80 homesites, 5 homes and had unimproved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residential land sales of $32.2 million, compared to 189 homesites, 8 homes and no unimproved residential land sales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during the same period in 2025. During the three months ended September 30, 2026 and 2025, the average base revenue,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excluding homesite residuals, per homesite sold was approximately $84,000 and $150,000, respectively, due to the mix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sales from different communities. Unimproved residential land sales during the three months ended September 30, 2026,</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include additional land sold to the Latitude Margaritaville Watersound JV with a contractual value of $50.4 million.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initial net present value of the additional land sale was $31.4 million, with $9.6 million cost of revenue, resulting in a gross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margin of 69.4%. See Note 4. </w:t>
      </w:r>
      <w:r>
        <w:rPr>
          <w:rFonts w:ascii="Times New Roman" w:cs="Times New Roman" w:eastAsia="Times New Roman" w:hAnsi="Times New Roman"/>
          <w:sz w:val="18"/>
          <w:szCs w:val="18"/>
          <w:i w:val="1"/>
          <w:iCs w:val="1"/>
          <w:color w:val="auto"/>
        </w:rPr>
        <w:t>Joint Ventures</w:t>
      </w:r>
      <w:r>
        <w:rPr>
          <w:rFonts w:ascii="Times New Roman" w:cs="Times New Roman" w:eastAsia="Times New Roman" w:hAnsi="Times New Roman"/>
          <w:sz w:val="18"/>
          <w:szCs w:val="18"/>
          <w:color w:val="auto"/>
        </w:rPr>
        <w:t xml:space="preserve"> and Note 18.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xml:space="preserve"> for additional information.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revenue, gross profit and margin for each period was also impacted by the difference in pricing among the communities,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difference in the cost of the development and the volume of sales within each of the communities. The number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homesites sold varied each period due to the timing of homebuilder contractual closing obligations in our residential</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communities.</w:t>
      </w:r>
    </w:p>
    <w:p>
      <w:pPr>
        <w:spacing w:after="0" w:line="207"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During the nine months ended September 30, 2026, residential real estate revenue increased $19.7 million, or 18.3%, to $127.4 million, as compared to $107.7 million during the same period in 2025. During the nine months ended September 30, 2026, residential real estate gross profit increased $16.4 million to $67.1 million (or gross margin of 52.7%), as compared to $50.7 million (or gross margin of 47.1%) during the same period in 2025. During the nine months ended September 30, 2026, we sold 472 homesites, 26 homes and had unimproved residential land sales of $34.6 million, compared to 663 homesites, 18 homes and no unimproved residential land sales during the same period in 2025. During the nine months ended September 30, 2026 and 2025, the average base revenue, excluding homesite residuals, per homesite sold was approximately $115,000 and $127,000, respectively, due to the mix of sales from different communities. Unimproved residential land sales during the nine months ended September 30, 2026, include additional land sold to the Latitude Margaritaville Watersound JV, with a contractual value of $50.4 million. The initial net present value of the additional land sale was $31.4 million, with $9.6 million cost of revenue, resulting in a gross margin of</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0" w:right="59"/>
        <w:spacing w:after="0" w:line="257" w:lineRule="auto"/>
        <w:rPr>
          <w:sz w:val="20"/>
          <w:szCs w:val="20"/>
          <w:color w:val="auto"/>
        </w:rPr>
      </w:pPr>
      <w:r>
        <w:rPr>
          <w:rFonts w:ascii="Times New Roman" w:cs="Times New Roman" w:eastAsia="Times New Roman" w:hAnsi="Times New Roman"/>
          <w:sz w:val="18"/>
          <w:szCs w:val="18"/>
          <w:color w:val="auto"/>
        </w:rPr>
        <w:t xml:space="preserve">69.4%. See Note 4. </w:t>
      </w:r>
      <w:r>
        <w:rPr>
          <w:rFonts w:ascii="Times New Roman" w:cs="Times New Roman" w:eastAsia="Times New Roman" w:hAnsi="Times New Roman"/>
          <w:sz w:val="18"/>
          <w:szCs w:val="18"/>
          <w:i w:val="1"/>
          <w:iCs w:val="1"/>
          <w:color w:val="auto"/>
        </w:rPr>
        <w:t>Joint Ventures</w:t>
      </w:r>
      <w:r>
        <w:rPr>
          <w:rFonts w:ascii="Times New Roman" w:cs="Times New Roman" w:eastAsia="Times New Roman" w:hAnsi="Times New Roman"/>
          <w:sz w:val="18"/>
          <w:szCs w:val="18"/>
          <w:color w:val="auto"/>
        </w:rPr>
        <w:t xml:space="preserve"> and Note 18.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xml:space="preserve"> for additional information. Unimproved residential land sales during the nine months ended September 30, 2026 also include a sale within our SummerCamp Beach community of $2.5 million. The revenue, gross profit and margin for each period was also impacted by the difference in pricing among the communities, the difference in the cost of the development and the volume of sales within each of the communities. The number of homesites sold varied each period due to the timing of homebuilder contractual closing obligations in our residential communities.</w:t>
      </w:r>
    </w:p>
    <w:p>
      <w:pPr>
        <w:spacing w:after="0" w:line="182"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Commercial, Forestry and Hospitality Real Estate Revenue and Gross Profit</w:t>
      </w:r>
      <w:r>
        <w:rPr>
          <w:rFonts w:ascii="Times New Roman" w:cs="Times New Roman" w:eastAsia="Times New Roman" w:hAnsi="Times New Roman"/>
          <w:sz w:val="18"/>
          <w:szCs w:val="18"/>
          <w:color w:val="auto"/>
        </w:rPr>
        <w:t>. During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September 30, 2026, we had three commercial, forestry and hospitality real estate sales totaling approximately 15 acres for $22.5 million, resulting in a gross profit of $17.6 million (or gross margin of 78.2%). The commercial, forestry and hospitality real estate sales during the three months ended September 30, 2026, include the sale of the WindMark Beach Town Center for $10.3 million, resulting in a gross margin of approximately 62.5%. During the three months ended September 30, 2025, we had four commercial, forestry and hospitality real estate sales totaling approximately 12 acres for $44.1 million, resulting in a gross profit of $21.6 million (or gross margin of 49.0%). The commercial, forestry and hospitality real estate sales during the three months ended September 30, 2025, included the sale of the Watercrest JV’s senior living community property for $41.0 million, resulting in a gross margin of approximately 47.2%. See Note 4. </w:t>
      </w:r>
      <w:r>
        <w:rPr>
          <w:rFonts w:ascii="Times New Roman" w:cs="Times New Roman" w:eastAsia="Times New Roman" w:hAnsi="Times New Roman"/>
          <w:sz w:val="18"/>
          <w:szCs w:val="18"/>
          <w:i w:val="1"/>
          <w:iCs w:val="1"/>
          <w:color w:val="auto"/>
        </w:rPr>
        <w:t>Joint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Ventures </w:t>
      </w:r>
      <w:r>
        <w:rPr>
          <w:rFonts w:ascii="Times New Roman" w:cs="Times New Roman" w:eastAsia="Times New Roman" w:hAnsi="Times New Roman"/>
          <w:sz w:val="18"/>
          <w:szCs w:val="18"/>
          <w:color w:val="auto"/>
        </w:rPr>
        <w:t>for additional information.</w:t>
      </w:r>
    </w:p>
    <w:p>
      <w:pPr>
        <w:spacing w:after="0" w:line="187" w:lineRule="exact"/>
        <w:rPr>
          <w:sz w:val="20"/>
          <w:szCs w:val="20"/>
          <w:color w:val="auto"/>
        </w:rPr>
      </w:pPr>
    </w:p>
    <w:p>
      <w:pPr>
        <w:ind w:left="60" w:right="359" w:firstLine="324"/>
        <w:spacing w:after="0" w:line="270" w:lineRule="auto"/>
        <w:rPr>
          <w:sz w:val="20"/>
          <w:szCs w:val="20"/>
          <w:color w:val="auto"/>
        </w:rPr>
      </w:pPr>
      <w:r>
        <w:rPr>
          <w:rFonts w:ascii="Times New Roman" w:cs="Times New Roman" w:eastAsia="Times New Roman" w:hAnsi="Times New Roman"/>
          <w:sz w:val="17"/>
          <w:szCs w:val="17"/>
          <w:color w:val="auto"/>
        </w:rPr>
        <w:t>During the nine months ended September 30, 2026, we had thirteen commercial, forestry and hospitality real estate sales totaling approximately 154 acres for $39.2 million, resulting in a gross profit of $29.0 million (or gross margin of 74.0%). The commercial, forestry and hospitality real estate sales during the nine months ended September 30, 2026, include the sale of the WindMark Beach Town Center for $10.3 million, resulting in a gross margin of approximately</w:t>
      </w:r>
    </w:p>
    <w:p>
      <w:pPr>
        <w:spacing w:after="0" w:line="3"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 xml:space="preserve">62.5%, and the sale of two vacation rental properties used in hospitality operations for $7.1 million, resulting in a gross margin of approximately 63.4%. During the nine months ended September 30, 2025, we had eleven commercial, forestry and hospitality real estate sales totaling approximately 155 acres for $50.6 million, resulting in a gross profit of $26.3 million (or gross margin of 52.0%). The commercial, forestry and hospitality real estate sales during the nine months ended September 30, 2025, included the sale of the Watercrest JV’s senior living community property for $41.0 million, resulting in a gross margin of approximately 47.2% and a property used in hospitality operations for $1.4 million. See Note 4. </w:t>
      </w:r>
      <w:r>
        <w:rPr>
          <w:rFonts w:ascii="Times New Roman" w:cs="Times New Roman" w:eastAsia="Times New Roman" w:hAnsi="Times New Roman"/>
          <w:sz w:val="18"/>
          <w:szCs w:val="18"/>
          <w:i w:val="1"/>
          <w:iCs w:val="1"/>
          <w:color w:val="auto"/>
        </w:rPr>
        <w:t>Joint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Ventures </w:t>
      </w:r>
      <w:r>
        <w:rPr>
          <w:rFonts w:ascii="Times New Roman" w:cs="Times New Roman" w:eastAsia="Times New Roman" w:hAnsi="Times New Roman"/>
          <w:sz w:val="18"/>
          <w:szCs w:val="18"/>
          <w:color w:val="auto"/>
        </w:rPr>
        <w:t>for additional information.</w:t>
      </w:r>
    </w:p>
    <w:p>
      <w:pPr>
        <w:spacing w:after="0" w:line="188" w:lineRule="exact"/>
        <w:rPr>
          <w:sz w:val="20"/>
          <w:szCs w:val="20"/>
          <w:color w:val="auto"/>
        </w:rPr>
      </w:pPr>
    </w:p>
    <w:p>
      <w:pPr>
        <w:ind w:left="60" w:right="199" w:firstLine="324"/>
        <w:spacing w:after="0" w:line="256" w:lineRule="auto"/>
        <w:rPr>
          <w:sz w:val="20"/>
          <w:szCs w:val="20"/>
          <w:color w:val="auto"/>
        </w:rPr>
      </w:pPr>
      <w:r>
        <w:rPr>
          <w:rFonts w:ascii="Times New Roman" w:cs="Times New Roman" w:eastAsia="Times New Roman" w:hAnsi="Times New Roman"/>
          <w:sz w:val="18"/>
          <w:szCs w:val="18"/>
          <w:color w:val="auto"/>
        </w:rPr>
        <w:t>Revenue from real estate can vary significantly from period-to-period depending on the proximity to developed areas and mix of real estate sold in each period, with varying compositions of retail, office, industrial, timber and other commercial uses. Our gross margin can vary significantly from period-to-period depending on the characteristics of property sold. Sales of forestry land typically have a lower cost basis than residential, commercial and hospitality real estate sales. In addition, our cost basis in real estate can vary depending on the amount of development, construction or other costs incurred on the property.</w:t>
      </w:r>
    </w:p>
    <w:p>
      <w:pPr>
        <w:spacing w:after="0" w:line="185"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Timber Revenue and Gross Profit. </w:t>
      </w:r>
      <w:r>
        <w:rPr>
          <w:rFonts w:ascii="Times New Roman" w:cs="Times New Roman" w:eastAsia="Times New Roman" w:hAnsi="Times New Roman"/>
          <w:sz w:val="18"/>
          <w:szCs w:val="18"/>
          <w:color w:val="auto"/>
        </w:rPr>
        <w:t>Timber revenue and gross margin during the three months ended September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2026 and 2025, were comparable. There were 61,000 tons of wood products sold at an average price per ton of $13.81 during the three months ended September 30, 2026, as compared to 56,000 tons of wood products sold at an average price per ton of $15.35, during the same period in 2025.</w:t>
      </w:r>
    </w:p>
    <w:p>
      <w:pPr>
        <w:spacing w:after="0" w:line="182"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Timber revenue decreased $0.5 million, or 14.7%, to $2.9 million during the nine months ended September 30, 2026, as compared to $3.4 million in the same period in 2025. There were 183,000 tons of wood products sold at an average price per ton of $14.99 during the nine months ended September 30, 2026, as compared to 191,000 tons of wood products sold at an average price per ton of $16.45, during the same period in 2025. Timber gross margin was 79.3% during the nine months ended September 30, 2026, as compared to 82.4% during the same period in 2025. The decrease in revenue and gross margin was primarily due to lower sales prices, product mix and a decrease in tons of wood products sold in the current period.</w:t>
      </w:r>
    </w:p>
    <w:p>
      <w:pPr>
        <w:spacing w:after="0" w:line="187"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Other Revenue</w:t>
      </w:r>
      <w:r>
        <w:rPr>
          <w:rFonts w:ascii="Times New Roman" w:cs="Times New Roman" w:eastAsia="Times New Roman" w:hAnsi="Times New Roman"/>
          <w:sz w:val="18"/>
          <w:szCs w:val="18"/>
          <w:color w:val="auto"/>
        </w:rPr>
        <w:t>. Other revenue primarily consists of our Business Services revenue and mitigation bank credit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revenue increased $4.5 million during the three months ended September 30, 2026, compared to the same period in 2025. Other gross margin was 12.3% during the three months ended September 30, 2026, as compared to 10.0% during the same period in 2025. The change in other revenue and gross margin was primarily due to our real estate brokerage business, which began operations in the second quarter of 2025.</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239" w:firstLine="324"/>
        <w:spacing w:after="0" w:line="261" w:lineRule="auto"/>
        <w:rPr>
          <w:sz w:val="20"/>
          <w:szCs w:val="20"/>
          <w:color w:val="auto"/>
        </w:rPr>
      </w:pPr>
      <w:r>
        <w:rPr>
          <w:rFonts w:ascii="Times New Roman" w:cs="Times New Roman" w:eastAsia="Times New Roman" w:hAnsi="Times New Roman"/>
          <w:sz w:val="18"/>
          <w:szCs w:val="18"/>
          <w:color w:val="auto"/>
        </w:rPr>
        <w:t>Other revenue increased $11.6 million during the nine months ended September 30, 2026, compared to the same period in 2025. Other gross margin was 12.6% during the nine months ended September 30, 2026, as compared to 23.3% during the same period in 2025. The change in other revenue and gross margin was primarily due to our real estate brokerage business, which began operations in the second quarter of 2025.</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Hospitality Revenue and Gross Profit</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700" w:type="dxa"/>
            <w:vAlign w:val="bottom"/>
          </w:tcPr>
          <w:p>
            <w:pPr>
              <w:spacing w:after="0"/>
              <w:rPr>
                <w:sz w:val="15"/>
                <w:szCs w:val="15"/>
                <w:color w:val="auto"/>
              </w:rPr>
            </w:pPr>
          </w:p>
        </w:tc>
        <w:tc>
          <w:tcPr>
            <w:tcW w:w="3780" w:type="dxa"/>
            <w:vAlign w:val="bottom"/>
            <w:gridSpan w:val="6"/>
          </w:tcPr>
          <w:p>
            <w:pPr>
              <w:jc w:val="right"/>
              <w:ind w:right="37"/>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Three Months Ended September 30,</w:t>
            </w:r>
          </w:p>
        </w:tc>
        <w:tc>
          <w:tcPr>
            <w:tcW w:w="2420" w:type="dxa"/>
            <w:vAlign w:val="bottom"/>
            <w:gridSpan w:val="6"/>
          </w:tcPr>
          <w:p>
            <w:pPr>
              <w:ind w:left="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Nine Months Ended September 30,</w:t>
            </w:r>
          </w:p>
        </w:tc>
      </w:tr>
      <w:tr>
        <w:trPr>
          <w:trHeight w:val="20"/>
        </w:trPr>
        <w:tc>
          <w:tcPr>
            <w:tcW w:w="2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r>
      <w:tr>
        <w:trPr>
          <w:trHeight w:val="142"/>
        </w:trPr>
        <w:tc>
          <w:tcPr>
            <w:tcW w:w="27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33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0"/>
        </w:trPr>
        <w:tc>
          <w:tcPr>
            <w:tcW w:w="2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r>
      <w:tr>
        <w:trPr>
          <w:trHeight w:val="128"/>
        </w:trPr>
        <w:tc>
          <w:tcPr>
            <w:tcW w:w="27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gridSpan w:val="3"/>
          </w:tcPr>
          <w:p>
            <w:pPr>
              <w:ind w:left="260"/>
              <w:spacing w:after="0" w:line="129" w:lineRule="exact"/>
              <w:rPr>
                <w:sz w:val="20"/>
                <w:szCs w:val="20"/>
                <w:color w:val="auto"/>
              </w:rPr>
            </w:pPr>
            <w:r>
              <w:rPr>
                <w:rFonts w:ascii="Times New Roman" w:cs="Times New Roman" w:eastAsia="Times New Roman" w:hAnsi="Times New Roman"/>
                <w:sz w:val="14"/>
                <w:szCs w:val="14"/>
                <w:i w:val="1"/>
                <w:iCs w:val="1"/>
                <w:color w:val="auto"/>
              </w:rPr>
              <w:t>Dollars in millions</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Hospitality revenue</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66.0</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60.6</w:t>
            </w:r>
          </w:p>
        </w:tc>
        <w:tc>
          <w:tcPr>
            <w:tcW w:w="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184.9</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169.0</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24.2</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20.9</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65.5</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54.7</w:t>
            </w: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36.7 %</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34.5 %</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35.4 %</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32.4 %</w:t>
            </w:r>
          </w:p>
        </w:tc>
      </w:tr>
    </w:tbl>
    <w:p>
      <w:pPr>
        <w:spacing w:after="0" w:line="198" w:lineRule="exact"/>
        <w:rPr>
          <w:sz w:val="20"/>
          <w:szCs w:val="20"/>
          <w:color w:val="auto"/>
        </w:rPr>
      </w:pPr>
    </w:p>
    <w:p>
      <w:pPr>
        <w:ind w:left="60" w:right="419" w:firstLine="324"/>
        <w:spacing w:after="0" w:line="255" w:lineRule="auto"/>
        <w:rPr>
          <w:sz w:val="20"/>
          <w:szCs w:val="20"/>
          <w:color w:val="auto"/>
        </w:rPr>
      </w:pPr>
      <w:r>
        <w:rPr>
          <w:rFonts w:ascii="Times New Roman" w:cs="Times New Roman" w:eastAsia="Times New Roman" w:hAnsi="Times New Roman"/>
          <w:sz w:val="18"/>
          <w:szCs w:val="18"/>
          <w:color w:val="auto"/>
        </w:rPr>
        <w:t>Hospitality revenue increased $5.4 million, or 8.9%, to $66.0 million during the three months ended September 30, 2026, as compared to $60.6 million in the same period in 2025. The increase in hospitality revenue was primarily related to membership and ancillary spend increases. The increase in revenue was also related to an increase in hotel operations in average daily rate (“ADR”), occupancy and guest incidental spend. Hospitality gross margin increased to 36.7% during the three months ended September 30, 2026, compared to 34.5% during the same period in 2025. The increase in gross margin was primarily due to the continued stabilization of the properties and improvements in management of operating expenses.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Hospitality revenue increased $15.9 million, or 9.4%, to $184.9 million during the nine months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30, 2026, as compared to $169.0 million in the same period in 2025. The increase in hospitality revenue was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primarily related to membership and ancillary spend increases. The increase in revenue was also related to an increase in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hotel operations in ADR, occupancy and guest incidental spend. As of September 30, 2026, Watersound Club had 3,831</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members, compared with 3,578 members as of September 30, 2025, a net increase of 253 members. As of both September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30, 2026 and 2025, we had 1,053 operational hotel rooms (excluding 245 hotel rooms related to unconsolidated JVs).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Hospitality gross margin increased to 35.4% during the nine months ended September 30, 2026, compared to 32.4% during</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the same period in 2025. The increase in gross margin was primarily due to the continued stabilization of the properties and</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improvements in management of operating expenses.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Leasing Revenue and Gross Profit</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540" w:type="dxa"/>
            <w:vAlign w:val="bottom"/>
          </w:tcPr>
          <w:p>
            <w:pPr>
              <w:spacing w:after="0"/>
              <w:rPr>
                <w:sz w:val="15"/>
                <w:szCs w:val="15"/>
                <w:color w:val="auto"/>
              </w:rPr>
            </w:pPr>
          </w:p>
        </w:tc>
        <w:tc>
          <w:tcPr>
            <w:tcW w:w="3840" w:type="dxa"/>
            <w:vAlign w:val="bottom"/>
            <w:gridSpan w:val="6"/>
          </w:tcPr>
          <w:p>
            <w:pPr>
              <w:jc w:val="right"/>
              <w:ind w:right="37"/>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Three Months Ended September 30,</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2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25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1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128"/>
        </w:trPr>
        <w:tc>
          <w:tcPr>
            <w:tcW w:w="25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120" w:type="dxa"/>
            <w:vAlign w:val="bottom"/>
            <w:gridSpan w:val="4"/>
          </w:tcPr>
          <w:p>
            <w:pPr>
              <w:jc w:val="right"/>
              <w:ind w:right="677"/>
              <w:spacing w:after="0" w:line="129" w:lineRule="exact"/>
              <w:rPr>
                <w:sz w:val="20"/>
                <w:szCs w:val="20"/>
                <w:color w:val="auto"/>
              </w:rPr>
            </w:pPr>
            <w:r>
              <w:rPr>
                <w:rFonts w:ascii="Times New Roman" w:cs="Times New Roman" w:eastAsia="Times New Roman" w:hAnsi="Times New Roman"/>
                <w:sz w:val="14"/>
                <w:szCs w:val="14"/>
                <w:i w:val="1"/>
                <w:iCs w:val="1"/>
                <w:color w:val="auto"/>
              </w:rPr>
              <w:t>Dollars in millions</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216"/>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Leasing revenue</w:t>
            </w: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14.1</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8"/>
                <w:szCs w:val="18"/>
                <w:color w:val="auto"/>
              </w:rPr>
              <w:t>16.7</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43.8</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49.4</w:t>
            </w:r>
          </w:p>
        </w:tc>
      </w:tr>
      <w:tr>
        <w:trPr>
          <w:trHeight w:val="21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8.1</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217"/>
              <w:spacing w:after="0"/>
              <w:rPr>
                <w:sz w:val="20"/>
                <w:szCs w:val="20"/>
                <w:color w:val="auto"/>
              </w:rPr>
            </w:pPr>
            <w:r>
              <w:rPr>
                <w:rFonts w:ascii="Times New Roman" w:cs="Times New Roman" w:eastAsia="Times New Roman" w:hAnsi="Times New Roman"/>
                <w:sz w:val="18"/>
                <w:szCs w:val="18"/>
                <w:color w:val="auto"/>
              </w:rPr>
              <w:t>9.3</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26.1</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27.0</w:t>
            </w:r>
          </w:p>
        </w:tc>
      </w:tr>
      <w:tr>
        <w:trPr>
          <w:trHeight w:val="216"/>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57.4 %</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55.7 %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59.6 %</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54.7 %</w:t>
            </w: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Leasing revenue decreased $2.6 million, or 15.6%, to $14.1 million during the three months ended</w:t>
      </w:r>
    </w:p>
    <w:p>
      <w:pPr>
        <w:spacing w:after="0" w:line="27"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September 30, 2026, as compared to $16.7 million in the same period in 2025. The decrease was primarily due to the sale of Watercrest JV’s senior living community property in September 2025, which ceased operating activities, the sale of townhomes in the Watersound Villas on the Fairway community since the end of the prior period and the sale of other operating properties in the current period. The decrease was partially offset by additional commercial property leases. Leasing gross margin increased to 57.4% during the three months ended September 30, 2026, as compared to 55.7% during the same period in 2025. The increase in leasing gross margin was primarily due to additional leases in the current period and the sale of the Watercrest JV’s senior living community property, which operated with lower margins.</w:t>
      </w:r>
    </w:p>
    <w:p>
      <w:pPr>
        <w:spacing w:after="0" w:line="188"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Leasing revenue decreased $5.6 million, or 11.3%, to $43.8 million during the nine months ended September 30, 2026, as compared to $49.4 million in the same period in 2025. The decrease was primarily due to the sale of Watercrest JV’s senior living community property in September 2025, which ceased operating activities, the sale of townhomes in the Watersound Villas on the Fairway community since the end of the prior period and the sale of other operating properties in the current period. The decrease was partially offset by additional commercial property leases.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Leasing gross margin increased to 59.6% during the nine months ended September 30, 2026, as compared to 54.7% during the same period in 2025. The increase in leasing gross margin was primarily due to additional leases in the current period and the sale of the Watercrest JV’s senior living community property, which operated with lower margins.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 Operating Expenses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520" w:type="dxa"/>
            <w:vAlign w:val="bottom"/>
            <w:gridSpan w:val="6"/>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5"/>
                <w:szCs w:val="15"/>
                <w:color w:val="auto"/>
              </w:rPr>
            </w:pPr>
          </w:p>
        </w:tc>
        <w:tc>
          <w:tcPr>
            <w:tcW w:w="226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60" w:type="dxa"/>
            <w:vAlign w:val="bottom"/>
            <w:vMerge w:val="continue"/>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tcPr>
          <w:p>
            <w:pPr>
              <w:spacing w:after="0"/>
              <w:rPr>
                <w:sz w:val="12"/>
                <w:szCs w:val="12"/>
                <w:color w:val="auto"/>
              </w:rPr>
            </w:pPr>
          </w:p>
        </w:tc>
        <w:tc>
          <w:tcPr>
            <w:tcW w:w="24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0" w:type="dxa"/>
            <w:vAlign w:val="bottom"/>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gridSpan w:val="2"/>
          </w:tcPr>
          <w:p>
            <w:pPr>
              <w:jc w:val="right"/>
              <w:ind w:right="162"/>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gridSpan w:val="2"/>
          </w:tcPr>
          <w:p>
            <w:pPr>
              <w:jc w:val="right"/>
              <w:ind w:right="156"/>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costs</w:t>
            </w:r>
          </w:p>
        </w:tc>
        <w:tc>
          <w:tcPr>
            <w:tcW w:w="940" w:type="dxa"/>
            <w:vAlign w:val="bottom"/>
            <w:gridSpan w:val="2"/>
            <w:shd w:val="clear" w:color="auto" w:fill="CCEEFF"/>
          </w:tcPr>
          <w:p>
            <w:pPr>
              <w:jc w:val="right"/>
              <w:ind w:right="52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4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42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46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taxes and insurance</w:t>
            </w: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Marketing and owner association costs</w:t>
            </w: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Occupancy, repairs and maintenance</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miscellaneous</w:t>
            </w:r>
          </w:p>
        </w:tc>
        <w:tc>
          <w:tcPr>
            <w:tcW w:w="2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tcBorders>
              <w:bottom w:val="single" w:sz="8" w:color="CCEEFF"/>
            </w:tcBorders>
            <w:gridSpan w:val="2"/>
            <w:shd w:val="clear" w:color="auto" w:fill="CCEEFF"/>
          </w:tcPr>
          <w:p>
            <w:pPr>
              <w:ind w:left="100"/>
              <w:spacing w:after="0" w:line="210" w:lineRule="exact"/>
              <w:rPr>
                <w:sz w:val="20"/>
                <w:szCs w:val="20"/>
                <w:color w:val="auto"/>
              </w:rPr>
            </w:pPr>
            <w:r>
              <w:rPr>
                <w:rFonts w:ascii="Times New Roman" w:cs="Times New Roman" w:eastAsia="Times New Roman" w:hAnsi="Times New Roman"/>
                <w:sz w:val="17"/>
                <w:szCs w:val="17"/>
                <w:b w:val="1"/>
                <w:bCs w:val="1"/>
                <w:color w:val="auto"/>
              </w:rPr>
              <w:t xml:space="preserve">Total corporate and other operating expenses </w:t>
            </w:r>
            <w:r>
              <w:rPr>
                <w:rFonts w:ascii="Times New Roman" w:cs="Times New Roman" w:eastAsia="Times New Roman" w:hAnsi="Times New Roman"/>
                <w:sz w:val="24"/>
                <w:szCs w:val="24"/>
                <w:b w:val="1"/>
                <w:bCs w:val="1"/>
                <w:color w:val="auto"/>
                <w:vertAlign w:val="superscript"/>
              </w:rPr>
              <w:t>(a)</w:t>
            </w:r>
          </w:p>
        </w:tc>
        <w:tc>
          <w:tcPr>
            <w:tcW w:w="2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52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w:t>
            </w:r>
          </w:p>
        </w:tc>
        <w:tc>
          <w:tcPr>
            <w:tcW w:w="1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23.6</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17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6"/>
          <w:szCs w:val="16"/>
          <w:color w:val="auto"/>
        </w:rPr>
        <w:t>(a)</w:t>
        <w:tab/>
        <w:t>Excluding depreciation, depletion and amortization.</w:t>
      </w:r>
    </w:p>
    <w:p>
      <w:pPr>
        <w:spacing w:after="0" w:line="230" w:lineRule="exact"/>
        <w:rPr>
          <w:sz w:val="20"/>
          <w:szCs w:val="20"/>
          <w:color w:val="auto"/>
        </w:rPr>
      </w:pPr>
    </w:p>
    <w:p>
      <w:pPr>
        <w:ind w:left="60" w:right="359" w:firstLine="324"/>
        <w:spacing w:after="0" w:line="266" w:lineRule="auto"/>
        <w:rPr>
          <w:sz w:val="20"/>
          <w:szCs w:val="20"/>
          <w:color w:val="auto"/>
        </w:rPr>
      </w:pPr>
      <w:r>
        <w:rPr>
          <w:rFonts w:ascii="Times New Roman" w:cs="Times New Roman" w:eastAsia="Times New Roman" w:hAnsi="Times New Roman"/>
          <w:sz w:val="18"/>
          <w:szCs w:val="18"/>
          <w:color w:val="auto"/>
        </w:rPr>
        <w:t>Corporate and other operating expenses increased $1.1 million, or 15.9%, to $8.0 million during the three months ended September 30, 2026, as compared to $6.9 million in the same period in 2025. The increase in corporate and other operating expenses was primarily related to professional fees, employee costs and repairs and maintenance.</w:t>
      </w:r>
    </w:p>
    <w:p>
      <w:pPr>
        <w:spacing w:after="0" w:line="176" w:lineRule="exact"/>
        <w:rPr>
          <w:sz w:val="20"/>
          <w:szCs w:val="20"/>
          <w:color w:val="auto"/>
        </w:rPr>
      </w:pPr>
    </w:p>
    <w:p>
      <w:pPr>
        <w:ind w:left="60" w:right="259" w:firstLine="324"/>
        <w:spacing w:after="0" w:line="261" w:lineRule="auto"/>
        <w:rPr>
          <w:sz w:val="20"/>
          <w:szCs w:val="20"/>
          <w:color w:val="auto"/>
        </w:rPr>
      </w:pPr>
      <w:r>
        <w:rPr>
          <w:rFonts w:ascii="Times New Roman" w:cs="Times New Roman" w:eastAsia="Times New Roman" w:hAnsi="Times New Roman"/>
          <w:sz w:val="18"/>
          <w:szCs w:val="18"/>
          <w:color w:val="auto"/>
        </w:rPr>
        <w:t>Corporate and other operating expenses increased $3.7 million, or 18.6%, to $23.6 million during the nine months ended September 30, 2026, as compared to $19.9 million in the same period in 2025. The increase in corporate and other operating expenses was primarily related to compensation payments made in the first quarter of 2026, as well as repairs and maintenance, marketing costs and professional fees.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Depreciation, Depletion and Amortization</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Depreciation, depletion and amortization expense decreased $0.6 million during the three months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30, 2026, as compared to the same period in 2025. Depreciation, depletion and amortization expense decreased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$1.9 million during the nine months ended September 30, 2026, as compared to the same period in 2025. The decrease in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both periods was primarily due to assets sold since the prior period, partially offset by new hospitality and commercial</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assets placed in service. Depreciation is a non-cash, GAAP expense, which is amortized over an asset’s useful life, while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maintenance and repair expenses are period costs and expensed as incurred.</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Investment Income, Net</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Investment income, net primarily includes (i) interest, dividends and accretion income accrued or received on our cash, cash equivalents and other investments, (ii) interest income earned on the time deposit held by SPE and (iii) interest earned on our initial unimproved land contribution to the unconsolidated Latitude Margaritaville Watersound JV as home sales are transacted in the community and other receivables as detailed in the table below:</w:t>
      </w:r>
    </w:p>
    <w:p>
      <w:pPr>
        <w:spacing w:after="0" w:line="200"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940" w:type="dxa"/>
            <w:vAlign w:val="bottom"/>
          </w:tcPr>
          <w:p>
            <w:pPr>
              <w:spacing w:after="0"/>
              <w:rPr>
                <w:sz w:val="15"/>
                <w:szCs w:val="15"/>
                <w:color w:val="auto"/>
              </w:rPr>
            </w:pPr>
          </w:p>
        </w:tc>
        <w:tc>
          <w:tcPr>
            <w:tcW w:w="2540" w:type="dxa"/>
            <w:vAlign w:val="bottom"/>
            <w:gridSpan w:val="6"/>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5"/>
                <w:szCs w:val="15"/>
                <w:color w:val="auto"/>
              </w:rPr>
            </w:pPr>
          </w:p>
        </w:tc>
        <w:tc>
          <w:tcPr>
            <w:tcW w:w="2260" w:type="dxa"/>
            <w:vAlign w:val="bottom"/>
            <w:gridSpan w:val="7"/>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940" w:type="dxa"/>
            <w:vAlign w:val="bottom"/>
          </w:tcPr>
          <w:p>
            <w:pPr>
              <w:spacing w:after="0"/>
              <w:rPr>
                <w:sz w:val="12"/>
                <w:szCs w:val="12"/>
                <w:color w:val="auto"/>
              </w:rPr>
            </w:pPr>
          </w:p>
        </w:tc>
        <w:tc>
          <w:tcPr>
            <w:tcW w:w="280" w:type="dxa"/>
            <w:vAlign w:val="bottom"/>
            <w:vMerge w:val="continue"/>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tcPr>
          <w:p>
            <w:pPr>
              <w:spacing w:after="0"/>
              <w:rPr>
                <w:sz w:val="12"/>
                <w:szCs w:val="12"/>
                <w:color w:val="auto"/>
              </w:rPr>
            </w:pPr>
          </w:p>
        </w:tc>
        <w:tc>
          <w:tcPr>
            <w:tcW w:w="24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0" w:type="dxa"/>
            <w:vAlign w:val="bottom"/>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gridSpan w:val="2"/>
          </w:tcPr>
          <w:p>
            <w:pPr>
              <w:jc w:val="right"/>
              <w:ind w:right="162"/>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gridSpan w:val="3"/>
          </w:tcPr>
          <w:p>
            <w:pPr>
              <w:jc w:val="right"/>
              <w:ind w:right="184"/>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3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dividend and accretion income</w:t>
            </w:r>
          </w:p>
        </w:tc>
        <w:tc>
          <w:tcPr>
            <w:tcW w:w="960" w:type="dxa"/>
            <w:vAlign w:val="bottom"/>
            <w:gridSpan w:val="2"/>
            <w:shd w:val="clear" w:color="auto" w:fill="CCEEFF"/>
          </w:tcPr>
          <w:p>
            <w:pPr>
              <w:jc w:val="right"/>
              <w:ind w:right="52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42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60" w:type="dxa"/>
            <w:vAlign w:val="bottom"/>
            <w:gridSpan w:val="3"/>
            <w:shd w:val="clear" w:color="auto" w:fill="CCEEFF"/>
          </w:tcPr>
          <w:p>
            <w:pPr>
              <w:jc w:val="right"/>
              <w:ind w:right="84"/>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Interest income from investments in special purpose</w:t>
            </w: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entities</w:t>
            </w: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interest income</w:t>
            </w:r>
          </w:p>
        </w:tc>
        <w:tc>
          <w:tcPr>
            <w:tcW w:w="2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Total investment income, net</w:t>
            </w:r>
          </w:p>
        </w:tc>
        <w:tc>
          <w:tcPr>
            <w:tcW w:w="280" w:type="dxa"/>
            <w:vAlign w:val="bottom"/>
          </w:tcPr>
          <w:p>
            <w:pPr>
              <w:spacing w:after="0"/>
              <w:rPr>
                <w:sz w:val="18"/>
                <w:szCs w:val="18"/>
                <w:color w:val="auto"/>
              </w:rPr>
            </w:pPr>
          </w:p>
        </w:tc>
        <w:tc>
          <w:tcPr>
            <w:tcW w:w="680" w:type="dxa"/>
            <w:vAlign w:val="bottom"/>
          </w:tcPr>
          <w:p>
            <w:pPr>
              <w:jc w:val="right"/>
              <w:ind w:right="52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160" w:type="dxa"/>
            <w:vAlign w:val="bottom"/>
          </w:tcPr>
          <w:p>
            <w:pPr>
              <w:spacing w:after="0"/>
              <w:rPr>
                <w:sz w:val="18"/>
                <w:szCs w:val="18"/>
                <w:color w:val="auto"/>
              </w:rPr>
            </w:pPr>
          </w:p>
        </w:tc>
        <w:tc>
          <w:tcPr>
            <w:tcW w:w="260" w:type="dxa"/>
            <w:vAlign w:val="bottom"/>
          </w:tcPr>
          <w:p>
            <w:pPr>
              <w:jc w:val="right"/>
              <w:ind w:right="10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10.1</w:t>
            </w:r>
          </w:p>
        </w:tc>
        <w:tc>
          <w:tcPr>
            <w:tcW w:w="260" w:type="dxa"/>
            <w:vAlign w:val="bottom"/>
            <w:gridSpan w:val="2"/>
          </w:tcPr>
          <w:p>
            <w:pPr>
              <w:spacing w:after="0"/>
              <w:rPr>
                <w:sz w:val="18"/>
                <w:szCs w:val="18"/>
                <w:color w:val="auto"/>
              </w:rPr>
            </w:pP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619" w:firstLine="324"/>
        <w:spacing w:after="0" w:line="312" w:lineRule="auto"/>
        <w:rPr>
          <w:sz w:val="20"/>
          <w:szCs w:val="20"/>
          <w:color w:val="auto"/>
        </w:rPr>
      </w:pPr>
      <w:r>
        <w:rPr>
          <w:rFonts w:ascii="Times New Roman" w:cs="Times New Roman" w:eastAsia="Times New Roman" w:hAnsi="Times New Roman"/>
          <w:sz w:val="17"/>
          <w:szCs w:val="17"/>
          <w:color w:val="auto"/>
        </w:rPr>
        <w:t>Investment income, net increased $0.5 million, or 16.1%, to $3.6 million during the three months ended September 30, 2026, as compared to $3.1 million in the same period in 2025. Other interest income during the three</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459"/>
        <w:spacing w:after="0" w:line="258" w:lineRule="auto"/>
        <w:rPr>
          <w:sz w:val="20"/>
          <w:szCs w:val="20"/>
          <w:color w:val="auto"/>
        </w:rPr>
      </w:pPr>
      <w:r>
        <w:rPr>
          <w:rFonts w:ascii="Times New Roman" w:cs="Times New Roman" w:eastAsia="Times New Roman" w:hAnsi="Times New Roman"/>
          <w:sz w:val="18"/>
          <w:szCs w:val="18"/>
          <w:color w:val="auto"/>
        </w:rPr>
        <w:t xml:space="preserve">months ended September 30, 2026, increased primarily due to an increase in other receivables, partially offset by a decrease due to fewer home sales transacted in the Latitude Margaritaville Watersound community during the current period. Investment income, net increased $0.4 million, or 4.1%, to $10.1 million during the nine months ended September 30, 2026, as compared to $9.7 million in the same period in 2025. See Note 4. </w:t>
      </w:r>
      <w:r>
        <w:rPr>
          <w:rFonts w:ascii="Times New Roman" w:cs="Times New Roman" w:eastAsia="Times New Roman" w:hAnsi="Times New Roman"/>
          <w:sz w:val="18"/>
          <w:szCs w:val="18"/>
          <w:i w:val="1"/>
          <w:iCs w:val="1"/>
          <w:color w:val="auto"/>
        </w:rPr>
        <w:t>Joint Ventures</w:t>
      </w:r>
      <w:r>
        <w:rPr>
          <w:rFonts w:ascii="Times New Roman" w:cs="Times New Roman" w:eastAsia="Times New Roman" w:hAnsi="Times New Roman"/>
          <w:sz w:val="18"/>
          <w:szCs w:val="18"/>
          <w:color w:val="auto"/>
        </w:rPr>
        <w:t xml:space="preserve"> for additional information.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left="60" w:right="399" w:firstLine="324"/>
        <w:spacing w:after="0" w:line="266" w:lineRule="auto"/>
        <w:rPr>
          <w:sz w:val="20"/>
          <w:szCs w:val="20"/>
          <w:color w:val="auto"/>
        </w:rPr>
      </w:pPr>
      <w:r>
        <w:rPr>
          <w:rFonts w:ascii="Times New Roman" w:cs="Times New Roman" w:eastAsia="Times New Roman" w:hAnsi="Times New Roman"/>
          <w:sz w:val="18"/>
          <w:szCs w:val="18"/>
          <w:color w:val="auto"/>
        </w:rPr>
        <w:t>Interest expense primarily includes interest incurred on project financing, the Senior Notes issued by Northwest Florida Timber Finance, LLC, CDD debt and finance leases, as well as amortization of debt discount and premium and debt issuance costs as detailed in the table below:</w:t>
      </w:r>
    </w:p>
    <w:p>
      <w:pPr>
        <w:spacing w:after="0" w:line="19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080" w:type="dxa"/>
            <w:vAlign w:val="bottom"/>
          </w:tcPr>
          <w:p>
            <w:pPr>
              <w:spacing w:after="0"/>
              <w:rPr>
                <w:sz w:val="15"/>
                <w:szCs w:val="15"/>
                <w:color w:val="auto"/>
              </w:rPr>
            </w:pPr>
          </w:p>
        </w:tc>
        <w:tc>
          <w:tcPr>
            <w:tcW w:w="2460" w:type="dxa"/>
            <w:vAlign w:val="bottom"/>
            <w:gridSpan w:val="6"/>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5"/>
                <w:szCs w:val="15"/>
                <w:color w:val="auto"/>
              </w:rPr>
            </w:pPr>
          </w:p>
        </w:tc>
        <w:tc>
          <w:tcPr>
            <w:tcW w:w="220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08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tcPr>
          <w:p>
            <w:pPr>
              <w:spacing w:after="0"/>
              <w:rPr>
                <w:sz w:val="12"/>
                <w:szCs w:val="12"/>
                <w:color w:val="auto"/>
              </w:rPr>
            </w:pPr>
          </w:p>
        </w:tc>
        <w:tc>
          <w:tcPr>
            <w:tcW w:w="24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0" w:type="dxa"/>
            <w:vAlign w:val="bottom"/>
          </w:tcPr>
          <w:p>
            <w:pPr>
              <w:jc w:val="right"/>
              <w:ind w:right="27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gridSpan w:val="2"/>
          </w:tcPr>
          <w:p>
            <w:pPr>
              <w:jc w:val="right"/>
              <w:ind w:right="162"/>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gridSpan w:val="2"/>
          </w:tcPr>
          <w:p>
            <w:pPr>
              <w:jc w:val="right"/>
              <w:ind w:right="136"/>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4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3"/>
          </w:tcPr>
          <w:p>
            <w:pPr>
              <w:jc w:val="right"/>
              <w:ind w:right="2"/>
              <w:spacing w:after="0" w:line="129"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4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Interest incurred for project financing and other interest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w:t>
            </w:r>
          </w:p>
        </w:tc>
        <w:tc>
          <w:tcPr>
            <w:tcW w:w="880" w:type="dxa"/>
            <w:vAlign w:val="bottom"/>
            <w:gridSpan w:val="2"/>
            <w:shd w:val="clear" w:color="auto" w:fill="CCEEFF"/>
          </w:tcPr>
          <w:p>
            <w:pPr>
              <w:jc w:val="right"/>
              <w:ind w:right="54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6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42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44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198"/>
        </w:trPr>
        <w:tc>
          <w:tcPr>
            <w:tcW w:w="4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Interest expense and amortization of discount and</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issuance costs for Senior Notes issued by special</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purpose entity</w:t>
            </w:r>
          </w:p>
        </w:tc>
        <w:tc>
          <w:tcPr>
            <w:tcW w:w="18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0"/>
        </w:trPr>
        <w:tc>
          <w:tcPr>
            <w:tcW w:w="40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54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w:t>
            </w:r>
          </w:p>
        </w:tc>
        <w:tc>
          <w:tcPr>
            <w:tcW w:w="1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w:t>
            </w:r>
          </w:p>
        </w:tc>
        <w:tc>
          <w:tcPr>
            <w:tcW w:w="2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23.3</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Interest expense decreased $1.0 million, or 12.8%, to $6.8 million during the three months ended September 30, 2026, as compared to $7.8 million in the same period in 2025. Interest expense decreased $2.5 million, or 10.7%, to $20.8 million during the nine months ended September 30, 2026, as compared to $23.3 million in the same period in 2025. The decrease in interest expense is due to repayment of project financing and a decrease in interest rates from the prior period. See Note 8. </w:t>
      </w:r>
      <w:r>
        <w:rPr>
          <w:rFonts w:ascii="Times New Roman" w:cs="Times New Roman" w:eastAsia="Times New Roman" w:hAnsi="Times New Roman"/>
          <w:sz w:val="18"/>
          <w:szCs w:val="18"/>
          <w:i w:val="1"/>
          <w:iCs w:val="1"/>
          <w:color w:val="auto"/>
        </w:rPr>
        <w:t>Debt, Net</w:t>
      </w:r>
      <w:r>
        <w:rPr>
          <w:rFonts w:ascii="Times New Roman" w:cs="Times New Roman" w:eastAsia="Times New Roman" w:hAnsi="Times New Roman"/>
          <w:sz w:val="18"/>
          <w:szCs w:val="18"/>
          <w:color w:val="auto"/>
        </w:rPr>
        <w:t xml:space="preserve"> and Note 15. </w:t>
      </w:r>
      <w:r>
        <w:rPr>
          <w:rFonts w:ascii="Times New Roman" w:cs="Times New Roman" w:eastAsia="Times New Roman" w:hAnsi="Times New Roman"/>
          <w:sz w:val="18"/>
          <w:szCs w:val="18"/>
          <w:i w:val="1"/>
          <w:iCs w:val="1"/>
          <w:color w:val="auto"/>
        </w:rPr>
        <w:t>Other (Expense) Income, Net</w:t>
      </w:r>
      <w:r>
        <w:rPr>
          <w:rFonts w:ascii="Times New Roman" w:cs="Times New Roman" w:eastAsia="Times New Roman" w:hAnsi="Times New Roman"/>
          <w:sz w:val="18"/>
          <w:szCs w:val="18"/>
          <w:color w:val="auto"/>
        </w:rPr>
        <w:t xml:space="preserve"> for additional information regarding project financing.</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Equity in (Loss) Income from Unconsolidated Joint Ventures</w:t>
      </w:r>
    </w:p>
    <w:p>
      <w:pPr>
        <w:spacing w:after="0" w:line="229"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 xml:space="preserve">Equity in (loss) income from unconsolidated joint ventures includes our proportionate share of earnings or losses of unconsolidated JVs accounted for using the equity method and intra-entity profit elimination as detailed in the table below. See Note 4. </w:t>
      </w:r>
      <w:r>
        <w:rPr>
          <w:rFonts w:ascii="Times New Roman" w:cs="Times New Roman" w:eastAsia="Times New Roman" w:hAnsi="Times New Roman"/>
          <w:sz w:val="18"/>
          <w:szCs w:val="18"/>
          <w:i w:val="1"/>
          <w:iCs w:val="1"/>
          <w:color w:val="auto"/>
        </w:rPr>
        <w:t>Joint Ventures</w:t>
      </w:r>
      <w:r>
        <w:rPr>
          <w:rFonts w:ascii="Times New Roman" w:cs="Times New Roman" w:eastAsia="Times New Roman" w:hAnsi="Times New Roman"/>
          <w:sz w:val="18"/>
          <w:szCs w:val="18"/>
          <w:color w:val="auto"/>
        </w:rPr>
        <w:t xml:space="preserve"> for additional information.</w:t>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2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48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320" w:type="dxa"/>
            <w:vAlign w:val="bottom"/>
            <w:gridSpan w:val="5"/>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412"/>
        </w:trPr>
        <w:tc>
          <w:tcPr>
            <w:tcW w:w="22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top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3"/>
          </w:tcPr>
          <w:p>
            <w:pPr>
              <w:jc w:val="right"/>
              <w:ind w:right="16"/>
              <w:spacing w:after="0" w:line="142"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Latitude Margaritaville Watersound JV </w:t>
            </w:r>
            <w:r>
              <w:rPr>
                <w:rFonts w:ascii="Times New Roman" w:cs="Times New Roman" w:eastAsia="Times New Roman" w:hAnsi="Times New Roman"/>
                <w:sz w:val="25"/>
                <w:szCs w:val="25"/>
                <w:color w:val="auto"/>
                <w:vertAlign w:val="superscript"/>
              </w:rPr>
              <w:t>(a)</w:t>
            </w:r>
          </w:p>
        </w:tc>
        <w:tc>
          <w:tcPr>
            <w:tcW w:w="2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Watersound Fountains Independent Living JV </w:t>
            </w:r>
            <w:r>
              <w:rPr>
                <w:rFonts w:ascii="Times New Roman" w:cs="Times New Roman" w:eastAsia="Times New Roman" w:hAnsi="Times New Roman"/>
                <w:sz w:val="25"/>
                <w:szCs w:val="25"/>
                <w:color w:val="auto"/>
                <w:vertAlign w:val="superscript"/>
              </w:rPr>
              <w:t>(b)</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(0.9)</w:t>
            </w:r>
          </w:p>
        </w:tc>
        <w:tc>
          <w:tcPr>
            <w:tcW w:w="2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3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Pier Park TPS JV</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Pier Park RI JV </w:t>
            </w:r>
            <w:r>
              <w:rPr>
                <w:rFonts w:ascii="Times New Roman" w:cs="Times New Roman" w:eastAsia="Times New Roman" w:hAnsi="Times New Roman"/>
                <w:sz w:val="25"/>
                <w:szCs w:val="25"/>
                <w:color w:val="auto"/>
                <w:vertAlign w:val="superscript"/>
              </w:rPr>
              <w:t>(c)</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(0.4)</w:t>
            </w:r>
          </w:p>
        </w:tc>
        <w:tc>
          <w:tcPr>
            <w:tcW w:w="3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(0.6)</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Busy Bee JV </w:t>
            </w:r>
            <w:r>
              <w:rPr>
                <w:rFonts w:ascii="Times New Roman" w:cs="Times New Roman" w:eastAsia="Times New Roman" w:hAnsi="Times New Roman"/>
                <w:sz w:val="25"/>
                <w:szCs w:val="25"/>
                <w:color w:val="auto"/>
                <w:vertAlign w:val="superscript"/>
              </w:rPr>
              <w:t>(d)</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Electric Cart Watersound JV</w:t>
            </w:r>
          </w:p>
        </w:tc>
        <w:tc>
          <w:tcPr>
            <w:tcW w:w="2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Watersound Management JV</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Intra-entity profit elimination </w:t>
            </w:r>
            <w:r>
              <w:rPr>
                <w:rFonts w:ascii="Times New Roman" w:cs="Times New Roman" w:eastAsia="Times New Roman" w:hAnsi="Times New Roman"/>
                <w:sz w:val="25"/>
                <w:szCs w:val="25"/>
                <w:color w:val="auto"/>
                <w:vertAlign w:val="superscript"/>
              </w:rPr>
              <w:t>(e)</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(10.9)</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100" w:type="dxa"/>
            <w:vAlign w:val="bottom"/>
            <w:gridSpan w:val="2"/>
            <w:vMerge w:val="restart"/>
            <w:shd w:val="clear" w:color="auto" w:fill="CCEEFF"/>
          </w:tcPr>
          <w:p>
            <w:pPr>
              <w:ind w:left="100"/>
              <w:spacing w:after="0" w:line="194" w:lineRule="exact"/>
              <w:rPr>
                <w:sz w:val="20"/>
                <w:szCs w:val="20"/>
                <w:color w:val="auto"/>
              </w:rPr>
            </w:pPr>
            <w:r>
              <w:rPr>
                <w:rFonts w:ascii="Times New Roman" w:cs="Times New Roman" w:eastAsia="Times New Roman" w:hAnsi="Times New Roman"/>
                <w:sz w:val="18"/>
                <w:szCs w:val="18"/>
                <w:b w:val="1"/>
                <w:bCs w:val="1"/>
                <w:color w:val="auto"/>
              </w:rPr>
              <w:t>Total equity in (loss) income from unconsolidated</w:t>
            </w: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100" w:type="dxa"/>
            <w:vAlign w:val="bottom"/>
            <w:gridSpan w:val="2"/>
            <w:vMerge w:val="continue"/>
            <w:shd w:val="clear" w:color="auto" w:fill="CCEEFF"/>
          </w:tcPr>
          <w:p>
            <w:pPr>
              <w:spacing w:after="0"/>
              <w:rPr>
                <w:sz w:val="15"/>
                <w:szCs w:val="15"/>
                <w:color w:val="auto"/>
              </w:rPr>
            </w:pPr>
          </w:p>
        </w:tc>
        <w:tc>
          <w:tcPr>
            <w:tcW w:w="240" w:type="dxa"/>
            <w:vAlign w:val="bottom"/>
            <w:vMerge w:val="restart"/>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w:t>
            </w:r>
          </w:p>
        </w:tc>
        <w:tc>
          <w:tcPr>
            <w:tcW w:w="160" w:type="dxa"/>
            <w:vAlign w:val="bottom"/>
            <w:vMerge w:val="restart"/>
            <w:shd w:val="clear" w:color="auto" w:fill="CCEEFF"/>
          </w:tcPr>
          <w:p>
            <w:pPr>
              <w:spacing w:after="0"/>
              <w:rPr>
                <w:sz w:val="15"/>
                <w:szCs w:val="15"/>
                <w:color w:val="auto"/>
              </w:rPr>
            </w:pPr>
          </w:p>
        </w:tc>
        <w:tc>
          <w:tcPr>
            <w:tcW w:w="240" w:type="dxa"/>
            <w:vAlign w:val="bottom"/>
            <w:vMerge w:val="restart"/>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14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(0.2)</w:t>
            </w:r>
          </w:p>
        </w:tc>
        <w:tc>
          <w:tcPr>
            <w:tcW w:w="240" w:type="dxa"/>
            <w:vAlign w:val="bottom"/>
            <w:vMerge w:val="restart"/>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w:t>
            </w:r>
          </w:p>
        </w:tc>
        <w:tc>
          <w:tcPr>
            <w:tcW w:w="0" w:type="dxa"/>
            <w:vAlign w:val="bottom"/>
          </w:tcPr>
          <w:p>
            <w:pPr>
              <w:spacing w:after="0"/>
              <w:rPr>
                <w:sz w:val="1"/>
                <w:szCs w:val="1"/>
                <w:color w:val="auto"/>
              </w:rPr>
            </w:pPr>
          </w:p>
        </w:tc>
      </w:tr>
      <w:tr>
        <w:trPr>
          <w:trHeight w:val="225"/>
        </w:trPr>
        <w:tc>
          <w:tcPr>
            <w:tcW w:w="4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joint ventures</w:t>
            </w:r>
          </w:p>
        </w:tc>
        <w:tc>
          <w:tcPr>
            <w:tcW w:w="24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18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380" w:right="419" w:hanging="330"/>
        <w:spacing w:after="0" w:line="267" w:lineRule="auto"/>
        <w:tabs>
          <w:tab w:leader="none" w:pos="3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three months ended September 30, 2026 and 2025, the Latitude Margaritaville Watersound JV completed 67 and 82 home sale transactions, respectively. During the nine months ended September 30, 2026 and 2025, the Latitude Margaritaville Watersound JV completed 236 and 411 home sale transactions, respectively.</w:t>
      </w:r>
    </w:p>
    <w:p>
      <w:pPr>
        <w:spacing w:after="0" w:line="1" w:lineRule="exact"/>
        <w:rPr>
          <w:rFonts w:ascii="Times New Roman" w:cs="Times New Roman" w:eastAsia="Times New Roman" w:hAnsi="Times New Roman"/>
          <w:sz w:val="16"/>
          <w:szCs w:val="16"/>
          <w:color w:val="auto"/>
        </w:rPr>
      </w:pPr>
    </w:p>
    <w:p>
      <w:pPr>
        <w:ind w:left="380" w:hanging="330"/>
        <w:spacing w:after="0"/>
        <w:tabs>
          <w:tab w:leader="none" w:pos="3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community is under lease-up.</w:t>
      </w:r>
    </w:p>
    <w:p>
      <w:pPr>
        <w:spacing w:after="0" w:line="18" w:lineRule="exact"/>
        <w:rPr>
          <w:rFonts w:ascii="Times New Roman" w:cs="Times New Roman" w:eastAsia="Times New Roman" w:hAnsi="Times New Roman"/>
          <w:sz w:val="16"/>
          <w:szCs w:val="16"/>
          <w:color w:val="auto"/>
        </w:rPr>
      </w:pPr>
    </w:p>
    <w:p>
      <w:pPr>
        <w:ind w:left="380" w:hanging="330"/>
        <w:spacing w:after="0"/>
        <w:tabs>
          <w:tab w:leader="none" w:pos="3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nine months ended September 30, 2025, include start-up, depreciation and interest expenses for the project.</w:t>
      </w:r>
    </w:p>
    <w:p>
      <w:pPr>
        <w:spacing w:after="0" w:line="18" w:lineRule="exact"/>
        <w:rPr>
          <w:rFonts w:ascii="Times New Roman" w:cs="Times New Roman" w:eastAsia="Times New Roman" w:hAnsi="Times New Roman"/>
          <w:sz w:val="16"/>
          <w:szCs w:val="16"/>
          <w:color w:val="auto"/>
        </w:rPr>
      </w:pPr>
    </w:p>
    <w:p>
      <w:pPr>
        <w:ind w:left="380" w:hanging="330"/>
        <w:spacing w:after="0"/>
        <w:tabs>
          <w:tab w:leader="none" w:pos="3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changes in the fair value of derivatives related to interest rate swaps entered into by the Busy Bee JV.</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80" w:right="139" w:hanging="330"/>
        <w:spacing w:after="0" w:line="281" w:lineRule="auto"/>
        <w:tabs>
          <w:tab w:leader="none" w:pos="3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Includes intra-entity profit elimination, based on our ownership interest, of $10.9 million during each of the three and nine months ended September 30, 2026, related to an additional land sale to the Latitude Margaritaville Watersound JV, a pro-rata portion of which will be recognized as each home on the land is sold by the JV. See Note 4. </w:t>
      </w:r>
      <w:r>
        <w:rPr>
          <w:rFonts w:ascii="Times New Roman" w:cs="Times New Roman" w:eastAsia="Times New Roman" w:hAnsi="Times New Roman"/>
          <w:sz w:val="16"/>
          <w:szCs w:val="16"/>
          <w:i w:val="1"/>
          <w:iCs w:val="1"/>
          <w:color w:val="auto"/>
        </w:rPr>
        <w:t>Joint Ventures</w:t>
      </w:r>
      <w:r>
        <w:rPr>
          <w:rFonts w:ascii="Times New Roman" w:cs="Times New Roman" w:eastAsia="Times New Roman" w:hAnsi="Times New Roman"/>
          <w:sz w:val="16"/>
          <w:szCs w:val="16"/>
          <w:color w:val="auto"/>
        </w:rPr>
        <w:t xml:space="preserve">, Note 15. </w:t>
      </w:r>
      <w:r>
        <w:rPr>
          <w:rFonts w:ascii="Times New Roman" w:cs="Times New Roman" w:eastAsia="Times New Roman" w:hAnsi="Times New Roman"/>
          <w:sz w:val="16"/>
          <w:szCs w:val="16"/>
          <w:i w:val="1"/>
          <w:iCs w:val="1"/>
          <w:color w:val="auto"/>
        </w:rPr>
        <w:t>Other (Expense) Income,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Net </w:t>
      </w:r>
      <w:r>
        <w:rPr>
          <w:rFonts w:ascii="Times New Roman" w:cs="Times New Roman" w:eastAsia="Times New Roman" w:hAnsi="Times New Roman"/>
          <w:sz w:val="16"/>
          <w:szCs w:val="16"/>
          <w:color w:val="auto"/>
        </w:rPr>
        <w:t>and Note 18.</w:t>
      </w:r>
      <w:r>
        <w:rPr>
          <w:rFonts w:ascii="Times New Roman" w:cs="Times New Roman" w:eastAsia="Times New Roman" w:hAnsi="Times New Roman"/>
          <w:sz w:val="16"/>
          <w:szCs w:val="16"/>
          <w:i w:val="1"/>
          <w:iCs w:val="1"/>
          <w:color w:val="auto"/>
        </w:rPr>
        <w:t xml:space="preserve"> Related Party Transactions </w:t>
      </w:r>
      <w:r>
        <w:rPr>
          <w:rFonts w:ascii="Times New Roman" w:cs="Times New Roman" w:eastAsia="Times New Roman" w:hAnsi="Times New Roman"/>
          <w:sz w:val="16"/>
          <w:szCs w:val="16"/>
          <w:color w:val="auto"/>
        </w:rPr>
        <w:t>for additional information.</w:t>
      </w:r>
    </w:p>
    <w:p>
      <w:pPr>
        <w:spacing w:after="0" w:line="1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Other (expense) income, net primarily includes other income and expense items as detailed in the table below:</w:t>
      </w:r>
    </w:p>
    <w:p>
      <w:pPr>
        <w:spacing w:after="0" w:line="239"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33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20"/>
                <w:szCs w:val="20"/>
                <w:color w:val="auto"/>
              </w:rPr>
            </w:pPr>
          </w:p>
        </w:tc>
        <w:tc>
          <w:tcPr>
            <w:tcW w:w="222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0"/>
        </w:trPr>
        <w:tc>
          <w:tcPr>
            <w:tcW w:w="3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09"/>
        </w:trPr>
        <w:tc>
          <w:tcPr>
            <w:tcW w:w="3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Pr>
          <w:p>
            <w:pPr>
              <w:spacing w:after="0"/>
              <w:rPr>
                <w:sz w:val="18"/>
                <w:szCs w:val="18"/>
                <w:color w:val="auto"/>
              </w:rPr>
            </w:pPr>
          </w:p>
        </w:tc>
        <w:tc>
          <w:tcPr>
            <w:tcW w:w="4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gridSpan w:val="2"/>
          </w:tcPr>
          <w:p>
            <w:pPr>
              <w:jc w:val="right"/>
              <w:ind w:right="16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
        </w:trPr>
        <w:tc>
          <w:tcPr>
            <w:tcW w:w="3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196"/>
        </w:trPr>
        <w:tc>
          <w:tcPr>
            <w:tcW w:w="3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3"/>
          </w:tcPr>
          <w:p>
            <w:pPr>
              <w:jc w:val="right"/>
              <w:ind w:right="2"/>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1700" w:type="dxa"/>
            <w:vAlign w:val="bottom"/>
            <w:gridSpan w:val="2"/>
            <w:shd w:val="clear" w:color="auto" w:fill="CCEEFF"/>
          </w:tcPr>
          <w:p>
            <w:pPr>
              <w:jc w:val="right"/>
              <w:ind w:right="47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6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3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Miscellaneous expense, net</w:t>
            </w:r>
          </w:p>
        </w:tc>
        <w:tc>
          <w:tcPr>
            <w:tcW w:w="104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(0.2)</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10"/>
        </w:trPr>
        <w:tc>
          <w:tcPr>
            <w:tcW w:w="3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Other (expense) income, net</w:t>
            </w:r>
          </w:p>
        </w:tc>
        <w:tc>
          <w:tcPr>
            <w:tcW w:w="10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47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(0.2)</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(0.8)</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r>
      <w:tr>
        <w:trPr>
          <w:trHeight w:val="20"/>
        </w:trPr>
        <w:tc>
          <w:tcPr>
            <w:tcW w:w="3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Gain on disposition of assets during the three and nine months ended September 30, 2025, primarily includes a gain on the sale of our N850J aircraft previously used in hospitality operations.</w:t>
      </w:r>
    </w:p>
    <w:p>
      <w:pPr>
        <w:spacing w:after="0" w:line="162" w:lineRule="exact"/>
        <w:rPr>
          <w:sz w:val="20"/>
          <w:szCs w:val="20"/>
          <w:color w:val="auto"/>
        </w:rPr>
      </w:pPr>
    </w:p>
    <w:p>
      <w:pPr>
        <w:ind w:left="60" w:right="419" w:firstLine="324"/>
        <w:spacing w:after="0" w:line="258" w:lineRule="auto"/>
        <w:rPr>
          <w:sz w:val="20"/>
          <w:szCs w:val="20"/>
          <w:color w:val="auto"/>
        </w:rPr>
      </w:pPr>
      <w:r>
        <w:rPr>
          <w:rFonts w:ascii="Times New Roman" w:cs="Times New Roman" w:eastAsia="Times New Roman" w:hAnsi="Times New Roman"/>
          <w:sz w:val="18"/>
          <w:szCs w:val="18"/>
          <w:color w:val="auto"/>
        </w:rPr>
        <w:t>Miscellaneous expense, net during the nine months ended September 30, 2026, primarily includes expense of $0.5 million related to design costs for certain commercial assets that we are no longer pursuing, as well as loss on early extinguishment of debt and fees related to loans. Miscellaneous expense, net during the three and nine months ended September 30, 2025, primarily includes loss on early extinguishment of debt related to the payoff of the Watercrest JV Loan, as well as fees related to other loans.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Income tax expense was $12.9 million during the three months ended September 30, 2026, as compared to $13.7 million during the same period in 2025. Our effective tax rate was 25.8% for the three months ended September 30, 2026, as compared to 25.5% during the same period in 2025.</w:t>
      </w:r>
    </w:p>
    <w:p>
      <w:pPr>
        <w:spacing w:after="0" w:line="176" w:lineRule="exact"/>
        <w:rPr>
          <w:sz w:val="20"/>
          <w:szCs w:val="20"/>
          <w:color w:val="auto"/>
        </w:rPr>
      </w:pPr>
    </w:p>
    <w:p>
      <w:pPr>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Income tax expense was $31.5 million during the nine months ended September 30, 2026, as compared to $29.5 million during the same period in 2025. Our effective tax rate was 25.7% for the nine months ended September 30, 2026, as compared to 25.4% during the same period in 2025.</w:t>
      </w:r>
    </w:p>
    <w:p>
      <w:pPr>
        <w:spacing w:after="0" w:line="176" w:lineRule="exact"/>
        <w:rPr>
          <w:sz w:val="20"/>
          <w:szCs w:val="20"/>
          <w:color w:val="auto"/>
        </w:rPr>
      </w:pPr>
    </w:p>
    <w:p>
      <w:pPr>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 xml:space="preserve">Our effective rate for the three and nine months ended September 30, 2026 and 2025, differed from the federal statutory rate of 21.0% primarily due to state income taxes, nontaxable or nondeductible and other differences. See Note 11.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for additional information.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Residential</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table below sets forth the consolidated results of operations of our residential segment:</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580" w:type="dxa"/>
            <w:vAlign w:val="bottom"/>
            <w:gridSpan w:val="6"/>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5"/>
                <w:szCs w:val="15"/>
                <w:color w:val="auto"/>
              </w:rPr>
            </w:pPr>
          </w:p>
        </w:tc>
        <w:tc>
          <w:tcPr>
            <w:tcW w:w="226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80" w:type="dxa"/>
            <w:vAlign w:val="bottom"/>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gridSpan w:val="2"/>
          </w:tcPr>
          <w:p>
            <w:pPr>
              <w:jc w:val="right"/>
              <w:ind w:right="182"/>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gridSpan w:val="3"/>
          </w:tcPr>
          <w:p>
            <w:pPr>
              <w:ind w:lef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3"/>
          </w:tcPr>
          <w:p>
            <w:pPr>
              <w:jc w:val="right"/>
              <w:ind w:right="2"/>
              <w:spacing w:after="0" w:line="129"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32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Real estate revenue</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Residential real estate revenue</w:t>
            </w:r>
          </w:p>
        </w:tc>
        <w:tc>
          <w:tcPr>
            <w:tcW w:w="5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48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44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460" w:type="dxa"/>
            <w:vAlign w:val="bottom"/>
            <w:gridSpan w:val="3"/>
            <w:shd w:val="clear" w:color="auto" w:fill="CCEEFF"/>
          </w:tcPr>
          <w:p>
            <w:pPr>
              <w:jc w:val="right"/>
              <w:ind w:right="84"/>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Other revenue</w:t>
            </w:r>
          </w:p>
        </w:tc>
        <w:tc>
          <w:tcPr>
            <w:tcW w:w="3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real estate revenue</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Leasing revenue</w:t>
            </w:r>
          </w:p>
        </w:tc>
        <w:tc>
          <w:tcPr>
            <w:tcW w:w="3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gridSpan w:val="2"/>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440" w:type="dxa"/>
            <w:vAlign w:val="bottom"/>
            <w:gridSpan w:val="2"/>
          </w:tcPr>
          <w:p>
            <w:pPr>
              <w:jc w:val="right"/>
              <w:ind w:right="32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8"/>
                <w:szCs w:val="18"/>
                <w:color w:val="auto"/>
              </w:rPr>
            </w:pPr>
          </w:p>
        </w:tc>
        <w:tc>
          <w:tcPr>
            <w:tcW w:w="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ind w:left="100"/>
              <w:spacing w:after="0" w:line="216" w:lineRule="exact"/>
              <w:rPr>
                <w:sz w:val="20"/>
                <w:szCs w:val="20"/>
                <w:color w:val="auto"/>
              </w:rPr>
            </w:pPr>
            <w:r>
              <w:rPr>
                <w:rFonts w:ascii="Times New Roman" w:cs="Times New Roman" w:eastAsia="Times New Roman" w:hAnsi="Times New Roman"/>
                <w:sz w:val="17"/>
                <w:szCs w:val="17"/>
                <w:color w:val="auto"/>
              </w:rPr>
              <w:t xml:space="preserve">Cost of real estate and other revenue </w:t>
            </w:r>
            <w:r>
              <w:rPr>
                <w:rFonts w:ascii="Times New Roman" w:cs="Times New Roman" w:eastAsia="Times New Roman" w:hAnsi="Times New Roman"/>
                <w:sz w:val="25"/>
                <w:szCs w:val="25"/>
                <w:color w:val="auto"/>
                <w:vertAlign w:val="superscript"/>
              </w:rPr>
              <w:t>(a)</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ind w:left="100"/>
              <w:spacing w:after="0" w:line="216" w:lineRule="exact"/>
              <w:rPr>
                <w:sz w:val="20"/>
                <w:szCs w:val="20"/>
                <w:color w:val="auto"/>
              </w:rPr>
            </w:pPr>
            <w:r>
              <w:rPr>
                <w:rFonts w:ascii="Times New Roman" w:cs="Times New Roman" w:eastAsia="Times New Roman" w:hAnsi="Times New Roman"/>
                <w:sz w:val="17"/>
                <w:szCs w:val="17"/>
                <w:color w:val="auto"/>
              </w:rPr>
              <w:t xml:space="preserve">Other operating expenses </w:t>
            </w:r>
            <w:r>
              <w:rPr>
                <w:rFonts w:ascii="Times New Roman" w:cs="Times New Roman" w:eastAsia="Times New Roman" w:hAnsi="Times New Roman"/>
                <w:sz w:val="25"/>
                <w:szCs w:val="25"/>
                <w:color w:val="auto"/>
                <w:vertAlign w:val="superscript"/>
              </w:rPr>
              <w:t>(a)</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3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expenses</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gridSpan w:val="2"/>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440" w:type="dxa"/>
            <w:vAlign w:val="bottom"/>
            <w:gridSpan w:val="2"/>
          </w:tcPr>
          <w:p>
            <w:pPr>
              <w:jc w:val="right"/>
              <w:ind w:right="32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8"/>
                <w:szCs w:val="18"/>
                <w:color w:val="auto"/>
              </w:rPr>
            </w:pPr>
          </w:p>
        </w:tc>
        <w:tc>
          <w:tcPr>
            <w:tcW w:w="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Investment income, net</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40" w:type="dxa"/>
            <w:vAlign w:val="bottom"/>
            <w:gridSpan w:val="2"/>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Equity in (loss) income from unconsolidated joint</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ventures</w:t>
            </w: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3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4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3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20.8</w:t>
            </w:r>
          </w:p>
        </w:tc>
        <w:tc>
          <w:tcPr>
            <w:tcW w:w="26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22.6</w:t>
            </w:r>
          </w:p>
        </w:tc>
        <w:tc>
          <w:tcPr>
            <w:tcW w:w="160" w:type="dxa"/>
            <w:vAlign w:val="bottom"/>
          </w:tcPr>
          <w:p>
            <w:pPr>
              <w:spacing w:after="0"/>
              <w:rPr>
                <w:sz w:val="18"/>
                <w:szCs w:val="18"/>
                <w:color w:val="auto"/>
              </w:rPr>
            </w:pPr>
          </w:p>
        </w:tc>
        <w:tc>
          <w:tcPr>
            <w:tcW w:w="280" w:type="dxa"/>
            <w:vAlign w:val="bottom"/>
          </w:tcPr>
          <w:p>
            <w:pPr>
              <w:jc w:val="right"/>
              <w:ind w:right="12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66.4</w:t>
            </w:r>
          </w:p>
        </w:tc>
        <w:tc>
          <w:tcPr>
            <w:tcW w:w="260" w:type="dxa"/>
            <w:vAlign w:val="bottom"/>
            <w:gridSpan w:val="2"/>
          </w:tcPr>
          <w:p>
            <w:pPr>
              <w:spacing w:after="0"/>
              <w:rPr>
                <w:sz w:val="18"/>
                <w:szCs w:val="18"/>
                <w:color w:val="auto"/>
              </w:rPr>
            </w:pP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1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380" w:hanging="330"/>
        <w:spacing w:after="0"/>
        <w:tabs>
          <w:tab w:leader="none" w:pos="3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Excluding depreciation, depletion and amortization, shown separately above.</w:t>
      </w:r>
    </w:p>
    <w:p>
      <w:pPr>
        <w:spacing w:after="0" w:line="200" w:lineRule="exact"/>
        <w:rPr>
          <w:rFonts w:ascii="Times New Roman" w:cs="Times New Roman" w:eastAsia="Times New Roman" w:hAnsi="Times New Roman"/>
          <w:sz w:val="16"/>
          <w:szCs w:val="16"/>
          <w:color w:val="auto"/>
        </w:rPr>
      </w:pPr>
    </w:p>
    <w:p>
      <w:pPr>
        <w:spacing w:after="0" w:line="246" w:lineRule="exact"/>
        <w:rPr>
          <w:rFonts w:ascii="Times New Roman" w:cs="Times New Roman" w:eastAsia="Times New Roman" w:hAnsi="Times New Roman"/>
          <w:sz w:val="16"/>
          <w:szCs w:val="16"/>
          <w:color w:val="auto"/>
        </w:rPr>
      </w:pPr>
    </w:p>
    <w:p>
      <w:pPr>
        <w:ind w:left="44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Three months ended September 30, 2026 compared to the three months ended September 30, 2025</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our consolidated residential real estate revenue and cost of revenue activity:</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15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12"/>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260" w:type="dxa"/>
            <w:vAlign w:val="bottom"/>
          </w:tcPr>
          <w:p>
            <w:pPr>
              <w:spacing w:after="0"/>
              <w:rPr>
                <w:sz w:val="15"/>
                <w:szCs w:val="15"/>
                <w:color w:val="auto"/>
              </w:rPr>
            </w:pPr>
          </w:p>
        </w:tc>
        <w:tc>
          <w:tcPr>
            <w:tcW w:w="3340" w:type="dxa"/>
            <w:vAlign w:val="bottom"/>
            <w:tcBorders>
              <w:bottom w:val="single" w:sz="8" w:color="auto"/>
            </w:tcBorders>
            <w:gridSpan w:val="12"/>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660" w:type="dxa"/>
            <w:vAlign w:val="bottom"/>
            <w:gridSpan w:val="2"/>
          </w:tcPr>
          <w:p>
            <w:pPr>
              <w:ind w:left="1520"/>
              <w:spacing w:after="0" w:line="118"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Unit</w:t>
            </w:r>
          </w:p>
        </w:tc>
        <w:tc>
          <w:tcPr>
            <w:tcW w:w="20" w:type="dxa"/>
            <w:vAlign w:val="bottom"/>
          </w:tcPr>
          <w:p>
            <w:pPr>
              <w:spacing w:after="0"/>
              <w:rPr>
                <w:sz w:val="10"/>
                <w:szCs w:val="10"/>
                <w:color w:val="auto"/>
              </w:rPr>
            </w:pPr>
          </w:p>
        </w:tc>
        <w:tc>
          <w:tcPr>
            <w:tcW w:w="340" w:type="dxa"/>
            <w:vAlign w:val="bottom"/>
            <w:gridSpan w:val="2"/>
          </w:tcPr>
          <w:p>
            <w:pPr>
              <w:jc w:val="right"/>
              <w:ind w:right="68"/>
              <w:spacing w:after="0" w:line="118"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spacing w:after="0"/>
              <w:rPr>
                <w:sz w:val="10"/>
                <w:szCs w:val="10"/>
                <w:color w:val="auto"/>
              </w:rPr>
            </w:pPr>
          </w:p>
        </w:tc>
        <w:tc>
          <w:tcPr>
            <w:tcW w:w="24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ind w:right="35"/>
              <w:spacing w:after="0" w:line="118" w:lineRule="exact"/>
              <w:rPr>
                <w:sz w:val="20"/>
                <w:szCs w:val="20"/>
                <w:color w:val="auto"/>
              </w:rPr>
            </w:pPr>
            <w:r>
              <w:rPr>
                <w:rFonts w:ascii="Times New Roman" w:cs="Times New Roman" w:eastAsia="Times New Roman" w:hAnsi="Times New Roman"/>
                <w:sz w:val="13"/>
                <w:szCs w:val="13"/>
                <w:b w:val="1"/>
                <w:bCs w:val="1"/>
                <w:color w:val="auto"/>
              </w:rPr>
              <w:t>Cost of</w:t>
            </w:r>
          </w:p>
        </w:tc>
        <w:tc>
          <w:tcPr>
            <w:tcW w:w="260" w:type="dxa"/>
            <w:vAlign w:val="bottom"/>
            <w:gridSpan w:val="2"/>
          </w:tcPr>
          <w:p>
            <w:pPr>
              <w:jc w:val="right"/>
              <w:ind w:right="80"/>
              <w:spacing w:after="0" w:line="118"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ind w:right="37"/>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64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Gross</w:t>
            </w:r>
          </w:p>
        </w:tc>
        <w:tc>
          <w:tcPr>
            <w:tcW w:w="260" w:type="dxa"/>
            <w:vAlign w:val="bottom"/>
          </w:tcPr>
          <w:p>
            <w:pPr>
              <w:spacing w:after="0"/>
              <w:rPr>
                <w:sz w:val="10"/>
                <w:szCs w:val="10"/>
                <w:color w:val="auto"/>
              </w:rPr>
            </w:pPr>
          </w:p>
        </w:tc>
        <w:tc>
          <w:tcPr>
            <w:tcW w:w="540" w:type="dxa"/>
            <w:vAlign w:val="bottom"/>
          </w:tcPr>
          <w:p>
            <w:pPr>
              <w:jc w:val="right"/>
              <w:ind w:right="17"/>
              <w:spacing w:after="0" w:line="118" w:lineRule="exact"/>
              <w:rPr>
                <w:sz w:val="20"/>
                <w:szCs w:val="20"/>
                <w:color w:val="auto"/>
              </w:rPr>
            </w:pPr>
            <w:r>
              <w:rPr>
                <w:rFonts w:ascii="Times New Roman" w:cs="Times New Roman" w:eastAsia="Times New Roman" w:hAnsi="Times New Roman"/>
                <w:sz w:val="13"/>
                <w:szCs w:val="13"/>
                <w:b w:val="1"/>
                <w:bCs w:val="1"/>
                <w:color w:val="auto"/>
              </w:rPr>
              <w:t>Units</w:t>
            </w:r>
          </w:p>
        </w:tc>
        <w:tc>
          <w:tcPr>
            <w:tcW w:w="320" w:type="dxa"/>
            <w:vAlign w:val="bottom"/>
            <w:gridSpan w:val="2"/>
          </w:tcPr>
          <w:p>
            <w:pPr>
              <w:jc w:val="right"/>
              <w:ind w:right="48"/>
              <w:spacing w:after="0" w:line="118"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0"/>
                <w:szCs w:val="10"/>
                <w:color w:val="auto"/>
              </w:rPr>
            </w:pPr>
          </w:p>
        </w:tc>
        <w:tc>
          <w:tcPr>
            <w:tcW w:w="680" w:type="dxa"/>
            <w:vAlign w:val="bottom"/>
            <w:gridSpan w:val="3"/>
          </w:tcPr>
          <w:p>
            <w:pPr>
              <w:jc w:val="right"/>
              <w:spacing w:after="0" w:line="118"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Cost of</w:t>
            </w:r>
          </w:p>
        </w:tc>
        <w:tc>
          <w:tcPr>
            <w:tcW w:w="240" w:type="dxa"/>
            <w:vAlign w:val="bottom"/>
            <w:gridSpan w:val="2"/>
          </w:tcPr>
          <w:p>
            <w:pPr>
              <w:jc w:val="right"/>
              <w:ind w:right="40"/>
              <w:spacing w:after="0" w:line="118"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ind w:right="17"/>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64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Gross</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5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Sold</w:t>
            </w:r>
          </w:p>
        </w:tc>
        <w:tc>
          <w:tcPr>
            <w:tcW w:w="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0" w:type="dxa"/>
            <w:vAlign w:val="bottom"/>
          </w:tcPr>
          <w:p>
            <w:pPr>
              <w:spacing w:after="0"/>
              <w:rPr>
                <w:sz w:val="15"/>
                <w:szCs w:val="15"/>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Profit</w:t>
            </w:r>
          </w:p>
        </w:tc>
        <w:tc>
          <w:tcPr>
            <w:tcW w:w="160" w:type="dxa"/>
            <w:vAlign w:val="bottom"/>
          </w:tcPr>
          <w:p>
            <w:pPr>
              <w:spacing w:after="0"/>
              <w:rPr>
                <w:sz w:val="15"/>
                <w:szCs w:val="15"/>
                <w:color w:val="auto"/>
              </w:rPr>
            </w:pPr>
          </w:p>
        </w:tc>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Margin</w:t>
            </w:r>
          </w:p>
        </w:tc>
        <w:tc>
          <w:tcPr>
            <w:tcW w:w="260" w:type="dxa"/>
            <w:vAlign w:val="bottom"/>
          </w:tcPr>
          <w:p>
            <w:pPr>
              <w:spacing w:after="0"/>
              <w:rPr>
                <w:sz w:val="15"/>
                <w:szCs w:val="15"/>
                <w:color w:val="auto"/>
              </w:rPr>
            </w:pPr>
          </w:p>
        </w:tc>
        <w:tc>
          <w:tcPr>
            <w:tcW w:w="5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Sold</w:t>
            </w:r>
          </w:p>
        </w:tc>
        <w:tc>
          <w:tcPr>
            <w:tcW w:w="160" w:type="dxa"/>
            <w:vAlign w:val="bottom"/>
          </w:tcPr>
          <w:p>
            <w:pPr>
              <w:spacing w:after="0"/>
              <w:rPr>
                <w:sz w:val="15"/>
                <w:szCs w:val="15"/>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0" w:type="dxa"/>
            <w:vAlign w:val="bottom"/>
          </w:tcPr>
          <w:p>
            <w:pPr>
              <w:spacing w:after="0"/>
              <w:rPr>
                <w:sz w:val="15"/>
                <w:szCs w:val="15"/>
                <w:color w:val="auto"/>
              </w:rPr>
            </w:pPr>
          </w:p>
        </w:tc>
        <w:tc>
          <w:tcPr>
            <w:tcW w:w="5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Revenue</w:t>
            </w: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w w:val="97"/>
              </w:rPr>
              <w:t>Profit</w:t>
            </w:r>
          </w:p>
        </w:tc>
        <w:tc>
          <w:tcPr>
            <w:tcW w:w="140" w:type="dxa"/>
            <w:vAlign w:val="bottom"/>
          </w:tcPr>
          <w:p>
            <w:pPr>
              <w:spacing w:after="0"/>
              <w:rPr>
                <w:sz w:val="15"/>
                <w:szCs w:val="15"/>
                <w:color w:val="auto"/>
              </w:rPr>
            </w:pPr>
          </w:p>
        </w:tc>
        <w:tc>
          <w:tcPr>
            <w:tcW w:w="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Margin</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1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40" w:type="dxa"/>
            <w:vAlign w:val="bottom"/>
            <w:gridSpan w:val="4"/>
          </w:tcPr>
          <w:p>
            <w:pPr>
              <w:ind w:left="140"/>
              <w:spacing w:after="0" w:line="129" w:lineRule="exact"/>
              <w:rPr>
                <w:sz w:val="20"/>
                <w:szCs w:val="20"/>
                <w:color w:val="auto"/>
              </w:rPr>
            </w:pPr>
            <w:r>
              <w:rPr>
                <w:rFonts w:ascii="Times New Roman" w:cs="Times New Roman" w:eastAsia="Times New Roman" w:hAnsi="Times New Roman"/>
                <w:sz w:val="14"/>
                <w:szCs w:val="14"/>
                <w:i w:val="1"/>
                <w:iCs w:val="1"/>
                <w:color w:val="auto"/>
              </w:rPr>
              <w:t>Dollars in millions</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Homesites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36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9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44.1 %</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3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53.4 %</w:t>
            </w:r>
          </w:p>
        </w:tc>
        <w:tc>
          <w:tcPr>
            <w:tcW w:w="0" w:type="dxa"/>
            <w:vAlign w:val="bottom"/>
          </w:tcPr>
          <w:p>
            <w:pPr>
              <w:spacing w:after="0"/>
              <w:rPr>
                <w:sz w:val="1"/>
                <w:szCs w:val="1"/>
                <w:color w:val="auto"/>
              </w:rPr>
            </w:pPr>
          </w:p>
        </w:tc>
      </w:tr>
      <w:tr>
        <w:trPr>
          <w:trHeight w:val="216"/>
        </w:trPr>
        <w:tc>
          <w:tcPr>
            <w:tcW w:w="1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Homes</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90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37.0 %</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37.2 %</w:t>
            </w:r>
          </w:p>
        </w:tc>
        <w:tc>
          <w:tcPr>
            <w:tcW w:w="0" w:type="dxa"/>
            <w:vAlign w:val="bottom"/>
          </w:tcPr>
          <w:p>
            <w:pPr>
              <w:spacing w:after="0"/>
              <w:rPr>
                <w:sz w:val="1"/>
                <w:szCs w:val="1"/>
                <w:color w:val="auto"/>
              </w:rPr>
            </w:pPr>
          </w:p>
        </w:tc>
      </w:tr>
      <w:tr>
        <w:trPr>
          <w:trHeight w:val="216"/>
        </w:trPr>
        <w:tc>
          <w:tcPr>
            <w:tcW w:w="15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Land sale</w:t>
            </w: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N/A</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900" w:type="dxa"/>
            <w:vAlign w:val="bottom"/>
            <w:tcBorders>
              <w:bottom w:val="single" w:sz="8" w:color="CCEEFF"/>
            </w:tcBorders>
            <w:gridSpan w:val="3"/>
          </w:tcPr>
          <w:p>
            <w:pPr>
              <w:ind w:left="280"/>
              <w:spacing w:after="0"/>
              <w:rPr>
                <w:sz w:val="20"/>
                <w:szCs w:val="20"/>
                <w:color w:val="auto"/>
              </w:rPr>
            </w:pPr>
            <w:r>
              <w:rPr>
                <w:rFonts w:ascii="Times New Roman" w:cs="Times New Roman" w:eastAsia="Times New Roman" w:hAnsi="Times New Roman"/>
                <w:sz w:val="18"/>
                <w:szCs w:val="18"/>
                <w:color w:val="auto"/>
              </w:rPr>
              <w:t>70.2 %</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74"/>
        </w:trPr>
        <w:tc>
          <w:tcPr>
            <w:tcW w:w="1580" w:type="dxa"/>
            <w:vAlign w:val="bottom"/>
            <w:shd w:val="clear" w:color="auto" w:fill="CCEEFF"/>
          </w:tcPr>
          <w:p>
            <w:pPr>
              <w:ind w:left="120"/>
              <w:spacing w:after="0" w:line="174" w:lineRule="exact"/>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shd w:val="clear" w:color="auto" w:fill="CCEEFF"/>
          </w:tcPr>
          <w:p>
            <w:pPr>
              <w:spacing w:after="0"/>
              <w:rPr>
                <w:sz w:val="15"/>
                <w:szCs w:val="15"/>
                <w:color w:val="auto"/>
              </w:rPr>
            </w:pP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w:t>
            </w:r>
          </w:p>
        </w:tc>
        <w:tc>
          <w:tcPr>
            <w:tcW w:w="360" w:type="dxa"/>
            <w:vAlign w:val="bottom"/>
            <w:gridSpan w:val="3"/>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44.2</w:t>
            </w:r>
          </w:p>
        </w:tc>
        <w:tc>
          <w:tcPr>
            <w:tcW w:w="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w:t>
            </w:r>
          </w:p>
        </w:tc>
        <w:tc>
          <w:tcPr>
            <w:tcW w:w="2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27.7</w:t>
            </w: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w:t>
            </w:r>
          </w:p>
        </w:tc>
        <w:tc>
          <w:tcPr>
            <w:tcW w:w="320" w:type="dxa"/>
            <w:vAlign w:val="bottom"/>
            <w:gridSpan w:val="2"/>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34.8</w:t>
            </w:r>
          </w:p>
        </w:tc>
        <w:tc>
          <w:tcPr>
            <w:tcW w:w="28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w:t>
            </w:r>
          </w:p>
        </w:tc>
        <w:tc>
          <w:tcPr>
            <w:tcW w:w="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w:t>
            </w: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1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400" w:type="dxa"/>
            <w:vAlign w:val="bottom"/>
            <w:vMerge w:val="continue"/>
            <w:shd w:val="clear" w:color="auto" w:fill="CCEEFF"/>
          </w:tcPr>
          <w:p>
            <w:pPr>
              <w:spacing w:after="0"/>
              <w:rPr>
                <w:sz w:val="19"/>
                <w:szCs w:val="19"/>
                <w:color w:val="auto"/>
              </w:rPr>
            </w:pPr>
          </w:p>
        </w:tc>
        <w:tc>
          <w:tcPr>
            <w:tcW w:w="360" w:type="dxa"/>
            <w:vAlign w:val="bottom"/>
            <w:gridSpan w:val="3"/>
            <w:vMerge w:val="continue"/>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90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62.7 %</w:t>
            </w:r>
          </w:p>
        </w:tc>
        <w:tc>
          <w:tcPr>
            <w:tcW w:w="540" w:type="dxa"/>
            <w:vAlign w:val="bottom"/>
            <w:vMerge w:val="continue"/>
            <w:shd w:val="clear" w:color="auto" w:fill="CCEEFF"/>
          </w:tcPr>
          <w:p>
            <w:pPr>
              <w:spacing w:after="0"/>
              <w:rPr>
                <w:sz w:val="19"/>
                <w:szCs w:val="19"/>
                <w:color w:val="auto"/>
              </w:rPr>
            </w:pPr>
          </w:p>
        </w:tc>
        <w:tc>
          <w:tcPr>
            <w:tcW w:w="320" w:type="dxa"/>
            <w:vAlign w:val="bottom"/>
            <w:gridSpan w:val="2"/>
            <w:vMerge w:val="continue"/>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8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51.4 %</w:t>
            </w:r>
          </w:p>
        </w:tc>
        <w:tc>
          <w:tcPr>
            <w:tcW w:w="0" w:type="dxa"/>
            <w:vAlign w:val="bottom"/>
          </w:tcPr>
          <w:p>
            <w:pPr>
              <w:spacing w:after="0"/>
              <w:rPr>
                <w:sz w:val="1"/>
                <w:szCs w:val="1"/>
                <w:color w:val="auto"/>
              </w:rPr>
            </w:pPr>
          </w:p>
        </w:tc>
      </w:tr>
      <w:tr>
        <w:trPr>
          <w:trHeight w:val="20"/>
        </w:trPr>
        <w:tc>
          <w:tcPr>
            <w:tcW w:w="1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Unconsolidated</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gridSpan w:val="2"/>
          </w:tcPr>
          <w:p>
            <w:pPr>
              <w:ind w:left="120"/>
              <w:spacing w:after="0" w:line="216" w:lineRule="exact"/>
              <w:rPr>
                <w:sz w:val="20"/>
                <w:szCs w:val="20"/>
                <w:color w:val="auto"/>
              </w:rPr>
            </w:pPr>
            <w:r>
              <w:rPr>
                <w:rFonts w:ascii="Times New Roman" w:cs="Times New Roman" w:eastAsia="Times New Roman" w:hAnsi="Times New Roman"/>
                <w:sz w:val="17"/>
                <w:szCs w:val="17"/>
                <w:color w:val="auto"/>
              </w:rPr>
              <w:t xml:space="preserve">Homes </w:t>
            </w:r>
            <w:r>
              <w:rPr>
                <w:rFonts w:ascii="Times New Roman" w:cs="Times New Roman" w:eastAsia="Times New Roman" w:hAnsi="Times New Roman"/>
                <w:sz w:val="25"/>
                <w:szCs w:val="25"/>
                <w:color w:val="auto"/>
                <w:vertAlign w:val="superscript"/>
              </w:rPr>
              <w:t>(a)</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580" w:type="dxa"/>
            <w:vAlign w:val="bottom"/>
            <w:tcBorders>
              <w:top w:val="single" w:sz="8" w:color="CCEEFF"/>
            </w:tcBorders>
            <w:shd w:val="clear" w:color="auto" w:fill="CCEEFF"/>
          </w:tcPr>
          <w:p>
            <w:pPr>
              <w:ind w:left="20"/>
              <w:spacing w:after="0" w:line="157" w:lineRule="exact"/>
              <w:rPr>
                <w:sz w:val="20"/>
                <w:szCs w:val="20"/>
                <w:color w:val="auto"/>
              </w:rPr>
            </w:pPr>
            <w:r>
              <w:rPr>
                <w:rFonts w:ascii="Times New Roman" w:cs="Times New Roman" w:eastAsia="Times New Roman" w:hAnsi="Times New Roman"/>
                <w:sz w:val="17"/>
                <w:szCs w:val="17"/>
                <w:b w:val="1"/>
                <w:bCs w:val="1"/>
                <w:color w:val="auto"/>
              </w:rPr>
              <w:t>Total consolidated</w:t>
            </w:r>
          </w:p>
        </w:tc>
        <w:tc>
          <w:tcPr>
            <w:tcW w:w="8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w:t>
            </w:r>
          </w:p>
        </w:tc>
        <w:tc>
          <w:tcPr>
            <w:tcW w:w="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279</w:t>
            </w:r>
          </w:p>
        </w:tc>
        <w:tc>
          <w:tcPr>
            <w:tcW w:w="1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and unconsolidated</w:t>
            </w:r>
          </w:p>
        </w:tc>
        <w:tc>
          <w:tcPr>
            <w:tcW w:w="40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5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380" w:right="259" w:hanging="330"/>
        <w:spacing w:after="0" w:line="298" w:lineRule="auto"/>
        <w:tabs>
          <w:tab w:leader="none" w:pos="38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Includes homes sold by the Latitude Margaritaville Watersound JV, which is unconsolidated and is accounted for using the equity method. See Note 4. </w:t>
      </w:r>
      <w:r>
        <w:rPr>
          <w:rFonts w:ascii="Times New Roman" w:cs="Times New Roman" w:eastAsia="Times New Roman" w:hAnsi="Times New Roman"/>
          <w:sz w:val="16"/>
          <w:szCs w:val="16"/>
          <w:i w:val="1"/>
          <w:iCs w:val="1"/>
          <w:color w:val="auto"/>
        </w:rPr>
        <w:t>Joint Ventures</w:t>
      </w:r>
      <w:r>
        <w:rPr>
          <w:rFonts w:ascii="Times New Roman" w:cs="Times New Roman" w:eastAsia="Times New Roman" w:hAnsi="Times New Roman"/>
          <w:sz w:val="16"/>
          <w:szCs w:val="16"/>
          <w:color w:val="auto"/>
        </w:rPr>
        <w:t xml:space="preserve"> for additional information.</w:t>
      </w:r>
    </w:p>
    <w:p>
      <w:pPr>
        <w:spacing w:after="0" w:line="159" w:lineRule="exact"/>
        <w:rPr>
          <w:rFonts w:ascii="Times New Roman" w:cs="Times New Roman" w:eastAsia="Times New Roman" w:hAnsi="Times New Roman"/>
          <w:sz w:val="16"/>
          <w:szCs w:val="16"/>
          <w:color w:val="auto"/>
        </w:rPr>
      </w:pPr>
    </w:p>
    <w:p>
      <w:pPr>
        <w:ind w:left="3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following discussion sets forth details of the consolidated results of operations of our residential segment.</w:t>
      </w:r>
    </w:p>
    <w:p>
      <w:pPr>
        <w:spacing w:after="0" w:line="223"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Homesites</w:t>
      </w:r>
      <w:r>
        <w:rPr>
          <w:rFonts w:ascii="Times New Roman" w:cs="Times New Roman" w:eastAsia="Times New Roman" w:hAnsi="Times New Roman"/>
          <w:sz w:val="18"/>
          <w:szCs w:val="18"/>
          <w:color w:val="auto"/>
        </w:rPr>
        <w:t>. Revenue from homesite sales decreased $21.2 million, or 69.5%, during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2026, as compared to the same period in 2025, primarily due to the mix and number of homesites sold per community and the timing of homebuilder contractual closing obligations in our residential communities. During the three months ended September 30, 2026 and 2025, the average base revenue, excluding homesite residuals, per homesite sold was approximately $84,000 and $150,000, respectively, due to the mix of sales from different communities. Revenue includes estimated homesite residuals of $1.1 million and $0.9 million during the three months ended September 30, 2026 and 2025, respectively. The increase in estimated homesite residuals was due to the mix and number of homesites sold in specific communities during the current period. Gross margin was 44.1% during the three months ended</w:t>
      </w:r>
    </w:p>
    <w:p>
      <w:pPr>
        <w:spacing w:after="0" w:line="3" w:lineRule="exact"/>
        <w:rPr>
          <w:sz w:val="20"/>
          <w:szCs w:val="20"/>
          <w:color w:val="auto"/>
        </w:rPr>
      </w:pPr>
    </w:p>
    <w:p>
      <w:pPr>
        <w:ind w:left="60" w:right="259"/>
        <w:spacing w:after="0" w:line="255" w:lineRule="auto"/>
        <w:rPr>
          <w:sz w:val="20"/>
          <w:szCs w:val="20"/>
          <w:color w:val="auto"/>
        </w:rPr>
      </w:pPr>
      <w:r>
        <w:rPr>
          <w:rFonts w:ascii="Times New Roman" w:cs="Times New Roman" w:eastAsia="Times New Roman" w:hAnsi="Times New Roman"/>
          <w:sz w:val="18"/>
          <w:szCs w:val="18"/>
          <w:color w:val="auto"/>
        </w:rPr>
        <w:t>September 30, 2026, compared to 53.4% in the same period in 2025, primarily due to the cost, mix and number of homesites sold from different communities during each respective period. Gross margin may vary each period depending on the location of homesite sales.</w:t>
      </w:r>
    </w:p>
    <w:p>
      <w:pPr>
        <w:spacing w:after="0" w:line="184"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Hom</w:t>
      </w:r>
      <w:r>
        <w:rPr>
          <w:rFonts w:ascii="Times New Roman" w:cs="Times New Roman" w:eastAsia="Times New Roman" w:hAnsi="Times New Roman"/>
          <w:sz w:val="18"/>
          <w:szCs w:val="18"/>
          <w:color w:val="auto"/>
        </w:rPr>
        <w:t>es. During the three months ended September 30, 2026, we sold five completed townhomes within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Watersound Villas on the Fairway community for a total of $2.7 million, resulting in a gross margin of 37.0%. During the three months ended September 30, 2025, we sold eight completed townhomes within our Watersound Villas on the Fairway community for a total of $4.3 million, resulting in a gross margin of 37.2%.</w:t>
      </w:r>
    </w:p>
    <w:p>
      <w:pPr>
        <w:spacing w:after="0" w:line="180"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Land sales</w:t>
      </w:r>
      <w:r>
        <w:rPr>
          <w:rFonts w:ascii="Times New Roman" w:cs="Times New Roman" w:eastAsia="Times New Roman" w:hAnsi="Times New Roman"/>
          <w:sz w:val="18"/>
          <w:szCs w:val="18"/>
          <w:color w:val="auto"/>
        </w:rPr>
        <w:t>. During the three months ended September 30, 2026, unimproved land sales primarily include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land sold to the Latitude Margaritaville Watersound JV with a contractual value of $50.4 million. The initial net present value of the additional land sale was $31.4 million, with $9.6 million cost of revenue, resulting in a gross margin of 69.4%. See Note 4. </w:t>
      </w:r>
      <w:r>
        <w:rPr>
          <w:rFonts w:ascii="Times New Roman" w:cs="Times New Roman" w:eastAsia="Times New Roman" w:hAnsi="Times New Roman"/>
          <w:sz w:val="18"/>
          <w:szCs w:val="18"/>
          <w:i w:val="1"/>
          <w:iCs w:val="1"/>
          <w:color w:val="auto"/>
        </w:rPr>
        <w:t>Joint Ventures</w:t>
      </w:r>
      <w:r>
        <w:rPr>
          <w:rFonts w:ascii="Times New Roman" w:cs="Times New Roman" w:eastAsia="Times New Roman" w:hAnsi="Times New Roman"/>
          <w:sz w:val="18"/>
          <w:szCs w:val="18"/>
          <w:color w:val="auto"/>
        </w:rPr>
        <w:t xml:space="preserve"> and Note 18.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xml:space="preserve"> for additional information. During the three months ended September 30, 2025, we did not have any unimproved land sales.</w:t>
      </w:r>
    </w:p>
    <w:p>
      <w:pPr>
        <w:spacing w:after="0" w:line="185" w:lineRule="exact"/>
        <w:rPr>
          <w:sz w:val="20"/>
          <w:szCs w:val="20"/>
          <w:color w:val="auto"/>
        </w:rPr>
      </w:pPr>
    </w:p>
    <w:p>
      <w:pPr>
        <w:ind w:left="60" w:right="559" w:firstLine="324"/>
        <w:spacing w:after="0" w:line="266" w:lineRule="auto"/>
        <w:rPr>
          <w:sz w:val="20"/>
          <w:szCs w:val="20"/>
          <w:color w:val="auto"/>
        </w:rPr>
      </w:pPr>
      <w:r>
        <w:rPr>
          <w:rFonts w:ascii="Times New Roman" w:cs="Times New Roman" w:eastAsia="Times New Roman" w:hAnsi="Times New Roman"/>
          <w:sz w:val="18"/>
          <w:szCs w:val="18"/>
          <w:color w:val="auto"/>
        </w:rPr>
        <w:t>Other revenue includes tap and impact fee credits sold, marketing fees and other fees. Other revenue includes estimated fees related to homebuilder homesite sales of $0.2 million and $0.5 million, during the three months ended September 30, 2026 and 2025, respectively.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919" w:firstLine="324"/>
        <w:spacing w:after="0" w:line="282" w:lineRule="auto"/>
        <w:rPr>
          <w:sz w:val="20"/>
          <w:szCs w:val="20"/>
          <w:color w:val="auto"/>
        </w:rPr>
      </w:pPr>
      <w:r>
        <w:rPr>
          <w:rFonts w:ascii="Times New Roman" w:cs="Times New Roman" w:eastAsia="Times New Roman" w:hAnsi="Times New Roman"/>
          <w:sz w:val="18"/>
          <w:szCs w:val="18"/>
          <w:color w:val="auto"/>
        </w:rPr>
        <w:t>Other operating expenses include salaries and benefits, property taxes, marketing, professional fees, project administration, owner association and CDD assessments and other administrative expenses.</w:t>
      </w:r>
    </w:p>
    <w:p>
      <w:pPr>
        <w:spacing w:after="0" w:line="162"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Investment income, net consists of interest earned on the initial unimproved land contribution to our unconsolidated Latitude Margaritaville Watersound JV as home sales are transacted in the community and other receivables. Investment income, net during the three months ended September 30, 2026, increased related to other receivables, partially offset by a decrease due to fewer home sales transacted in the Latitude Margaritaville Watersound community during the current period. See Note 4. </w:t>
      </w:r>
      <w:r>
        <w:rPr>
          <w:rFonts w:ascii="Times New Roman" w:cs="Times New Roman" w:eastAsia="Times New Roman" w:hAnsi="Times New Roman"/>
          <w:sz w:val="18"/>
          <w:szCs w:val="18"/>
          <w:i w:val="1"/>
          <w:iCs w:val="1"/>
          <w:color w:val="auto"/>
        </w:rPr>
        <w:t>Joint Ventures</w:t>
      </w:r>
      <w:r>
        <w:rPr>
          <w:rFonts w:ascii="Times New Roman" w:cs="Times New Roman" w:eastAsia="Times New Roman" w:hAnsi="Times New Roman"/>
          <w:sz w:val="18"/>
          <w:szCs w:val="18"/>
          <w:color w:val="auto"/>
        </w:rPr>
        <w:t xml:space="preserve"> and Note 15. </w:t>
      </w:r>
      <w:r>
        <w:rPr>
          <w:rFonts w:ascii="Times New Roman" w:cs="Times New Roman" w:eastAsia="Times New Roman" w:hAnsi="Times New Roman"/>
          <w:sz w:val="18"/>
          <w:szCs w:val="18"/>
          <w:i w:val="1"/>
          <w:iCs w:val="1"/>
          <w:color w:val="auto"/>
        </w:rPr>
        <w:t>Other (Expense) Income, Net</w:t>
      </w:r>
      <w:r>
        <w:rPr>
          <w:rFonts w:ascii="Times New Roman" w:cs="Times New Roman" w:eastAsia="Times New Roman" w:hAnsi="Times New Roman"/>
          <w:sz w:val="18"/>
          <w:szCs w:val="18"/>
          <w:color w:val="auto"/>
        </w:rPr>
        <w:t xml:space="preserve"> for additional information. Interest expense primarily consists of interest incurred on our portion of the total outstanding CDD debt. See Note 8. </w:t>
      </w:r>
      <w:r>
        <w:rPr>
          <w:rFonts w:ascii="Times New Roman" w:cs="Times New Roman" w:eastAsia="Times New Roman" w:hAnsi="Times New Roman"/>
          <w:sz w:val="18"/>
          <w:szCs w:val="18"/>
          <w:i w:val="1"/>
          <w:iCs w:val="1"/>
          <w:color w:val="auto"/>
        </w:rPr>
        <w:t>Debt, Net</w:t>
      </w:r>
      <w:r>
        <w:rPr>
          <w:rFonts w:ascii="Times New Roman" w:cs="Times New Roman" w:eastAsia="Times New Roman" w:hAnsi="Times New Roman"/>
          <w:sz w:val="18"/>
          <w:szCs w:val="18"/>
          <w:color w:val="auto"/>
        </w:rPr>
        <w:t xml:space="preserve"> for additional information.</w:t>
      </w:r>
    </w:p>
    <w:p>
      <w:pPr>
        <w:spacing w:after="0" w:line="189" w:lineRule="exact"/>
        <w:rPr>
          <w:sz w:val="20"/>
          <w:szCs w:val="20"/>
          <w:color w:val="auto"/>
        </w:rPr>
      </w:pPr>
    </w:p>
    <w:p>
      <w:pPr>
        <w:ind w:left="60" w:right="59" w:firstLine="324"/>
        <w:spacing w:after="0" w:line="267" w:lineRule="auto"/>
        <w:rPr>
          <w:sz w:val="20"/>
          <w:szCs w:val="20"/>
          <w:color w:val="auto"/>
        </w:rPr>
      </w:pPr>
      <w:r>
        <w:rPr>
          <w:rFonts w:ascii="Times New Roman" w:cs="Times New Roman" w:eastAsia="Times New Roman" w:hAnsi="Times New Roman"/>
          <w:sz w:val="17"/>
          <w:szCs w:val="17"/>
          <w:color w:val="auto"/>
        </w:rPr>
        <w:t>Equity in (loss) income from unconsolidated joint ventures includes our proportionate share of earnings or losses of an unconsolidated JV accounted for using the equity method and intra-entity profit elimination. Equity in (loss) income from unconsolidated joint ventures decreased $12.3 million during the three months ended September 30, 2026, as compared to the same period in 2025. Equity in (loss) income from unconsolidated joint ventures includes intra-entity profit elimination, based on our ownership interest, of $10.9 million during the three months ended September 30, 2026, related to an additional land sale to the Latitude Margaritaville Watersound JV, a pro-rata portion of which will be recognized as each home on the land is sold by the JV. The decrease was also partially due to the decreased volume of home sale transactions, partially offset by a higher average sales price during the current period related to our unconsolidated Latitude Margaritaville Watersound JV. The Latitude Margaritaville Watersound JV completed 67 home sale transactions during the three months ended September 30, 2026, compared to 82 home sale transactions during the same period in 2025. See Note</w:t>
      </w:r>
    </w:p>
    <w:p>
      <w:pPr>
        <w:spacing w:after="0" w:line="4" w:lineRule="exact"/>
        <w:rPr>
          <w:sz w:val="20"/>
          <w:szCs w:val="20"/>
          <w:color w:val="auto"/>
        </w:rPr>
      </w:pPr>
    </w:p>
    <w:p>
      <w:pPr>
        <w:ind w:left="240" w:hanging="190"/>
        <w:spacing w:after="0"/>
        <w:tabs>
          <w:tab w:leader="none" w:pos="2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Joint Ventures </w:t>
      </w:r>
      <w:r>
        <w:rPr>
          <w:rFonts w:ascii="Times New Roman" w:cs="Times New Roman" w:eastAsia="Times New Roman" w:hAnsi="Times New Roman"/>
          <w:sz w:val="18"/>
          <w:szCs w:val="18"/>
          <w:color w:val="auto"/>
        </w:rPr>
        <w:t>and Note 15.</w:t>
      </w:r>
      <w:r>
        <w:rPr>
          <w:rFonts w:ascii="Times New Roman" w:cs="Times New Roman" w:eastAsia="Times New Roman" w:hAnsi="Times New Roman"/>
          <w:sz w:val="18"/>
          <w:szCs w:val="18"/>
          <w:i w:val="1"/>
          <w:iCs w:val="1"/>
          <w:color w:val="auto"/>
        </w:rPr>
        <w:t xml:space="preserve"> Other (Expense) Income, Net </w:t>
      </w:r>
      <w:r>
        <w:rPr>
          <w:rFonts w:ascii="Times New Roman" w:cs="Times New Roman" w:eastAsia="Times New Roman" w:hAnsi="Times New Roman"/>
          <w:sz w:val="18"/>
          <w:szCs w:val="18"/>
          <w:color w:val="auto"/>
        </w:rPr>
        <w:t>for additional information.</w:t>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Nine months ended September 30, 2026 compared to the nine months ended September 30, 2025</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our consolidated residential real estate revenue and cost of revenue activity:</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gridSpan w:val="12"/>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240" w:type="dxa"/>
            <w:vAlign w:val="bottom"/>
          </w:tcPr>
          <w:p>
            <w:pPr>
              <w:spacing w:after="0"/>
              <w:rPr>
                <w:sz w:val="15"/>
                <w:szCs w:val="15"/>
                <w:color w:val="auto"/>
              </w:rPr>
            </w:pPr>
          </w:p>
        </w:tc>
        <w:tc>
          <w:tcPr>
            <w:tcW w:w="3360" w:type="dxa"/>
            <w:vAlign w:val="bottom"/>
            <w:tcBorders>
              <w:bottom w:val="single" w:sz="8" w:color="auto"/>
            </w:tcBorders>
            <w:gridSpan w:val="12"/>
          </w:tcPr>
          <w:p>
            <w:pPr>
              <w:ind w:left="44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500" w:type="dxa"/>
            <w:vAlign w:val="bottom"/>
          </w:tcPr>
          <w:p>
            <w:pPr>
              <w:spacing w:after="0"/>
              <w:rPr>
                <w:sz w:val="10"/>
                <w:szCs w:val="10"/>
                <w:color w:val="auto"/>
              </w:rPr>
            </w:pPr>
          </w:p>
        </w:tc>
        <w:tc>
          <w:tcPr>
            <w:tcW w:w="62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Units</w:t>
            </w:r>
          </w:p>
        </w:tc>
        <w:tc>
          <w:tcPr>
            <w:tcW w:w="300" w:type="dxa"/>
            <w:vAlign w:val="bottom"/>
            <w:gridSpan w:val="3"/>
          </w:tcPr>
          <w:p>
            <w:pPr>
              <w:jc w:val="right"/>
              <w:ind w:right="41"/>
              <w:spacing w:after="0" w:line="118"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0"/>
                <w:szCs w:val="10"/>
                <w:color w:val="auto"/>
              </w:rPr>
            </w:pPr>
          </w:p>
        </w:tc>
        <w:tc>
          <w:tcPr>
            <w:tcW w:w="260" w:type="dxa"/>
            <w:vAlign w:val="bottom"/>
            <w:gridSpan w:val="2"/>
          </w:tcPr>
          <w:p>
            <w:pPr>
              <w:jc w:val="right"/>
              <w:ind w:right="1"/>
              <w:spacing w:after="0" w:line="118"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ind w:right="18"/>
              <w:spacing w:after="0" w:line="118" w:lineRule="exact"/>
              <w:rPr>
                <w:sz w:val="20"/>
                <w:szCs w:val="20"/>
                <w:color w:val="auto"/>
              </w:rPr>
            </w:pPr>
            <w:r>
              <w:rPr>
                <w:rFonts w:ascii="Times New Roman" w:cs="Times New Roman" w:eastAsia="Times New Roman" w:hAnsi="Times New Roman"/>
                <w:sz w:val="13"/>
                <w:szCs w:val="13"/>
                <w:b w:val="1"/>
                <w:bCs w:val="1"/>
                <w:color w:val="auto"/>
              </w:rPr>
              <w:t>Cost of</w:t>
            </w:r>
          </w:p>
        </w:tc>
        <w:tc>
          <w:tcPr>
            <w:tcW w:w="26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62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Gross</w:t>
            </w:r>
          </w:p>
        </w:tc>
        <w:tc>
          <w:tcPr>
            <w:tcW w:w="240" w:type="dxa"/>
            <w:vAlign w:val="bottom"/>
          </w:tcPr>
          <w:p>
            <w:pPr>
              <w:spacing w:after="0"/>
              <w:rPr>
                <w:sz w:val="10"/>
                <w:szCs w:val="10"/>
                <w:color w:val="auto"/>
              </w:rPr>
            </w:pPr>
          </w:p>
        </w:tc>
        <w:tc>
          <w:tcPr>
            <w:tcW w:w="520" w:type="dxa"/>
            <w:vAlign w:val="bottom"/>
          </w:tcPr>
          <w:p>
            <w:pPr>
              <w:jc w:val="right"/>
              <w:ind w:right="19"/>
              <w:spacing w:after="0" w:line="118" w:lineRule="exact"/>
              <w:rPr>
                <w:sz w:val="20"/>
                <w:szCs w:val="20"/>
                <w:color w:val="auto"/>
              </w:rPr>
            </w:pPr>
            <w:r>
              <w:rPr>
                <w:rFonts w:ascii="Times New Roman" w:cs="Times New Roman" w:eastAsia="Times New Roman" w:hAnsi="Times New Roman"/>
                <w:sz w:val="13"/>
                <w:szCs w:val="13"/>
                <w:b w:val="1"/>
                <w:bCs w:val="1"/>
                <w:color w:val="auto"/>
              </w:rPr>
              <w:t>Units</w:t>
            </w:r>
          </w:p>
        </w:tc>
        <w:tc>
          <w:tcPr>
            <w:tcW w:w="280" w:type="dxa"/>
            <w:vAlign w:val="bottom"/>
            <w:gridSpan w:val="2"/>
          </w:tcPr>
          <w:p>
            <w:pPr>
              <w:jc w:val="right"/>
              <w:ind w:right="21"/>
              <w:spacing w:after="0" w:line="118"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0"/>
                <w:szCs w:val="10"/>
                <w:color w:val="auto"/>
              </w:rPr>
            </w:pPr>
          </w:p>
        </w:tc>
        <w:tc>
          <w:tcPr>
            <w:tcW w:w="700" w:type="dxa"/>
            <w:vAlign w:val="bottom"/>
            <w:gridSpan w:val="3"/>
          </w:tcPr>
          <w:p>
            <w:pPr>
              <w:jc w:val="right"/>
              <w:spacing w:after="0" w:line="118"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Cost of</w:t>
            </w:r>
          </w:p>
        </w:tc>
        <w:tc>
          <w:tcPr>
            <w:tcW w:w="24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66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Gross</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Sold</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60" w:type="dxa"/>
            <w:vAlign w:val="bottom"/>
          </w:tcPr>
          <w:p>
            <w:pPr>
              <w:spacing w:after="0"/>
              <w:rPr>
                <w:sz w:val="15"/>
                <w:szCs w:val="15"/>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Profit</w:t>
            </w:r>
          </w:p>
        </w:tc>
        <w:tc>
          <w:tcPr>
            <w:tcW w:w="140" w:type="dxa"/>
            <w:vAlign w:val="bottom"/>
          </w:tcPr>
          <w:p>
            <w:pPr>
              <w:spacing w:after="0"/>
              <w:rPr>
                <w:sz w:val="15"/>
                <w:szCs w:val="15"/>
                <w:color w:val="auto"/>
              </w:rPr>
            </w:pPr>
          </w:p>
        </w:tc>
        <w:tc>
          <w:tcPr>
            <w:tcW w:w="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Margin</w:t>
            </w:r>
          </w:p>
        </w:tc>
        <w:tc>
          <w:tcPr>
            <w:tcW w:w="240" w:type="dxa"/>
            <w:vAlign w:val="bottom"/>
          </w:tcPr>
          <w:p>
            <w:pPr>
              <w:spacing w:after="0"/>
              <w:rPr>
                <w:sz w:val="15"/>
                <w:szCs w:val="15"/>
                <w:color w:val="auto"/>
              </w:rPr>
            </w:pPr>
          </w:p>
        </w:tc>
        <w:tc>
          <w:tcPr>
            <w:tcW w:w="5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Sold</w:t>
            </w:r>
          </w:p>
        </w:tc>
        <w:tc>
          <w:tcPr>
            <w:tcW w:w="140" w:type="dxa"/>
            <w:vAlign w:val="bottom"/>
          </w:tcPr>
          <w:p>
            <w:pPr>
              <w:spacing w:after="0"/>
              <w:rPr>
                <w:sz w:val="15"/>
                <w:szCs w:val="15"/>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0" w:type="dxa"/>
            <w:vAlign w:val="bottom"/>
          </w:tcPr>
          <w:p>
            <w:pPr>
              <w:spacing w:after="0"/>
              <w:rPr>
                <w:sz w:val="15"/>
                <w:szCs w:val="15"/>
                <w:color w:val="auto"/>
              </w:rPr>
            </w:pPr>
          </w:p>
        </w:tc>
        <w:tc>
          <w:tcPr>
            <w:tcW w:w="5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Profit</w:t>
            </w:r>
          </w:p>
        </w:tc>
        <w:tc>
          <w:tcPr>
            <w:tcW w:w="140" w:type="dxa"/>
            <w:vAlign w:val="bottom"/>
          </w:tcPr>
          <w:p>
            <w:pPr>
              <w:spacing w:after="0"/>
              <w:rPr>
                <w:sz w:val="15"/>
                <w:szCs w:val="15"/>
                <w:color w:val="auto"/>
              </w:rPr>
            </w:pPr>
          </w:p>
        </w:tc>
        <w:tc>
          <w:tcPr>
            <w:tcW w:w="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Margin</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80" w:type="dxa"/>
            <w:vAlign w:val="bottom"/>
            <w:gridSpan w:val="4"/>
          </w:tcPr>
          <w:p>
            <w:pPr>
              <w:jc w:val="right"/>
              <w:ind w:right="79"/>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Consolidated</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Homesites</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472</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33.3</w:t>
            </w:r>
          </w:p>
        </w:tc>
        <w:tc>
          <w:tcPr>
            <w:tcW w:w="860" w:type="dxa"/>
            <w:vAlign w:val="bottom"/>
            <w:gridSpan w:val="3"/>
          </w:tcPr>
          <w:p>
            <w:pPr>
              <w:ind w:left="280"/>
              <w:spacing w:after="0"/>
              <w:rPr>
                <w:sz w:val="20"/>
                <w:szCs w:val="20"/>
                <w:color w:val="auto"/>
              </w:rPr>
            </w:pPr>
            <w:r>
              <w:rPr>
                <w:rFonts w:ascii="Times New Roman" w:cs="Times New Roman" w:eastAsia="Times New Roman" w:hAnsi="Times New Roman"/>
                <w:sz w:val="17"/>
                <w:szCs w:val="17"/>
                <w:color w:val="auto"/>
              </w:rPr>
              <w:t>46.6 %</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91.3</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44.1</w:t>
            </w: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48.3 %</w:t>
            </w: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Homes</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86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35.7 %</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36.7 %</w:t>
            </w:r>
          </w:p>
        </w:tc>
        <w:tc>
          <w:tcPr>
            <w:tcW w:w="0" w:type="dxa"/>
            <w:vAlign w:val="bottom"/>
          </w:tcPr>
          <w:p>
            <w:pPr>
              <w:spacing w:after="0"/>
              <w:rPr>
                <w:sz w:val="1"/>
                <w:szCs w:val="1"/>
                <w:color w:val="auto"/>
              </w:rPr>
            </w:pPr>
          </w:p>
        </w:tc>
      </w:tr>
      <w:tr>
        <w:trPr>
          <w:trHeight w:val="203"/>
        </w:trPr>
        <w:tc>
          <w:tcPr>
            <w:tcW w:w="15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Land sales</w:t>
            </w: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34.6</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24.5</w:t>
            </w:r>
          </w:p>
        </w:tc>
        <w:tc>
          <w:tcPr>
            <w:tcW w:w="860" w:type="dxa"/>
            <w:vAlign w:val="bottom"/>
            <w:tcBorders>
              <w:bottom w:val="single" w:sz="8" w:color="CCEEFF"/>
            </w:tcBorders>
            <w:gridSpan w:val="3"/>
          </w:tcPr>
          <w:p>
            <w:pPr>
              <w:ind w:left="280"/>
              <w:spacing w:after="0"/>
              <w:rPr>
                <w:sz w:val="20"/>
                <w:szCs w:val="20"/>
                <w:color w:val="auto"/>
              </w:rPr>
            </w:pPr>
            <w:r>
              <w:rPr>
                <w:rFonts w:ascii="Times New Roman" w:cs="Times New Roman" w:eastAsia="Times New Roman" w:hAnsi="Times New Roman"/>
                <w:sz w:val="17"/>
                <w:szCs w:val="17"/>
                <w:color w:val="auto"/>
              </w:rPr>
              <w:t>70.8 %</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196"/>
        </w:trPr>
        <w:tc>
          <w:tcPr>
            <w:tcW w:w="15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b w:val="1"/>
                <w:bCs w:val="1"/>
                <w:color w:val="auto"/>
              </w:rPr>
              <w:t>Total consolidated</w:t>
            </w: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498</w:t>
            </w: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120.0</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57.2</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62.8</w:t>
            </w:r>
          </w:p>
        </w:tc>
        <w:tc>
          <w:tcPr>
            <w:tcW w:w="86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7"/>
                <w:szCs w:val="17"/>
                <w:b w:val="1"/>
                <w:bCs w:val="1"/>
                <w:color w:val="auto"/>
              </w:rPr>
              <w:t>52.3 %</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681</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101.1</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53.4</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47.7</w:t>
            </w:r>
          </w:p>
        </w:tc>
        <w:tc>
          <w:tcPr>
            <w:tcW w:w="8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47.2 %</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Unconsolidated</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00" w:type="dxa"/>
            <w:vAlign w:val="bottom"/>
            <w:tcBorders>
              <w:bottom w:val="single" w:sz="8" w:color="CCEEFF"/>
            </w:tcBorders>
          </w:tcPr>
          <w:p>
            <w:pPr>
              <w:ind w:left="120"/>
              <w:spacing w:after="0" w:line="202" w:lineRule="exact"/>
              <w:rPr>
                <w:sz w:val="20"/>
                <w:szCs w:val="20"/>
                <w:color w:val="auto"/>
              </w:rPr>
            </w:pPr>
            <w:r>
              <w:rPr>
                <w:rFonts w:ascii="Times New Roman" w:cs="Times New Roman" w:eastAsia="Times New Roman" w:hAnsi="Times New Roman"/>
                <w:sz w:val="16"/>
                <w:szCs w:val="16"/>
                <w:color w:val="auto"/>
              </w:rPr>
              <w:t xml:space="preserve">Homes </w:t>
            </w:r>
            <w:r>
              <w:rPr>
                <w:rFonts w:ascii="Times New Roman" w:cs="Times New Roman" w:eastAsia="Times New Roman" w:hAnsi="Times New Roman"/>
                <w:sz w:val="23"/>
                <w:szCs w:val="23"/>
                <w:color w:val="auto"/>
                <w:vertAlign w:val="superscript"/>
              </w:rPr>
              <w:t>(a)</w:t>
            </w: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236</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411</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5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50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7"/>
                <w:szCs w:val="17"/>
                <w:b w:val="1"/>
                <w:bCs w:val="1"/>
                <w:color w:val="auto"/>
              </w:rPr>
              <w:t>Total consolidated</w:t>
            </w:r>
          </w:p>
        </w:tc>
        <w:tc>
          <w:tcPr>
            <w:tcW w:w="6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734</w:t>
            </w: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1,092</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and unconsolidated</w:t>
            </w:r>
          </w:p>
        </w:tc>
        <w:tc>
          <w:tcPr>
            <w:tcW w:w="6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5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380" w:right="259" w:hanging="330"/>
        <w:spacing w:after="0" w:line="298" w:lineRule="auto"/>
        <w:tabs>
          <w:tab w:leader="none" w:pos="38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Includes homes sold by the Latitude Margaritaville Watersound JV, which is unconsolidated and is accounted for using the equity method. See Note 4. </w:t>
      </w:r>
      <w:r>
        <w:rPr>
          <w:rFonts w:ascii="Times New Roman" w:cs="Times New Roman" w:eastAsia="Times New Roman" w:hAnsi="Times New Roman"/>
          <w:sz w:val="16"/>
          <w:szCs w:val="16"/>
          <w:i w:val="1"/>
          <w:iCs w:val="1"/>
          <w:color w:val="auto"/>
        </w:rPr>
        <w:t>Joint Ventures</w:t>
      </w:r>
      <w:r>
        <w:rPr>
          <w:rFonts w:ascii="Times New Roman" w:cs="Times New Roman" w:eastAsia="Times New Roman" w:hAnsi="Times New Roman"/>
          <w:sz w:val="16"/>
          <w:szCs w:val="16"/>
          <w:color w:val="auto"/>
        </w:rPr>
        <w:t xml:space="preserve"> for additional information.</w:t>
      </w:r>
    </w:p>
    <w:p>
      <w:pPr>
        <w:spacing w:after="0" w:line="159" w:lineRule="exact"/>
        <w:rPr>
          <w:rFonts w:ascii="Times New Roman" w:cs="Times New Roman" w:eastAsia="Times New Roman" w:hAnsi="Times New Roman"/>
          <w:sz w:val="16"/>
          <w:szCs w:val="16"/>
          <w:color w:val="auto"/>
        </w:rPr>
      </w:pPr>
    </w:p>
    <w:p>
      <w:pPr>
        <w:ind w:left="3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following discussion sets forth details of the consolidated results of operations of our residential segment.</w:t>
      </w:r>
    </w:p>
    <w:p>
      <w:pPr>
        <w:spacing w:after="0" w:line="223" w:lineRule="exact"/>
        <w:rPr>
          <w:sz w:val="20"/>
          <w:szCs w:val="20"/>
          <w:color w:val="auto"/>
        </w:rPr>
      </w:pPr>
    </w:p>
    <w:p>
      <w:pPr>
        <w:ind w:left="60" w:right="199"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Homesites</w:t>
      </w:r>
      <w:r>
        <w:rPr>
          <w:rFonts w:ascii="Times New Roman" w:cs="Times New Roman" w:eastAsia="Times New Roman" w:hAnsi="Times New Roman"/>
          <w:sz w:val="18"/>
          <w:szCs w:val="18"/>
          <w:color w:val="auto"/>
        </w:rPr>
        <w:t>. Revenue from homesite sales decreased $19.9 million, or 21.8%, during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2026, as compared to the same period in 2025, primarily due to the mix and number of homesites sold per community and the timing of homebuilder contractual closing obligations in our residential communities. During the nine months ended September 30, 2026 and 2025, the average base revenue, excluding homesite residuals, per homesite sold was approximately $115,000 and $127,000, respectively, due to the mix of sales from different communities. Revenue includes estimated homesite residuals of $13.5 million and $3.3 million during the nine months ended</w:t>
      </w:r>
    </w:p>
    <w:p>
      <w:pPr>
        <w:sectPr>
          <w:pgSz w:w="11900" w:h="16838" w:orient="portrait"/>
          <w:cols w:equalWidth="0" w:num="1">
            <w:col w:w="9019"/>
          </w:cols>
          <w:pgMar w:left="1440" w:top="513"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color w:val="auto"/>
        </w:rPr>
        <w:t>September 30, 2026 and 2025, respectively. The increase in estimated homesite residuals was due to the mix and number of homesites sold in specific communities during the current period. Gross margin was 46.6% during the nine months ended September 30, 2026, compared to 48.3% in the same period in 2025, primarily due to the cost, mix and number of homesites sold from different communities during each respective period. Gross margin may vary each period depending on the location of homesite sales.</w:t>
      </w:r>
    </w:p>
    <w:p>
      <w:pPr>
        <w:spacing w:after="0" w:line="181"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Hom</w:t>
      </w:r>
      <w:r>
        <w:rPr>
          <w:rFonts w:ascii="Times New Roman" w:cs="Times New Roman" w:eastAsia="Times New Roman" w:hAnsi="Times New Roman"/>
          <w:sz w:val="18"/>
          <w:szCs w:val="18"/>
          <w:color w:val="auto"/>
        </w:rPr>
        <w:t>es. During the nine months ended September 30, 2026, we sold twenty-six completed townhomes within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Watersound Villas on the Fairway community for a total of $14.0 million, resulting in a gross margin of 35.7%. During the nine months ended September 30, 2025, we sold eighteen completed townhomes within our Watersound Villas on the Fairway community for a total of $9.8 million, resulting in a gross margin of 36.7%.</w:t>
      </w:r>
    </w:p>
    <w:p>
      <w:pPr>
        <w:spacing w:after="0" w:line="180"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Land sales</w:t>
      </w:r>
      <w:r>
        <w:rPr>
          <w:rFonts w:ascii="Times New Roman" w:cs="Times New Roman" w:eastAsia="Times New Roman" w:hAnsi="Times New Roman"/>
          <w:sz w:val="18"/>
          <w:szCs w:val="18"/>
          <w:color w:val="auto"/>
        </w:rPr>
        <w:t>. During the nine months ended September 30, 2026, unimproved land sales primarily include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land sold to the Latitude Margaritaville Watersound JV with a contractual value of $50.4 million. The initial net present value of the additional land sale was $31.4 million, with $9.6 million cost of revenue, resulting in a gross margin of 69.4%. See Note 4. </w:t>
      </w:r>
      <w:r>
        <w:rPr>
          <w:rFonts w:ascii="Times New Roman" w:cs="Times New Roman" w:eastAsia="Times New Roman" w:hAnsi="Times New Roman"/>
          <w:sz w:val="18"/>
          <w:szCs w:val="18"/>
          <w:i w:val="1"/>
          <w:iCs w:val="1"/>
          <w:color w:val="auto"/>
        </w:rPr>
        <w:t>Joint Ventures</w:t>
      </w:r>
      <w:r>
        <w:rPr>
          <w:rFonts w:ascii="Times New Roman" w:cs="Times New Roman" w:eastAsia="Times New Roman" w:hAnsi="Times New Roman"/>
          <w:sz w:val="18"/>
          <w:szCs w:val="18"/>
          <w:color w:val="auto"/>
        </w:rPr>
        <w:t xml:space="preserve"> and Note 18.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xml:space="preserve"> for additional information. During the nine months ended September 30, 2026, we also had an unimproved land sale within our SummerCamp Beach community for $2.5 million, resulting in a gross margin of 80.0%. During the nine months ended September 30, 2025, we did not have any unimproved land sales.</w:t>
      </w:r>
    </w:p>
    <w:p>
      <w:pPr>
        <w:spacing w:after="0" w:line="185" w:lineRule="exact"/>
        <w:rPr>
          <w:sz w:val="20"/>
          <w:szCs w:val="20"/>
          <w:color w:val="auto"/>
        </w:rPr>
      </w:pPr>
    </w:p>
    <w:p>
      <w:pPr>
        <w:ind w:left="60" w:right="599" w:firstLine="324"/>
        <w:spacing w:after="0" w:line="266" w:lineRule="auto"/>
        <w:rPr>
          <w:sz w:val="20"/>
          <w:szCs w:val="20"/>
          <w:color w:val="auto"/>
        </w:rPr>
      </w:pPr>
      <w:r>
        <w:rPr>
          <w:rFonts w:ascii="Times New Roman" w:cs="Times New Roman" w:eastAsia="Times New Roman" w:hAnsi="Times New Roman"/>
          <w:sz w:val="18"/>
          <w:szCs w:val="18"/>
          <w:color w:val="auto"/>
        </w:rPr>
        <w:t>Other revenue includes tap and impact fee credits sold, marketing fees and other fees. Other revenue includes estimated fees related to homebuilder homesite sales of $2.3 million and $1.5 million, during the nine months ended September 30, 2026 and 2025, respectively.</w:t>
      </w:r>
    </w:p>
    <w:p>
      <w:pPr>
        <w:spacing w:after="0" w:line="176" w:lineRule="exact"/>
        <w:rPr>
          <w:sz w:val="20"/>
          <w:szCs w:val="20"/>
          <w:color w:val="auto"/>
        </w:rPr>
      </w:pPr>
    </w:p>
    <w:p>
      <w:pPr>
        <w:ind w:left="60" w:right="919" w:firstLine="324"/>
        <w:spacing w:after="0" w:line="282" w:lineRule="auto"/>
        <w:rPr>
          <w:sz w:val="20"/>
          <w:szCs w:val="20"/>
          <w:color w:val="auto"/>
        </w:rPr>
      </w:pPr>
      <w:r>
        <w:rPr>
          <w:rFonts w:ascii="Times New Roman" w:cs="Times New Roman" w:eastAsia="Times New Roman" w:hAnsi="Times New Roman"/>
          <w:sz w:val="18"/>
          <w:szCs w:val="18"/>
          <w:color w:val="auto"/>
        </w:rPr>
        <w:t>Other operating expenses include salaries and benefits, property taxes, marketing, professional fees, project administration, owner association and CDD assessments and other administrative expenses.</w:t>
      </w:r>
    </w:p>
    <w:p>
      <w:pPr>
        <w:spacing w:after="0" w:line="162"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Investment income, net consists of interest earned on the initial unimproved land contribution to our unconsolidated Latitude Margaritaville Watersound JV as home sales are transacted in the community and other receivables. Investment income, net during the nine months ended September 30, 2026 and 2025 were comparable, which included a decrease due to fewer home sales transacted in the Latitude Margaritaville Watersound community during the current period, offset by an increase related to other receivables. See Note 4. </w:t>
      </w:r>
      <w:r>
        <w:rPr>
          <w:rFonts w:ascii="Times New Roman" w:cs="Times New Roman" w:eastAsia="Times New Roman" w:hAnsi="Times New Roman"/>
          <w:sz w:val="18"/>
          <w:szCs w:val="18"/>
          <w:i w:val="1"/>
          <w:iCs w:val="1"/>
          <w:color w:val="auto"/>
        </w:rPr>
        <w:t>Joint Ventures</w:t>
      </w:r>
      <w:r>
        <w:rPr>
          <w:rFonts w:ascii="Times New Roman" w:cs="Times New Roman" w:eastAsia="Times New Roman" w:hAnsi="Times New Roman"/>
          <w:sz w:val="18"/>
          <w:szCs w:val="18"/>
          <w:color w:val="auto"/>
        </w:rPr>
        <w:t xml:space="preserve"> and Note 15. </w:t>
      </w:r>
      <w:r>
        <w:rPr>
          <w:rFonts w:ascii="Times New Roman" w:cs="Times New Roman" w:eastAsia="Times New Roman" w:hAnsi="Times New Roman"/>
          <w:sz w:val="18"/>
          <w:szCs w:val="18"/>
          <w:i w:val="1"/>
          <w:iCs w:val="1"/>
          <w:color w:val="auto"/>
        </w:rPr>
        <w:t>Other (Expense) Income, Net</w:t>
      </w:r>
      <w:r>
        <w:rPr>
          <w:rFonts w:ascii="Times New Roman" w:cs="Times New Roman" w:eastAsia="Times New Roman" w:hAnsi="Times New Roman"/>
          <w:sz w:val="18"/>
          <w:szCs w:val="18"/>
          <w:color w:val="auto"/>
        </w:rPr>
        <w:t xml:space="preserve"> for additional information. Interest expense primarily consists of interest incurred on our portion of the total outstanding CDD debt. See Note 8. </w:t>
      </w:r>
      <w:r>
        <w:rPr>
          <w:rFonts w:ascii="Times New Roman" w:cs="Times New Roman" w:eastAsia="Times New Roman" w:hAnsi="Times New Roman"/>
          <w:sz w:val="18"/>
          <w:szCs w:val="18"/>
          <w:i w:val="1"/>
          <w:iCs w:val="1"/>
          <w:color w:val="auto"/>
        </w:rPr>
        <w:t>Debt, Net</w:t>
      </w:r>
      <w:r>
        <w:rPr>
          <w:rFonts w:ascii="Times New Roman" w:cs="Times New Roman" w:eastAsia="Times New Roman" w:hAnsi="Times New Roman"/>
          <w:sz w:val="18"/>
          <w:szCs w:val="18"/>
          <w:color w:val="auto"/>
        </w:rPr>
        <w:t xml:space="preserve"> for additional information.</w:t>
      </w:r>
    </w:p>
    <w:p>
      <w:pPr>
        <w:spacing w:after="0" w:line="189"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 xml:space="preserve">Equity in (loss) income from unconsolidated joint ventures includes our proportionate share of earnings or losses of an unconsolidated JV accounted for using the equity method and intra-entity profit elimination. Equity in (loss) income from unconsolidated joint ventures decreased $23.4 million during the nine months ended September 30, 2026, as compared to the same period in 2025. Equity in (loss) income from unconsolidated joint ventures includes intra-entity profit elimination, based on our ownership interest, of $10.9 million during the nine months ended September 30, 2026, related to an additional land sale to the Latitude Margaritaville Watersound JV, a pro-rata portion of which will be recognized as each home on the land is sold by the JV. The decrease was also due to the decreased volume of home sale transactions and a lower average sales price, partially offset by higher average margin per home sold during the current period related to our unconsolidated Latitude Margaritaville Watersound JV. The Latitude Margaritaville Watersound JV completed 236 home sale transactions during the nine months ended September 30, 2026, compared to 411 home sale transactions during the same period in 2025. See Note 4. </w:t>
      </w:r>
      <w:r>
        <w:rPr>
          <w:rFonts w:ascii="Times New Roman" w:cs="Times New Roman" w:eastAsia="Times New Roman" w:hAnsi="Times New Roman"/>
          <w:sz w:val="18"/>
          <w:szCs w:val="18"/>
          <w:i w:val="1"/>
          <w:iCs w:val="1"/>
          <w:color w:val="auto"/>
        </w:rPr>
        <w:t>Joint Ventures</w:t>
      </w:r>
      <w:r>
        <w:rPr>
          <w:rFonts w:ascii="Times New Roman" w:cs="Times New Roman" w:eastAsia="Times New Roman" w:hAnsi="Times New Roman"/>
          <w:sz w:val="18"/>
          <w:szCs w:val="18"/>
          <w:color w:val="auto"/>
        </w:rPr>
        <w:t xml:space="preserve"> and Note 15. </w:t>
      </w:r>
      <w:r>
        <w:rPr>
          <w:rFonts w:ascii="Times New Roman" w:cs="Times New Roman" w:eastAsia="Times New Roman" w:hAnsi="Times New Roman"/>
          <w:sz w:val="18"/>
          <w:szCs w:val="18"/>
          <w:i w:val="1"/>
          <w:iCs w:val="1"/>
          <w:color w:val="auto"/>
        </w:rPr>
        <w:t>Other (Expense) Income, Net</w:t>
      </w:r>
      <w:r>
        <w:rPr>
          <w:rFonts w:ascii="Times New Roman" w:cs="Times New Roman" w:eastAsia="Times New Roman" w:hAnsi="Times New Roman"/>
          <w:sz w:val="18"/>
          <w:szCs w:val="18"/>
          <w:color w:val="auto"/>
        </w:rPr>
        <w:t xml:space="preserve"> for additional information.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Hospitality</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table below sets forth the consolidated results of operations of our hospitality segment:</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920" w:type="dxa"/>
            <w:vAlign w:val="bottom"/>
            <w:gridSpan w:val="6"/>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5"/>
                <w:szCs w:val="15"/>
                <w:color w:val="auto"/>
              </w:rPr>
            </w:pPr>
          </w:p>
        </w:tc>
        <w:tc>
          <w:tcPr>
            <w:tcW w:w="22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0" w:type="dxa"/>
            <w:vAlign w:val="bottom"/>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2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3"/>
          </w:tcPr>
          <w:p>
            <w:pPr>
              <w:jc w:val="center"/>
              <w:ind w:left="352"/>
              <w:spacing w:after="0" w:line="129"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center"/>
              <w:ind w:right="29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Hospitality revenue</w:t>
            </w:r>
          </w:p>
        </w:tc>
        <w:tc>
          <w:tcPr>
            <w:tcW w:w="86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48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Leasing revenue</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Real estate revenue</w:t>
            </w:r>
          </w:p>
        </w:tc>
        <w:tc>
          <w:tcPr>
            <w:tcW w:w="6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gridSpan w:val="2"/>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420" w:type="dxa"/>
            <w:vAlign w:val="bottom"/>
            <w:gridSpan w:val="2"/>
          </w:tcPr>
          <w:p>
            <w:pPr>
              <w:jc w:val="center"/>
              <w:ind w:right="29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ind w:left="120"/>
              <w:spacing w:after="0" w:line="216" w:lineRule="exact"/>
              <w:rPr>
                <w:sz w:val="20"/>
                <w:szCs w:val="20"/>
                <w:color w:val="auto"/>
              </w:rPr>
            </w:pPr>
            <w:r>
              <w:rPr>
                <w:rFonts w:ascii="Times New Roman" w:cs="Times New Roman" w:eastAsia="Times New Roman" w:hAnsi="Times New Roman"/>
                <w:sz w:val="17"/>
                <w:szCs w:val="17"/>
                <w:color w:val="auto"/>
              </w:rPr>
              <w:t xml:space="preserve">Cost of hospitality revenue </w:t>
            </w:r>
            <w:r>
              <w:rPr>
                <w:rFonts w:ascii="Times New Roman" w:cs="Times New Roman" w:eastAsia="Times New Roman" w:hAnsi="Times New Roman"/>
                <w:sz w:val="25"/>
                <w:szCs w:val="25"/>
                <w:color w:val="auto"/>
                <w:vertAlign w:val="superscript"/>
              </w:rPr>
              <w:t>(a)</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tcPr>
          <w:p>
            <w:pPr>
              <w:ind w:left="120"/>
              <w:spacing w:after="0" w:line="216" w:lineRule="exact"/>
              <w:rPr>
                <w:sz w:val="20"/>
                <w:szCs w:val="20"/>
                <w:color w:val="auto"/>
              </w:rPr>
            </w:pPr>
            <w:r>
              <w:rPr>
                <w:rFonts w:ascii="Times New Roman" w:cs="Times New Roman" w:eastAsia="Times New Roman" w:hAnsi="Times New Roman"/>
                <w:sz w:val="17"/>
                <w:szCs w:val="17"/>
                <w:color w:val="auto"/>
              </w:rPr>
              <w:t xml:space="preserve">Cost of leasing revenue </w:t>
            </w:r>
            <w:r>
              <w:rPr>
                <w:rFonts w:ascii="Times New Roman" w:cs="Times New Roman" w:eastAsia="Times New Roman" w:hAnsi="Times New Roman"/>
                <w:sz w:val="25"/>
                <w:szCs w:val="25"/>
                <w:color w:val="auto"/>
                <w:vertAlign w:val="superscript"/>
              </w:rPr>
              <w:t>(a)</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ind w:left="120"/>
              <w:spacing w:after="0" w:line="216" w:lineRule="exact"/>
              <w:rPr>
                <w:sz w:val="20"/>
                <w:szCs w:val="20"/>
                <w:color w:val="auto"/>
              </w:rPr>
            </w:pPr>
            <w:r>
              <w:rPr>
                <w:rFonts w:ascii="Times New Roman" w:cs="Times New Roman" w:eastAsia="Times New Roman" w:hAnsi="Times New Roman"/>
                <w:sz w:val="17"/>
                <w:szCs w:val="17"/>
                <w:color w:val="auto"/>
              </w:rPr>
              <w:t xml:space="preserve">Cost of real estate revenue </w:t>
            </w:r>
            <w:r>
              <w:rPr>
                <w:rFonts w:ascii="Times New Roman" w:cs="Times New Roman" w:eastAsia="Times New Roman" w:hAnsi="Times New Roman"/>
                <w:sz w:val="25"/>
                <w:szCs w:val="25"/>
                <w:color w:val="auto"/>
                <w:vertAlign w:val="superscript"/>
              </w:rPr>
              <w:t>(a)</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tcPr>
          <w:p>
            <w:pPr>
              <w:ind w:left="120"/>
              <w:spacing w:after="0" w:line="216" w:lineRule="exact"/>
              <w:rPr>
                <w:sz w:val="20"/>
                <w:szCs w:val="20"/>
                <w:color w:val="auto"/>
              </w:rPr>
            </w:pPr>
            <w:r>
              <w:rPr>
                <w:rFonts w:ascii="Times New Roman" w:cs="Times New Roman" w:eastAsia="Times New Roman" w:hAnsi="Times New Roman"/>
                <w:sz w:val="17"/>
                <w:szCs w:val="17"/>
                <w:color w:val="auto"/>
              </w:rPr>
              <w:t xml:space="preserve">Other operating expenses </w:t>
            </w:r>
            <w:r>
              <w:rPr>
                <w:rFonts w:ascii="Times New Roman" w:cs="Times New Roman" w:eastAsia="Times New Roman" w:hAnsi="Times New Roman"/>
                <w:sz w:val="25"/>
                <w:szCs w:val="25"/>
                <w:color w:val="auto"/>
                <w:vertAlign w:val="superscript"/>
              </w:rPr>
              <w:t>(a)</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6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expenses</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income</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gridSpan w:val="2"/>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420" w:type="dxa"/>
            <w:vAlign w:val="bottom"/>
            <w:gridSpan w:val="2"/>
          </w:tcPr>
          <w:p>
            <w:pPr>
              <w:jc w:val="center"/>
              <w:ind w:right="29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Investment income, net</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6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 other expense, net</w:t>
            </w:r>
          </w:p>
        </w:tc>
        <w:tc>
          <w:tcPr>
            <w:tcW w:w="6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6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w:t>
            </w:r>
          </w:p>
        </w:tc>
        <w:tc>
          <w:tcPr>
            <w:tcW w:w="2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w:t>
            </w:r>
          </w:p>
        </w:tc>
        <w:tc>
          <w:tcPr>
            <w:tcW w:w="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42.1</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14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6"/>
          <w:szCs w:val="16"/>
          <w:color w:val="auto"/>
        </w:rPr>
        <w:t>(a)</w:t>
        <w:tab/>
        <w:t>Excluding depreciation, depletion and amortization, shown separately above.</w:t>
      </w:r>
    </w:p>
    <w:p>
      <w:pPr>
        <w:spacing w:after="0" w:line="3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Three months ended September 30, 2026 compared to the three months ended September 30, 2025</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details of our hospitality segment consolidated revenue and gross profit:</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2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3000" w:type="dxa"/>
            <w:vAlign w:val="bottom"/>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0" w:type="dxa"/>
            <w:vAlign w:val="bottom"/>
          </w:tcPr>
          <w:p>
            <w:pPr>
              <w:spacing w:after="0"/>
              <w:rPr>
                <w:sz w:val="1"/>
                <w:szCs w:val="1"/>
                <w:color w:val="auto"/>
              </w:rPr>
            </w:pPr>
          </w:p>
        </w:tc>
      </w:tr>
      <w:tr>
        <w:trPr>
          <w:trHeight w:val="131"/>
        </w:trPr>
        <w:tc>
          <w:tcPr>
            <w:tcW w:w="2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20" w:type="dxa"/>
            <w:vAlign w:val="bottom"/>
            <w:tcBorders>
              <w:top w:val="single" w:sz="8" w:color="auto"/>
            </w:tcBorders>
            <w:vMerge w:val="restart"/>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176"/>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4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vMerge w:val="restart"/>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0" w:type="dxa"/>
            <w:vAlign w:val="bottom"/>
            <w:tcBorders>
              <w:top w:val="single" w:sz="8" w:color="auto"/>
            </w:tcBorders>
            <w:vMerge w:val="restart"/>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ind w:right="216"/>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Profit</w:t>
            </w:r>
          </w:p>
        </w:tc>
        <w:tc>
          <w:tcPr>
            <w:tcW w:w="120" w:type="dxa"/>
            <w:vAlign w:val="bottom"/>
          </w:tcPr>
          <w:p>
            <w:pPr>
              <w:spacing w:after="0"/>
              <w:rPr>
                <w:sz w:val="15"/>
                <w:szCs w:val="15"/>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Margin</w:t>
            </w:r>
          </w:p>
        </w:tc>
        <w:tc>
          <w:tcPr>
            <w:tcW w:w="4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Profit</w:t>
            </w:r>
          </w:p>
        </w:tc>
        <w:tc>
          <w:tcPr>
            <w:tcW w:w="140" w:type="dxa"/>
            <w:vAlign w:val="bottom"/>
          </w:tcPr>
          <w:p>
            <w:pPr>
              <w:spacing w:after="0"/>
              <w:rPr>
                <w:sz w:val="15"/>
                <w:szCs w:val="15"/>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Margin</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ind w:left="500"/>
              <w:spacing w:after="0" w:line="129" w:lineRule="exact"/>
              <w:rPr>
                <w:sz w:val="20"/>
                <w:szCs w:val="20"/>
                <w:color w:val="auto"/>
              </w:rPr>
            </w:pPr>
            <w:r>
              <w:rPr>
                <w:rFonts w:ascii="Times New Roman" w:cs="Times New Roman" w:eastAsia="Times New Roman" w:hAnsi="Times New Roman"/>
                <w:sz w:val="14"/>
                <w:szCs w:val="14"/>
                <w:i w:val="1"/>
                <w:iCs w:val="1"/>
                <w:color w:val="auto"/>
                <w:w w:val="79"/>
              </w:rPr>
              <w:t>In millions</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Clubs </w:t>
            </w:r>
            <w:r>
              <w:rPr>
                <w:rFonts w:ascii="Times New Roman" w:cs="Times New Roman" w:eastAsia="Times New Roman" w:hAnsi="Times New Roman"/>
                <w:sz w:val="25"/>
                <w:szCs w:val="25"/>
                <w:color w:val="auto"/>
                <w:vertAlign w:val="superscript"/>
              </w:rPr>
              <w:t>(a)</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12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43.6 %</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42.7 %</w:t>
            </w:r>
          </w:p>
        </w:tc>
        <w:tc>
          <w:tcPr>
            <w:tcW w:w="0" w:type="dxa"/>
            <w:vAlign w:val="bottom"/>
          </w:tcPr>
          <w:p>
            <w:pPr>
              <w:spacing w:after="0"/>
              <w:rPr>
                <w:sz w:val="1"/>
                <w:szCs w:val="1"/>
                <w:color w:val="auto"/>
              </w:rPr>
            </w:pPr>
          </w:p>
        </w:tc>
      </w:tr>
      <w:tr>
        <w:trPr>
          <w:trHeight w:val="216"/>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Hotels</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1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33.8 %</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30.9 %</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12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17.1 %</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17.1 %</w:t>
            </w:r>
          </w:p>
        </w:tc>
        <w:tc>
          <w:tcPr>
            <w:tcW w:w="0" w:type="dxa"/>
            <w:vAlign w:val="bottom"/>
          </w:tcPr>
          <w:p>
            <w:pPr>
              <w:spacing w:after="0"/>
              <w:rPr>
                <w:sz w:val="1"/>
                <w:szCs w:val="1"/>
                <w:color w:val="auto"/>
              </w:rPr>
            </w:pPr>
          </w:p>
        </w:tc>
      </w:tr>
      <w:tr>
        <w:trPr>
          <w:trHeight w:val="210"/>
        </w:trPr>
        <w:tc>
          <w:tcPr>
            <w:tcW w:w="28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66.0</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24.2</w:t>
            </w:r>
          </w:p>
        </w:tc>
        <w:tc>
          <w:tcPr>
            <w:tcW w:w="112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36.7 %</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60.6</w:t>
            </w:r>
          </w:p>
        </w:tc>
        <w:tc>
          <w:tcPr>
            <w:tcW w:w="14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20.9</w:t>
            </w:r>
          </w:p>
        </w:tc>
        <w:tc>
          <w:tcPr>
            <w:tcW w:w="106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34.5 %</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380" w:hanging="330"/>
        <w:spacing w:after="0"/>
        <w:tabs>
          <w:tab w:leader="none" w:pos="380" w:val="left"/>
        </w:tabs>
        <w:numPr>
          <w:ilvl w:val="0"/>
          <w:numId w:val="38"/>
        </w:numPr>
        <w:rPr>
          <w:rFonts w:ascii="Arial" w:cs="Arial" w:eastAsia="Arial" w:hAnsi="Arial"/>
          <w:sz w:val="16"/>
          <w:szCs w:val="16"/>
          <w:color w:val="auto"/>
        </w:rPr>
      </w:pPr>
      <w:r>
        <w:rPr>
          <w:rFonts w:ascii="Times New Roman" w:cs="Times New Roman" w:eastAsia="Times New Roman" w:hAnsi="Times New Roman"/>
          <w:sz w:val="16"/>
          <w:szCs w:val="16"/>
          <w:color w:val="auto"/>
        </w:rPr>
        <w:t>Includes the Camp Creek Inn due to its proximity and guest access to Watersound Club amenities.</w:t>
      </w:r>
    </w:p>
    <w:p>
      <w:pPr>
        <w:spacing w:after="0" w:line="121" w:lineRule="exact"/>
        <w:rPr>
          <w:sz w:val="20"/>
          <w:szCs w:val="20"/>
          <w:color w:val="auto"/>
        </w:rPr>
      </w:pPr>
    </w:p>
    <w:p>
      <w:pPr>
        <w:ind w:left="60" w:right="199" w:firstLine="324"/>
        <w:spacing w:after="0" w:line="258" w:lineRule="auto"/>
        <w:rPr>
          <w:sz w:val="20"/>
          <w:szCs w:val="20"/>
          <w:color w:val="auto"/>
        </w:rPr>
      </w:pPr>
      <w:r>
        <w:rPr>
          <w:rFonts w:ascii="Times New Roman" w:cs="Times New Roman" w:eastAsia="Times New Roman" w:hAnsi="Times New Roman"/>
          <w:sz w:val="18"/>
          <w:szCs w:val="18"/>
          <w:color w:val="auto"/>
        </w:rPr>
        <w:t>Revenue from our clubs increased $3.2 million, or 13.8%, during the three months ended September 30, 2026, as compared to the same period in 2025. The increase in revenue was due to an increase in membership dues, membership ancillary spend and Camp Creek Inn lodging and ancillary spend. Our clubs gross margin was 43.6% during the three months ended September 30, 2026, compared to 42.7% during the same period in 2025. The increase in gross margin was primarily due to stabilization of the Camp Creek Inn and improvements in management of operating expenses.</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Revenue from our hotel operations increased $2.2 million, or 6.6%, during the three months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30, 2026, as compared to the same period in 2025. The increase was primarily related to an increase in ADR,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occupancy, as well as guest incidental spend. Our hotels gross margin was 33.8% for the three months ended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30, 2026, compared to 30.9% during the same period in 2025. The increase in gross margin was primarily due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stabilization of the properties and improvements in management of operating expenses.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299" w:firstLine="324"/>
        <w:spacing w:after="0" w:line="282" w:lineRule="auto"/>
        <w:rPr>
          <w:sz w:val="20"/>
          <w:szCs w:val="20"/>
          <w:color w:val="auto"/>
        </w:rPr>
      </w:pPr>
      <w:r>
        <w:rPr>
          <w:rFonts w:ascii="Times New Roman" w:cs="Times New Roman" w:eastAsia="Times New Roman" w:hAnsi="Times New Roman"/>
          <w:sz w:val="18"/>
          <w:szCs w:val="18"/>
          <w:color w:val="auto"/>
        </w:rPr>
        <w:t>Revenue and gross margin from other hospitality operations during the three months ended September 30, 2026 and 2025, were comparable.</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Leasing revenue includes marina boat slip and dry storage rentals, as well as leases of other hospitality assets.</w:t>
      </w:r>
    </w:p>
    <w:p>
      <w:pPr>
        <w:spacing w:after="0" w:line="225" w:lineRule="exact"/>
        <w:rPr>
          <w:sz w:val="20"/>
          <w:szCs w:val="20"/>
          <w:color w:val="auto"/>
        </w:rPr>
      </w:pPr>
    </w:p>
    <w:p>
      <w:pPr>
        <w:ind w:left="60" w:right="879" w:firstLine="324"/>
        <w:spacing w:after="0" w:line="282" w:lineRule="auto"/>
        <w:rPr>
          <w:sz w:val="20"/>
          <w:szCs w:val="20"/>
          <w:color w:val="auto"/>
        </w:rPr>
      </w:pPr>
      <w:r>
        <w:rPr>
          <w:rFonts w:ascii="Times New Roman" w:cs="Times New Roman" w:eastAsia="Times New Roman" w:hAnsi="Times New Roman"/>
          <w:sz w:val="18"/>
          <w:szCs w:val="18"/>
          <w:color w:val="auto"/>
        </w:rPr>
        <w:t>Other operating expenses include salaries and benefits, professional fees, repairs and maintenance and other administrative expenses.</w:t>
      </w:r>
    </w:p>
    <w:p>
      <w:pPr>
        <w:spacing w:after="0" w:line="162" w:lineRule="exact"/>
        <w:rPr>
          <w:sz w:val="20"/>
          <w:szCs w:val="20"/>
          <w:color w:val="auto"/>
        </w:rPr>
      </w:pPr>
    </w:p>
    <w:p>
      <w:pPr>
        <w:ind w:left="60" w:right="339"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Interest expense primarily includes interest incurred from our hospitality project financing. The decrease of $0.5 million in interest expense during the three months ended September 30, 2026, as compared to the same period in 2025, was primarily due to repayment of project financing and a decrease in interest rates from the prior period. See Note 8. </w:t>
      </w:r>
      <w:r>
        <w:rPr>
          <w:rFonts w:ascii="Times New Roman" w:cs="Times New Roman" w:eastAsia="Times New Roman" w:hAnsi="Times New Roman"/>
          <w:sz w:val="18"/>
          <w:szCs w:val="18"/>
          <w:i w:val="1"/>
          <w:iCs w:val="1"/>
          <w:color w:val="auto"/>
        </w:rPr>
        <w:t xml:space="preserve">Debt, Net </w:t>
      </w:r>
      <w:r>
        <w:rPr>
          <w:rFonts w:ascii="Times New Roman" w:cs="Times New Roman" w:eastAsia="Times New Roman" w:hAnsi="Times New Roman"/>
          <w:sz w:val="18"/>
          <w:szCs w:val="18"/>
          <w:color w:val="auto"/>
        </w:rPr>
        <w:t>for additional information.</w:t>
      </w:r>
    </w:p>
    <w:p>
      <w:pPr>
        <w:spacing w:after="0" w:line="180" w:lineRule="exact"/>
        <w:rPr>
          <w:sz w:val="20"/>
          <w:szCs w:val="20"/>
          <w:color w:val="auto"/>
        </w:rPr>
      </w:pPr>
    </w:p>
    <w:p>
      <w:pPr>
        <w:ind w:left="60" w:right="139" w:firstLine="324"/>
        <w:spacing w:after="0" w:line="282" w:lineRule="auto"/>
        <w:rPr>
          <w:sz w:val="20"/>
          <w:szCs w:val="20"/>
          <w:color w:val="auto"/>
        </w:rPr>
      </w:pPr>
      <w:r>
        <w:rPr>
          <w:rFonts w:ascii="Times New Roman" w:cs="Times New Roman" w:eastAsia="Times New Roman" w:hAnsi="Times New Roman"/>
          <w:sz w:val="18"/>
          <w:szCs w:val="18"/>
          <w:color w:val="auto"/>
        </w:rPr>
        <w:t>Other (expense) income, net, during the three months ended September 30, 2025, primarily includes a gain on the sale of our N850J aircraft previously used in hospitality operations.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Nine months ended September 30, 2026 compared to the nine months ended September 30, 2025</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details of our hospitality segment consolidated revenue and gross profit:</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40" w:type="dxa"/>
            <w:vAlign w:val="bottom"/>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2980" w:type="dxa"/>
            <w:vAlign w:val="bottom"/>
            <w:gridSpan w:val="8"/>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0" w:type="dxa"/>
            <w:vAlign w:val="bottom"/>
          </w:tcPr>
          <w:p>
            <w:pPr>
              <w:spacing w:after="0"/>
              <w:rPr>
                <w:sz w:val="1"/>
                <w:szCs w:val="1"/>
                <w:color w:val="auto"/>
              </w:rPr>
            </w:pPr>
          </w:p>
        </w:tc>
      </w:tr>
      <w:tr>
        <w:trPr>
          <w:trHeight w:val="131"/>
        </w:trPr>
        <w:tc>
          <w:tcPr>
            <w:tcW w:w="2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156"/>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4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ind w:right="216"/>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156"/>
              <w:spacing w:after="0" w:line="149" w:lineRule="exact"/>
              <w:rPr>
                <w:sz w:val="20"/>
                <w:szCs w:val="20"/>
                <w:color w:val="auto"/>
              </w:rPr>
            </w:pPr>
            <w:r>
              <w:rPr>
                <w:rFonts w:ascii="Times New Roman" w:cs="Times New Roman" w:eastAsia="Times New Roman" w:hAnsi="Times New Roman"/>
                <w:sz w:val="14"/>
                <w:szCs w:val="14"/>
                <w:b w:val="1"/>
                <w:bCs w:val="1"/>
                <w:color w:val="auto"/>
              </w:rPr>
              <w:t>Profit</w:t>
            </w:r>
          </w:p>
        </w:tc>
        <w:tc>
          <w:tcPr>
            <w:tcW w:w="120" w:type="dxa"/>
            <w:vAlign w:val="bottom"/>
          </w:tcPr>
          <w:p>
            <w:pPr>
              <w:spacing w:after="0"/>
              <w:rPr>
                <w:sz w:val="12"/>
                <w:szCs w:val="12"/>
                <w:color w:val="auto"/>
              </w:rPr>
            </w:pPr>
          </w:p>
        </w:tc>
        <w:tc>
          <w:tcPr>
            <w:tcW w:w="1020" w:type="dxa"/>
            <w:vAlign w:val="bottom"/>
            <w:gridSpan w:val="2"/>
          </w:tcPr>
          <w:p>
            <w:pPr>
              <w:jc w:val="center"/>
              <w:ind w:right="408"/>
              <w:spacing w:after="0" w:line="149" w:lineRule="exact"/>
              <w:rPr>
                <w:sz w:val="20"/>
                <w:szCs w:val="20"/>
                <w:color w:val="auto"/>
              </w:rPr>
            </w:pPr>
            <w:r>
              <w:rPr>
                <w:rFonts w:ascii="Times New Roman" w:cs="Times New Roman" w:eastAsia="Times New Roman" w:hAnsi="Times New Roman"/>
                <w:sz w:val="14"/>
                <w:szCs w:val="14"/>
                <w:b w:val="1"/>
                <w:bCs w:val="1"/>
                <w:color w:val="auto"/>
              </w:rPr>
              <w:t>Margin</w:t>
            </w: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ind w:right="216"/>
              <w:spacing w:after="0" w:line="149" w:lineRule="exact"/>
              <w:rPr>
                <w:sz w:val="20"/>
                <w:szCs w:val="20"/>
                <w:color w:val="auto"/>
              </w:rPr>
            </w:pPr>
            <w:r>
              <w:rPr>
                <w:rFonts w:ascii="Times New Roman" w:cs="Times New Roman" w:eastAsia="Times New Roman" w:hAnsi="Times New Roman"/>
                <w:sz w:val="14"/>
                <w:szCs w:val="14"/>
                <w:b w:val="1"/>
                <w:bCs w:val="1"/>
                <w:color w:val="auto"/>
              </w:rPr>
              <w:t>Profit</w:t>
            </w:r>
          </w:p>
        </w:tc>
        <w:tc>
          <w:tcPr>
            <w:tcW w:w="140" w:type="dxa"/>
            <w:vAlign w:val="bottom"/>
          </w:tcPr>
          <w:p>
            <w:pPr>
              <w:spacing w:after="0"/>
              <w:rPr>
                <w:sz w:val="12"/>
                <w:szCs w:val="12"/>
                <w:color w:val="auto"/>
              </w:rPr>
            </w:pPr>
          </w:p>
        </w:tc>
        <w:tc>
          <w:tcPr>
            <w:tcW w:w="9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Margin</w:t>
            </w:r>
          </w:p>
        </w:tc>
        <w:tc>
          <w:tcPr>
            <w:tcW w:w="0" w:type="dxa"/>
            <w:vAlign w:val="bottom"/>
          </w:tcPr>
          <w:p>
            <w:pPr>
              <w:spacing w:after="0"/>
              <w:rPr>
                <w:sz w:val="1"/>
                <w:szCs w:val="1"/>
                <w:color w:val="auto"/>
              </w:rPr>
            </w:pPr>
          </w:p>
        </w:tc>
      </w:tr>
      <w:tr>
        <w:trPr>
          <w:trHeight w:val="25"/>
        </w:trPr>
        <w:tc>
          <w:tcPr>
            <w:tcW w:w="2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w w:val="80"/>
              </w:rPr>
              <w:t>Dollars in</w:t>
            </w:r>
          </w:p>
        </w:tc>
        <w:tc>
          <w:tcPr>
            <w:tcW w:w="840" w:type="dxa"/>
            <w:vAlign w:val="bottom"/>
            <w:tcBorders>
              <w:bottom w:val="single" w:sz="8" w:color="auto"/>
            </w:tcBorders>
            <w:gridSpan w:val="2"/>
          </w:tcPr>
          <w:p>
            <w:pPr>
              <w:spacing w:after="0"/>
              <w:rPr>
                <w:sz w:val="2"/>
                <w:szCs w:val="2"/>
                <w:color w:val="auto"/>
              </w:rPr>
            </w:pPr>
          </w:p>
        </w:tc>
        <w:tc>
          <w:tcPr>
            <w:tcW w:w="140" w:type="dxa"/>
            <w:vAlign w:val="bottom"/>
            <w:vMerge w:val="restart"/>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840" w:type="dxa"/>
            <w:vAlign w:val="bottom"/>
            <w:gridSpan w:val="2"/>
          </w:tcPr>
          <w:p>
            <w:pPr>
              <w:jc w:val="right"/>
              <w:ind w:right="234"/>
              <w:spacing w:after="0" w:line="129" w:lineRule="exact"/>
              <w:rPr>
                <w:sz w:val="20"/>
                <w:szCs w:val="20"/>
                <w:color w:val="auto"/>
              </w:rPr>
            </w:pPr>
            <w:r>
              <w:rPr>
                <w:rFonts w:ascii="Times New Roman" w:cs="Times New Roman" w:eastAsia="Times New Roman" w:hAnsi="Times New Roman"/>
                <w:sz w:val="14"/>
                <w:szCs w:val="14"/>
                <w:i w:val="1"/>
                <w:iCs w:val="1"/>
                <w:color w:val="auto"/>
              </w:rPr>
              <w:t>millions</w:t>
            </w:r>
          </w:p>
        </w:tc>
        <w:tc>
          <w:tcPr>
            <w:tcW w:w="1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Clubs </w:t>
            </w:r>
            <w:r>
              <w:rPr>
                <w:rFonts w:ascii="Times New Roman" w:cs="Times New Roman" w:eastAsia="Times New Roman" w:hAnsi="Times New Roman"/>
                <w:sz w:val="25"/>
                <w:szCs w:val="25"/>
                <w:color w:val="auto"/>
                <w:vertAlign w:val="superscript"/>
              </w:rPr>
              <w:t>(a)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14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43.3 %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41.6 %</w:t>
            </w:r>
          </w:p>
        </w:tc>
        <w:tc>
          <w:tcPr>
            <w:tcW w:w="0" w:type="dxa"/>
            <w:vAlign w:val="bottom"/>
          </w:tcPr>
          <w:p>
            <w:pPr>
              <w:spacing w:after="0"/>
              <w:rPr>
                <w:sz w:val="1"/>
                <w:szCs w:val="1"/>
                <w:color w:val="auto"/>
              </w:rPr>
            </w:pPr>
          </w:p>
        </w:tc>
      </w:tr>
      <w:tr>
        <w:trPr>
          <w:trHeight w:val="216"/>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Hotels</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1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31.0 %</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27.5 %</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14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19.0 %</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14.7 %</w:t>
            </w:r>
          </w:p>
        </w:tc>
        <w:tc>
          <w:tcPr>
            <w:tcW w:w="0" w:type="dxa"/>
            <w:vAlign w:val="bottom"/>
          </w:tcPr>
          <w:p>
            <w:pPr>
              <w:spacing w:after="0"/>
              <w:rPr>
                <w:sz w:val="1"/>
                <w:szCs w:val="1"/>
                <w:color w:val="auto"/>
              </w:rPr>
            </w:pPr>
          </w:p>
        </w:tc>
      </w:tr>
      <w:tr>
        <w:trPr>
          <w:trHeight w:val="209"/>
        </w:trPr>
        <w:tc>
          <w:tcPr>
            <w:tcW w:w="28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184.9</w:t>
            </w:r>
          </w:p>
        </w:tc>
        <w:tc>
          <w:tcPr>
            <w:tcW w:w="2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65.5</w:t>
            </w:r>
          </w:p>
        </w:tc>
        <w:tc>
          <w:tcPr>
            <w:tcW w:w="114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35.4 %</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w:t>
            </w:r>
            <w:r>
              <w:rPr>
                <w:rFonts w:ascii="Times New Roman" w:cs="Times New Roman" w:eastAsia="Times New Roman" w:hAnsi="Times New Roman"/>
                <w:sz w:val="18"/>
                <w:szCs w:val="18"/>
                <w:b w:val="1"/>
                <w:bCs w:val="1"/>
                <w:u w:val="single" w:color="auto"/>
                <w:color w:val="auto"/>
              </w:rPr>
              <w:t>0</w:t>
            </w:r>
          </w:p>
        </w:tc>
        <w:tc>
          <w:tcPr>
            <w:tcW w:w="140" w:type="dxa"/>
            <w:vAlign w:val="bottom"/>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54.7</w:t>
            </w:r>
          </w:p>
        </w:tc>
        <w:tc>
          <w:tcPr>
            <w:tcW w:w="106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32.4 %</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380" w:hanging="330"/>
        <w:spacing w:after="0"/>
        <w:tabs>
          <w:tab w:leader="none" w:pos="380" w:val="left"/>
        </w:tabs>
        <w:numPr>
          <w:ilvl w:val="0"/>
          <w:numId w:val="39"/>
        </w:numPr>
        <w:rPr>
          <w:rFonts w:ascii="Arial" w:cs="Arial" w:eastAsia="Arial" w:hAnsi="Arial"/>
          <w:sz w:val="16"/>
          <w:szCs w:val="16"/>
          <w:color w:val="auto"/>
        </w:rPr>
      </w:pPr>
      <w:r>
        <w:rPr>
          <w:rFonts w:ascii="Times New Roman" w:cs="Times New Roman" w:eastAsia="Times New Roman" w:hAnsi="Times New Roman"/>
          <w:sz w:val="16"/>
          <w:szCs w:val="16"/>
          <w:color w:val="auto"/>
        </w:rPr>
        <w:t>Includes the Camp Creek Inn due to its proximity and guest access to Watersound Club amenities.</w:t>
      </w:r>
    </w:p>
    <w:p>
      <w:pPr>
        <w:spacing w:after="0" w:line="121"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Revenue from our clubs increased $9.9 million, or 14.6%, during the nine months ended September 30, 2026, as compared to the same period in 2025. The increase in revenue was due to an increase in membership dues, membership ancillary spend and Camp Creek Inn lodging and ancillary spend. As of September 30, 2026, Watersound Club had 3,831 members, compared with 3,578 members as of September 30, 2025, a net increase of 253 members. Our clubs gross margin was 43.3% during the nine months ended September 30, 2026, compared to 41.6% during the same period in 2025. The increase in gross margin was primarily due to stabilization of the Camp Creek Inn and improvements in management of operating expenses.</w:t>
      </w:r>
    </w:p>
    <w:p>
      <w:pPr>
        <w:spacing w:after="0" w:line="189" w:lineRule="exact"/>
        <w:rPr>
          <w:sz w:val="20"/>
          <w:szCs w:val="20"/>
          <w:color w:val="auto"/>
        </w:rPr>
      </w:pPr>
    </w:p>
    <w:p>
      <w:pPr>
        <w:ind w:left="60" w:right="59" w:firstLine="324"/>
        <w:spacing w:after="0" w:line="272" w:lineRule="auto"/>
        <w:rPr>
          <w:sz w:val="20"/>
          <w:szCs w:val="20"/>
          <w:color w:val="auto"/>
        </w:rPr>
      </w:pPr>
      <w:r>
        <w:rPr>
          <w:rFonts w:ascii="Times New Roman" w:cs="Times New Roman" w:eastAsia="Times New Roman" w:hAnsi="Times New Roman"/>
          <w:sz w:val="17"/>
          <w:szCs w:val="17"/>
          <w:color w:val="auto"/>
        </w:rPr>
        <w:t>Revenue from our hotel operations increased $5.3 million, or 5.9%, during the nine months ended September 30, 2026, as compared to the same period in 2025. The increase was primarily related to an increase in ADR, occupancy, as well as guest incidental spend. Our hotels gross margin was 31.0% for the nine months ended September 30, 2026, compared to</w:t>
      </w:r>
    </w:p>
    <w:p>
      <w:pPr>
        <w:spacing w:after="0" w:line="2" w:lineRule="exact"/>
        <w:rPr>
          <w:sz w:val="20"/>
          <w:szCs w:val="20"/>
          <w:color w:val="auto"/>
        </w:rPr>
      </w:pPr>
    </w:p>
    <w:p>
      <w:pPr>
        <w:ind w:left="60" w:right="59"/>
        <w:spacing w:after="0" w:line="260" w:lineRule="auto"/>
        <w:rPr>
          <w:sz w:val="20"/>
          <w:szCs w:val="20"/>
          <w:color w:val="auto"/>
        </w:rPr>
      </w:pPr>
      <w:r>
        <w:rPr>
          <w:rFonts w:ascii="Times New Roman" w:cs="Times New Roman" w:eastAsia="Times New Roman" w:hAnsi="Times New Roman"/>
          <w:sz w:val="18"/>
          <w:szCs w:val="18"/>
          <w:color w:val="auto"/>
        </w:rPr>
        <w:t>27.5% during the same period in 2025. The increase in gross margin was primarily due to stabilization of the properties and improvements in management of operating expenses.</w:t>
      </w:r>
    </w:p>
    <w:p>
      <w:pPr>
        <w:spacing w:after="0" w:line="181" w:lineRule="exact"/>
        <w:rPr>
          <w:sz w:val="20"/>
          <w:szCs w:val="20"/>
          <w:color w:val="auto"/>
        </w:rPr>
      </w:pPr>
    </w:p>
    <w:p>
      <w:pPr>
        <w:ind w:left="60" w:right="139" w:firstLine="324"/>
        <w:spacing w:after="0" w:line="282" w:lineRule="auto"/>
        <w:rPr>
          <w:sz w:val="20"/>
          <w:szCs w:val="20"/>
          <w:color w:val="auto"/>
        </w:rPr>
      </w:pPr>
      <w:r>
        <w:rPr>
          <w:rFonts w:ascii="Times New Roman" w:cs="Times New Roman" w:eastAsia="Times New Roman" w:hAnsi="Times New Roman"/>
          <w:sz w:val="18"/>
          <w:szCs w:val="18"/>
          <w:color w:val="auto"/>
        </w:rPr>
        <w:t>As of both September 30, 2026 and 2025, we had 1,053 operational hotel rooms (excluding 245 hotel rooms related to unconsolidated JVs).</w:t>
      </w:r>
    </w:p>
    <w:p>
      <w:pPr>
        <w:spacing w:after="0" w:line="162" w:lineRule="exact"/>
        <w:rPr>
          <w:sz w:val="20"/>
          <w:szCs w:val="20"/>
          <w:color w:val="auto"/>
        </w:rPr>
      </w:pPr>
    </w:p>
    <w:p>
      <w:pPr>
        <w:ind w:left="60" w:right="459" w:firstLine="324"/>
        <w:spacing w:after="0" w:line="257" w:lineRule="auto"/>
        <w:rPr>
          <w:sz w:val="20"/>
          <w:szCs w:val="20"/>
          <w:color w:val="auto"/>
        </w:rPr>
      </w:pPr>
      <w:r>
        <w:rPr>
          <w:rFonts w:ascii="Times New Roman" w:cs="Times New Roman" w:eastAsia="Times New Roman" w:hAnsi="Times New Roman"/>
          <w:sz w:val="18"/>
          <w:szCs w:val="18"/>
          <w:color w:val="auto"/>
        </w:rPr>
        <w:t>Revenue from other hospitality operations increased $0.7 million, or 6.4%, during the nine months ended September 30, 2026, as compared to the same period in 2025, primarily due to increased revenue from our marina and retail operations. Our other hospitality operations gross margin was 19.0% during the nine months ended</w:t>
      </w:r>
    </w:p>
    <w:p>
      <w:pPr>
        <w:spacing w:after="0" w:line="1" w:lineRule="exact"/>
        <w:rPr>
          <w:sz w:val="20"/>
          <w:szCs w:val="20"/>
          <w:color w:val="auto"/>
        </w:rPr>
      </w:pPr>
    </w:p>
    <w:p>
      <w:pPr>
        <w:ind w:left="60" w:right="239"/>
        <w:spacing w:after="0" w:line="260" w:lineRule="auto"/>
        <w:rPr>
          <w:sz w:val="20"/>
          <w:szCs w:val="20"/>
          <w:color w:val="auto"/>
        </w:rPr>
      </w:pPr>
      <w:r>
        <w:rPr>
          <w:rFonts w:ascii="Times New Roman" w:cs="Times New Roman" w:eastAsia="Times New Roman" w:hAnsi="Times New Roman"/>
          <w:sz w:val="18"/>
          <w:szCs w:val="18"/>
          <w:color w:val="auto"/>
        </w:rPr>
        <w:t>September 30, 2026, compared to 14.7% during the same period in 2025. The increase in gross margin was primarily due to improvements in management of operating expenses.</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Leasing revenue includes marina boat slip and dry storage rentals, as well as leases of other hospitality assets.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Real estate revenue during the nine months ended September 30, 2026, includes the sale of two vacation rental properties for $7.1 million, resulting in a gross profit of $4.5 million (or gross margin of 63.4%). Real estate revenue during the nine months ended September 30, 2025, includes the sale of a hospitality property for $1.4 million, resulting in a gross profit of $0.6 million (or gross margin of 42.9%).</w:t>
      </w:r>
    </w:p>
    <w:p>
      <w:pPr>
        <w:spacing w:after="0" w:line="180" w:lineRule="exact"/>
        <w:rPr>
          <w:sz w:val="20"/>
          <w:szCs w:val="20"/>
          <w:color w:val="auto"/>
        </w:rPr>
      </w:pPr>
    </w:p>
    <w:p>
      <w:pPr>
        <w:ind w:left="60" w:right="879" w:firstLine="324"/>
        <w:spacing w:after="0" w:line="282" w:lineRule="auto"/>
        <w:rPr>
          <w:sz w:val="20"/>
          <w:szCs w:val="20"/>
          <w:color w:val="auto"/>
        </w:rPr>
      </w:pPr>
      <w:r>
        <w:rPr>
          <w:rFonts w:ascii="Times New Roman" w:cs="Times New Roman" w:eastAsia="Times New Roman" w:hAnsi="Times New Roman"/>
          <w:sz w:val="18"/>
          <w:szCs w:val="18"/>
          <w:color w:val="auto"/>
        </w:rPr>
        <w:t>Other operating expenses include salaries and benefits, professional fees, repairs and maintenance and other administrative expenses.</w:t>
      </w:r>
    </w:p>
    <w:p>
      <w:pPr>
        <w:spacing w:after="0" w:line="162" w:lineRule="exact"/>
        <w:rPr>
          <w:sz w:val="20"/>
          <w:szCs w:val="20"/>
          <w:color w:val="auto"/>
        </w:rPr>
      </w:pPr>
    </w:p>
    <w:p>
      <w:pPr>
        <w:ind w:left="60" w:right="319" w:firstLine="324"/>
        <w:spacing w:after="0" w:line="266" w:lineRule="auto"/>
        <w:rPr>
          <w:sz w:val="20"/>
          <w:szCs w:val="20"/>
          <w:color w:val="auto"/>
        </w:rPr>
      </w:pPr>
      <w:r>
        <w:rPr>
          <w:rFonts w:ascii="Times New Roman" w:cs="Times New Roman" w:eastAsia="Times New Roman" w:hAnsi="Times New Roman"/>
          <w:sz w:val="18"/>
          <w:szCs w:val="18"/>
          <w:color w:val="auto"/>
        </w:rPr>
        <w:t>The decrease of $0.5 million in depreciation, depletion and amortization expense during the nine months ended September 30, 2026, as compared to the same period in 2025, was primarily due to assets sold or fully depreciated since the prior period, partially offset by new assets placed in service in the current period.</w:t>
      </w:r>
    </w:p>
    <w:p>
      <w:pPr>
        <w:spacing w:after="0" w:line="176" w:lineRule="exact"/>
        <w:rPr>
          <w:sz w:val="20"/>
          <w:szCs w:val="20"/>
          <w:color w:val="auto"/>
        </w:rPr>
      </w:pPr>
    </w:p>
    <w:p>
      <w:pPr>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Interest expense primarily includes interest incurred from our hospitality project financing. The decrease of $1.4 million in interest expense during the nine months ended September 30, 2026, as compared to the same period in 2025, was primarily due to repayment of project financing and a decrease in interest rates from the prior period. See Note 8. </w:t>
      </w:r>
      <w:r>
        <w:rPr>
          <w:rFonts w:ascii="Times New Roman" w:cs="Times New Roman" w:eastAsia="Times New Roman" w:hAnsi="Times New Roman"/>
          <w:sz w:val="18"/>
          <w:szCs w:val="18"/>
          <w:i w:val="1"/>
          <w:iCs w:val="1"/>
          <w:color w:val="auto"/>
        </w:rPr>
        <w:t>Debt, Net</w:t>
      </w:r>
      <w:r>
        <w:rPr>
          <w:rFonts w:ascii="Times New Roman" w:cs="Times New Roman" w:eastAsia="Times New Roman" w:hAnsi="Times New Roman"/>
          <w:sz w:val="18"/>
          <w:szCs w:val="18"/>
          <w:color w:val="auto"/>
        </w:rPr>
        <w:t xml:space="preserve"> for additional information.</w:t>
      </w:r>
    </w:p>
    <w:p>
      <w:pPr>
        <w:spacing w:after="0" w:line="180" w:lineRule="exact"/>
        <w:rPr>
          <w:sz w:val="20"/>
          <w:szCs w:val="20"/>
          <w:color w:val="auto"/>
        </w:rPr>
      </w:pPr>
    </w:p>
    <w:p>
      <w:pPr>
        <w:ind w:left="60" w:right="199" w:firstLine="324"/>
        <w:spacing w:after="0" w:line="282" w:lineRule="auto"/>
        <w:rPr>
          <w:sz w:val="20"/>
          <w:szCs w:val="20"/>
          <w:color w:val="auto"/>
        </w:rPr>
      </w:pPr>
      <w:r>
        <w:rPr>
          <w:rFonts w:ascii="Times New Roman" w:cs="Times New Roman" w:eastAsia="Times New Roman" w:hAnsi="Times New Roman"/>
          <w:sz w:val="18"/>
          <w:szCs w:val="18"/>
          <w:color w:val="auto"/>
        </w:rPr>
        <w:t>Other (expense) income, net, during the nine months ended September 30, 2025, primarily includes a gain on the sale of our N850J aircraft previously used in hospitality operations.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Commercial</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table below sets forth the consolidated results of operations of our commercial segment:</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600" w:type="dxa"/>
            <w:vAlign w:val="bottom"/>
            <w:gridSpan w:val="6"/>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5"/>
                <w:szCs w:val="15"/>
                <w:color w:val="auto"/>
              </w:rPr>
            </w:pPr>
          </w:p>
        </w:tc>
        <w:tc>
          <w:tcPr>
            <w:tcW w:w="226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80" w:type="dxa"/>
            <w:vAlign w:val="bottom"/>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gridSpan w:val="2"/>
          </w:tcPr>
          <w:p>
            <w:pPr>
              <w:jc w:val="right"/>
              <w:ind w:right="182"/>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gridSpan w:val="3"/>
          </w:tcPr>
          <w:p>
            <w:pPr>
              <w:jc w:val="right"/>
              <w:ind w:right="184"/>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3"/>
          </w:tcPr>
          <w:p>
            <w:pPr>
              <w:jc w:val="right"/>
              <w:ind w:right="2"/>
              <w:spacing w:after="0" w:line="129"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32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right w:val="single" w:sz="8" w:color="CCEEFF"/>
            </w:tcBorders>
            <w:shd w:val="clear" w:color="auto" w:fill="CCEEFF"/>
          </w:tcPr>
          <w:p>
            <w:pPr>
              <w:spacing w:after="0"/>
              <w:rPr>
                <w:sz w:val="18"/>
                <w:szCs w:val="18"/>
                <w:color w:val="auto"/>
              </w:rPr>
            </w:pPr>
          </w:p>
        </w:tc>
        <w:tc>
          <w:tcPr>
            <w:tcW w:w="440" w:type="dxa"/>
            <w:vAlign w:val="bottom"/>
            <w:gridSpan w:val="3"/>
            <w:shd w:val="clear" w:color="auto" w:fill="CCEEFF"/>
          </w:tcPr>
          <w:p>
            <w:pPr>
              <w:jc w:val="right"/>
              <w:ind w:right="364"/>
              <w:spacing w:after="0"/>
              <w:rPr>
                <w:sz w:val="20"/>
                <w:szCs w:val="20"/>
                <w:color w:val="auto"/>
              </w:rPr>
            </w:pPr>
            <w:r>
              <w:rPr>
                <w:rFonts w:ascii="Times New Roman" w:cs="Times New Roman" w:eastAsia="Times New Roman" w:hAnsi="Times New Roman"/>
                <w:sz w:val="1"/>
                <w:szCs w:val="1"/>
                <w:color w:val="auto"/>
                <w:w w:val="4294942296"/>
              </w:rPr>
              <w:t>​</w:t>
            </w:r>
          </w:p>
        </w:tc>
        <w:tc>
          <w:tcPr>
            <w:tcW w:w="78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Leasing revenue</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 leasing revenue</w:t>
            </w:r>
          </w:p>
        </w:tc>
        <w:tc>
          <w:tcPr>
            <w:tcW w:w="56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48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44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440" w:type="dxa"/>
            <w:vAlign w:val="bottom"/>
            <w:gridSpan w:val="3"/>
            <w:shd w:val="clear" w:color="auto" w:fill="CCEEFF"/>
          </w:tcPr>
          <w:p>
            <w:pPr>
              <w:jc w:val="right"/>
              <w:ind w:right="84"/>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Multi-family leasing revenue</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Senior living leasing revenue</w:t>
            </w:r>
          </w:p>
        </w:tc>
        <w:tc>
          <w:tcPr>
            <w:tcW w:w="3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Total leasing revenue</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Real estate revenue</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Commercial and forestry real estate revenue</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Timber revenue</w:t>
            </w:r>
          </w:p>
        </w:tc>
        <w:tc>
          <w:tcPr>
            <w:tcW w:w="3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Total real estate revenue</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gridSpan w:val="2"/>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440" w:type="dxa"/>
            <w:vAlign w:val="bottom"/>
            <w:gridSpan w:val="2"/>
          </w:tcPr>
          <w:p>
            <w:pPr>
              <w:jc w:val="right"/>
              <w:ind w:right="32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c>
          <w:tcPr>
            <w:tcW w:w="440" w:type="dxa"/>
            <w:vAlign w:val="bottom"/>
            <w:gridSpan w:val="3"/>
          </w:tcPr>
          <w:p>
            <w:pPr>
              <w:jc w:val="right"/>
              <w:ind w:right="364"/>
              <w:spacing w:after="0"/>
              <w:rPr>
                <w:sz w:val="20"/>
                <w:szCs w:val="20"/>
                <w:color w:val="auto"/>
              </w:rPr>
            </w:pPr>
            <w:r>
              <w:rPr>
                <w:rFonts w:ascii="Times New Roman" w:cs="Times New Roman" w:eastAsia="Times New Roman" w:hAnsi="Times New Roman"/>
                <w:sz w:val="1"/>
                <w:szCs w:val="1"/>
                <w:color w:val="auto"/>
                <w:w w:val="4294942296"/>
              </w:rPr>
              <w:t>​</w:t>
            </w:r>
          </w:p>
        </w:tc>
        <w:tc>
          <w:tcPr>
            <w:tcW w:w="78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ind w:left="100"/>
              <w:spacing w:after="0" w:line="216" w:lineRule="exact"/>
              <w:rPr>
                <w:sz w:val="20"/>
                <w:szCs w:val="20"/>
                <w:color w:val="auto"/>
              </w:rPr>
            </w:pPr>
            <w:r>
              <w:rPr>
                <w:rFonts w:ascii="Times New Roman" w:cs="Times New Roman" w:eastAsia="Times New Roman" w:hAnsi="Times New Roman"/>
                <w:sz w:val="17"/>
                <w:szCs w:val="17"/>
                <w:color w:val="auto"/>
              </w:rPr>
              <w:t xml:space="preserve">Cost of leasing revenue </w:t>
            </w:r>
            <w:r>
              <w:rPr>
                <w:rFonts w:ascii="Times New Roman" w:cs="Times New Roman" w:eastAsia="Times New Roman" w:hAnsi="Times New Roman"/>
                <w:sz w:val="25"/>
                <w:szCs w:val="25"/>
                <w:color w:val="auto"/>
                <w:vertAlign w:val="superscript"/>
              </w:rPr>
              <w:t>(a)</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ind w:left="100"/>
              <w:spacing w:after="0" w:line="216" w:lineRule="exact"/>
              <w:rPr>
                <w:sz w:val="20"/>
                <w:szCs w:val="20"/>
                <w:color w:val="auto"/>
              </w:rPr>
            </w:pPr>
            <w:r>
              <w:rPr>
                <w:rFonts w:ascii="Times New Roman" w:cs="Times New Roman" w:eastAsia="Times New Roman" w:hAnsi="Times New Roman"/>
                <w:sz w:val="17"/>
                <w:szCs w:val="17"/>
                <w:color w:val="auto"/>
              </w:rPr>
              <w:t xml:space="preserve">Cost of real estate revenue </w:t>
            </w:r>
            <w:r>
              <w:rPr>
                <w:rFonts w:ascii="Times New Roman" w:cs="Times New Roman" w:eastAsia="Times New Roman" w:hAnsi="Times New Roman"/>
                <w:sz w:val="25"/>
                <w:szCs w:val="25"/>
                <w:color w:val="auto"/>
                <w:vertAlign w:val="superscript"/>
              </w:rPr>
              <w:t>(a)</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ind w:left="100"/>
              <w:spacing w:after="0" w:line="216" w:lineRule="exact"/>
              <w:rPr>
                <w:sz w:val="20"/>
                <w:szCs w:val="20"/>
                <w:color w:val="auto"/>
              </w:rPr>
            </w:pPr>
            <w:r>
              <w:rPr>
                <w:rFonts w:ascii="Times New Roman" w:cs="Times New Roman" w:eastAsia="Times New Roman" w:hAnsi="Times New Roman"/>
                <w:sz w:val="17"/>
                <w:szCs w:val="17"/>
                <w:color w:val="auto"/>
              </w:rPr>
              <w:t xml:space="preserve">Other operating expenses </w:t>
            </w:r>
            <w:r>
              <w:rPr>
                <w:rFonts w:ascii="Times New Roman" w:cs="Times New Roman" w:eastAsia="Times New Roman" w:hAnsi="Times New Roman"/>
                <w:sz w:val="25"/>
                <w:szCs w:val="25"/>
                <w:color w:val="auto"/>
                <w:vertAlign w:val="superscript"/>
              </w:rPr>
              <w:t>(a)</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3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expenses</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Equity in loss from unconsolidated joint ventures</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Other expense, net</w:t>
            </w:r>
          </w:p>
        </w:tc>
        <w:tc>
          <w:tcPr>
            <w:tcW w:w="3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expense, net</w:t>
            </w:r>
          </w:p>
        </w:tc>
        <w:tc>
          <w:tcPr>
            <w:tcW w:w="3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34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17.6</w:t>
            </w:r>
          </w:p>
        </w:tc>
        <w:tc>
          <w:tcPr>
            <w:tcW w:w="26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20.9</w:t>
            </w:r>
          </w:p>
        </w:tc>
        <w:tc>
          <w:tcPr>
            <w:tcW w:w="160" w:type="dxa"/>
            <w:vAlign w:val="bottom"/>
          </w:tcPr>
          <w:p>
            <w:pPr>
              <w:spacing w:after="0"/>
              <w:rPr>
                <w:sz w:val="18"/>
                <w:szCs w:val="18"/>
                <w:color w:val="auto"/>
              </w:rPr>
            </w:pPr>
          </w:p>
        </w:tc>
        <w:tc>
          <w:tcPr>
            <w:tcW w:w="280" w:type="dxa"/>
            <w:vAlign w:val="bottom"/>
          </w:tcPr>
          <w:p>
            <w:pPr>
              <w:jc w:val="right"/>
              <w:ind w:right="12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24.5</w:t>
            </w:r>
          </w:p>
        </w:tc>
        <w:tc>
          <w:tcPr>
            <w:tcW w:w="240" w:type="dxa"/>
            <w:vAlign w:val="bottom"/>
            <w:gridSpan w:val="2"/>
          </w:tcPr>
          <w:p>
            <w:pPr>
              <w:spacing w:after="0"/>
              <w:rPr>
                <w:sz w:val="18"/>
                <w:szCs w:val="18"/>
                <w:color w:val="auto"/>
              </w:rPr>
            </w:pP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1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6"/>
          <w:szCs w:val="16"/>
          <w:color w:val="auto"/>
        </w:rPr>
        <w:t>(a)</w:t>
        <w:tab/>
        <w:t>Excluding depreciation, depletion and amortization, shown separately above.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Three months ended September 30, 2026 compared to the three months ended September 30, 2025</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details of our commercial segment consolidated revenue and gross profit:</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080" w:type="dxa"/>
            <w:vAlign w:val="bottom"/>
          </w:tcPr>
          <w:p>
            <w:pPr>
              <w:spacing w:after="0"/>
              <w:rPr>
                <w:sz w:val="15"/>
                <w:szCs w:val="15"/>
                <w:color w:val="auto"/>
              </w:rPr>
            </w:pPr>
          </w:p>
        </w:tc>
        <w:tc>
          <w:tcPr>
            <w:tcW w:w="2920" w:type="dxa"/>
            <w:vAlign w:val="bottom"/>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2900" w:type="dxa"/>
            <w:vAlign w:val="bottom"/>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0" w:type="dxa"/>
            <w:vAlign w:val="bottom"/>
          </w:tcPr>
          <w:p>
            <w:pPr>
              <w:spacing w:after="0"/>
              <w:rPr>
                <w:sz w:val="1"/>
                <w:szCs w:val="1"/>
                <w:color w:val="auto"/>
              </w:rPr>
            </w:pPr>
          </w:p>
        </w:tc>
      </w:tr>
      <w:tr>
        <w:trPr>
          <w:trHeight w:val="131"/>
        </w:trPr>
        <w:tc>
          <w:tcPr>
            <w:tcW w:w="30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vMerge w:val="restart"/>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Borders>
              <w:top w:val="single" w:sz="8" w:color="auto"/>
            </w:tcBorders>
            <w:vMerge w:val="restart"/>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134"/>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3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w w:val="97"/>
              </w:rPr>
              <w:t>Revenue</w:t>
            </w:r>
          </w:p>
        </w:tc>
        <w:tc>
          <w:tcPr>
            <w:tcW w:w="140" w:type="dxa"/>
            <w:vAlign w:val="bottom"/>
            <w:tcBorders>
              <w:top w:val="single" w:sz="8" w:color="auto"/>
            </w:tcBorders>
            <w:vMerge w:val="restart"/>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134"/>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0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Profit</w:t>
            </w:r>
          </w:p>
        </w:tc>
        <w:tc>
          <w:tcPr>
            <w:tcW w:w="14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Margin</w:t>
            </w:r>
          </w:p>
        </w:tc>
        <w:tc>
          <w:tcPr>
            <w:tcW w:w="3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Profit</w:t>
            </w:r>
          </w:p>
        </w:tc>
        <w:tc>
          <w:tcPr>
            <w:tcW w:w="14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Margin</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3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Leasing</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 leasing</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72.2 %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1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71.1 %</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Multi-family leasing</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1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48.3 %</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12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50.8 %</w:t>
            </w:r>
          </w:p>
        </w:tc>
        <w:tc>
          <w:tcPr>
            <w:tcW w:w="0" w:type="dxa"/>
            <w:vAlign w:val="bottom"/>
          </w:tcPr>
          <w:p>
            <w:pPr>
              <w:spacing w:after="0"/>
              <w:rPr>
                <w:sz w:val="1"/>
                <w:szCs w:val="1"/>
                <w:color w:val="auto"/>
              </w:rPr>
            </w:pPr>
          </w:p>
        </w:tc>
      </w:tr>
      <w:tr>
        <w:trPr>
          <w:trHeight w:val="216"/>
        </w:trPr>
        <w:tc>
          <w:tcPr>
            <w:tcW w:w="3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Senior living leasing</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1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30.0 %</w:t>
            </w:r>
          </w:p>
        </w:tc>
        <w:tc>
          <w:tcPr>
            <w:tcW w:w="0" w:type="dxa"/>
            <w:vAlign w:val="bottom"/>
          </w:tcPr>
          <w:p>
            <w:pPr>
              <w:spacing w:after="0"/>
              <w:rPr>
                <w:sz w:val="1"/>
                <w:szCs w:val="1"/>
                <w:color w:val="auto"/>
              </w:rPr>
            </w:pPr>
          </w:p>
        </w:tc>
      </w:tr>
      <w:tr>
        <w:trPr>
          <w:trHeight w:val="210"/>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leasing</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140" w:type="dxa"/>
            <w:vAlign w:val="bottom"/>
            <w:tcBorders>
              <w:top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61.5 %</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120" w:type="dxa"/>
            <w:vAlign w:val="bottom"/>
            <w:tcBorders>
              <w:top w:val="single" w:sz="8" w:color="CCEEFF"/>
            </w:tcBorders>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58.1 %</w:t>
            </w:r>
          </w:p>
        </w:tc>
        <w:tc>
          <w:tcPr>
            <w:tcW w:w="0" w:type="dxa"/>
            <w:vAlign w:val="bottom"/>
          </w:tcPr>
          <w:p>
            <w:pPr>
              <w:spacing w:after="0"/>
              <w:rPr>
                <w:sz w:val="1"/>
                <w:szCs w:val="1"/>
                <w:color w:val="auto"/>
              </w:rPr>
            </w:pPr>
          </w:p>
        </w:tc>
      </w:tr>
      <w:tr>
        <w:trPr>
          <w:trHeight w:val="209"/>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and forestry real estate</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1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78.2 %</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12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49.0 %</w:t>
            </w:r>
          </w:p>
        </w:tc>
        <w:tc>
          <w:tcPr>
            <w:tcW w:w="0" w:type="dxa"/>
            <w:vAlign w:val="bottom"/>
          </w:tcPr>
          <w:p>
            <w:pPr>
              <w:spacing w:after="0"/>
              <w:rPr>
                <w:sz w:val="1"/>
                <w:szCs w:val="1"/>
                <w:color w:val="auto"/>
              </w:rPr>
            </w:pPr>
          </w:p>
        </w:tc>
      </w:tr>
      <w:tr>
        <w:trPr>
          <w:trHeight w:val="216"/>
        </w:trPr>
        <w:tc>
          <w:tcPr>
            <w:tcW w:w="30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Timber</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140" w:type="dxa"/>
            <w:vAlign w:val="bottom"/>
            <w:tcBorders>
              <w:bottom w:val="single" w:sz="8" w:color="CCEEFF"/>
            </w:tcBorders>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77.8 %</w:t>
            </w: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120" w:type="dxa"/>
            <w:vAlign w:val="bottom"/>
            <w:tcBorders>
              <w:bottom w:val="single" w:sz="8" w:color="CCEEFF"/>
            </w:tcBorders>
            <w:gridSpan w:val="3"/>
          </w:tcPr>
          <w:p>
            <w:pPr>
              <w:ind w:left="440"/>
              <w:spacing w:after="0"/>
              <w:rPr>
                <w:sz w:val="20"/>
                <w:szCs w:val="20"/>
                <w:color w:val="auto"/>
              </w:rPr>
            </w:pPr>
            <w:r>
              <w:rPr>
                <w:rFonts w:ascii="Times New Roman" w:cs="Times New Roman" w:eastAsia="Times New Roman" w:hAnsi="Times New Roman"/>
                <w:sz w:val="18"/>
                <w:szCs w:val="18"/>
                <w:color w:val="auto"/>
              </w:rPr>
              <w:t>77.8 %</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real estate</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1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78.2 %</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12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49.6 %</w:t>
            </w:r>
          </w:p>
        </w:tc>
        <w:tc>
          <w:tcPr>
            <w:tcW w:w="0" w:type="dxa"/>
            <w:vAlign w:val="bottom"/>
          </w:tcPr>
          <w:p>
            <w:pPr>
              <w:spacing w:after="0"/>
              <w:rPr>
                <w:sz w:val="1"/>
                <w:szCs w:val="1"/>
                <w:color w:val="auto"/>
              </w:rPr>
            </w:pPr>
          </w:p>
        </w:tc>
      </w:tr>
      <w:tr>
        <w:trPr>
          <w:trHeight w:val="209"/>
        </w:trPr>
        <w:tc>
          <w:tcPr>
            <w:tcW w:w="30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36.4</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26.3</w:t>
            </w: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72.3 %</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60.5</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31.3</w:t>
            </w:r>
          </w:p>
        </w:tc>
        <w:tc>
          <w:tcPr>
            <w:tcW w:w="1120" w:type="dxa"/>
            <w:vAlign w:val="bottom"/>
            <w:gridSpan w:val="3"/>
          </w:tcPr>
          <w:p>
            <w:pPr>
              <w:ind w:left="440"/>
              <w:spacing w:after="0"/>
              <w:rPr>
                <w:sz w:val="20"/>
                <w:szCs w:val="20"/>
                <w:color w:val="auto"/>
              </w:rPr>
            </w:pPr>
            <w:r>
              <w:rPr>
                <w:rFonts w:ascii="Times New Roman" w:cs="Times New Roman" w:eastAsia="Times New Roman" w:hAnsi="Times New Roman"/>
                <w:sz w:val="18"/>
                <w:szCs w:val="18"/>
                <w:b w:val="1"/>
                <w:bCs w:val="1"/>
                <w:color w:val="auto"/>
              </w:rPr>
              <w:t>51.7 %</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discussion sets forth details of the consolidated results of operations of our commercial segment.</w:t>
      </w:r>
    </w:p>
    <w:p>
      <w:pPr>
        <w:spacing w:after="0" w:line="225"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Total leasing revenue decreased $2.5 million, or 16.1%, during the three months ended September 30, 2026, as compared to the same period in 2025. The decrease was primarily due to the sale of Watercrest JV’s senior living community property in September 2025, which ceased operating activities, the sale of townhomes in the Watersound Villas on the Fairway community since the end of the prior period and the sale of other operating properties in the current period, partially offset by additional commercial property leases. Total leasing gross margin during the three months ended September 30, 2026 was 61.5%, as compared to 58.1% during the same period in 2025. The increase in leasing gross margin was primarily due to additional leases in the current period and the sale of the Watercrest JV’s senior living community property, which operated with lower margins.</w:t>
      </w:r>
    </w:p>
    <w:p>
      <w:pPr>
        <w:spacing w:after="0" w:line="192"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 xml:space="preserve">Commercial and forestry real estate revenue can vary depending on the proximity to developed areas and the mix and characteristics of commercial and forestry real estate sold in each period, with varying compositions of retail, office, industrial, timber and other commercial uses. During the three months ended September 30, 2026, we had three commercial and forestry real estate sales of approximately 15 acres for $22.5 million, resulting in a gross margin of approximately 78.2%. The three months ended September 30, 2026, include the sale of the WindMark Beach Town Center for $10.3 million, resulting in a gross margin of approximately 62.5%. During the three months ended September 30, 2025, we had four commercial and forestry real estate sales of approximately 12 acres for $44.1 million, resulting in a gross margin of approximately 49.0%. The three months ended September 30, 2025, included the sale of the Watercrest JV’s senior living community property for $41.0 million, resulting in a gross margin of approximately 47.2%. See Note 4. </w:t>
      </w:r>
      <w:r>
        <w:rPr>
          <w:rFonts w:ascii="Times New Roman" w:cs="Times New Roman" w:eastAsia="Times New Roman" w:hAnsi="Times New Roman"/>
          <w:sz w:val="18"/>
          <w:szCs w:val="18"/>
          <w:i w:val="1"/>
          <w:iCs w:val="1"/>
          <w:color w:val="auto"/>
        </w:rPr>
        <w:t>Joint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Ventures </w:t>
      </w:r>
      <w:r>
        <w:rPr>
          <w:rFonts w:ascii="Times New Roman" w:cs="Times New Roman" w:eastAsia="Times New Roman" w:hAnsi="Times New Roman"/>
          <w:sz w:val="18"/>
          <w:szCs w:val="18"/>
          <w:color w:val="auto"/>
        </w:rPr>
        <w:t>for additional information.</w:t>
      </w:r>
    </w:p>
    <w:p>
      <w:pPr>
        <w:spacing w:after="0" w:line="194" w:lineRule="exact"/>
        <w:rPr>
          <w:sz w:val="20"/>
          <w:szCs w:val="20"/>
          <w:color w:val="auto"/>
        </w:rPr>
      </w:pPr>
    </w:p>
    <w:p>
      <w:pPr>
        <w:ind w:left="60" w:right="299" w:firstLine="324"/>
        <w:spacing w:after="0" w:line="261" w:lineRule="auto"/>
        <w:rPr>
          <w:sz w:val="20"/>
          <w:szCs w:val="20"/>
          <w:color w:val="auto"/>
        </w:rPr>
      </w:pPr>
      <w:r>
        <w:rPr>
          <w:rFonts w:ascii="Times New Roman" w:cs="Times New Roman" w:eastAsia="Times New Roman" w:hAnsi="Times New Roman"/>
          <w:sz w:val="18"/>
          <w:szCs w:val="18"/>
          <w:color w:val="auto"/>
        </w:rPr>
        <w:t>Timber revenue and gross margin during the three months ended September 30, 2026 and 2025 were comparable. There were 61,000 tons of wood products sold at an average price per ton of $13.81 during the three months ended September 30, 2026, as compared to 56,000 tons of wood products sold at an average price per ton of $15.35, during the same period in 2025.</w:t>
      </w:r>
    </w:p>
    <w:p>
      <w:pPr>
        <w:spacing w:after="0" w:line="180"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Other operating expenses include salaries and benefits, property taxes, CDD assessments, professional fees, marketing, project administration and other administrative expenses.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259" w:firstLine="324"/>
        <w:spacing w:after="0" w:line="289" w:lineRule="auto"/>
        <w:rPr>
          <w:sz w:val="20"/>
          <w:szCs w:val="20"/>
          <w:color w:val="auto"/>
        </w:rPr>
      </w:pPr>
      <w:r>
        <w:rPr>
          <w:rFonts w:ascii="Times New Roman" w:cs="Times New Roman" w:eastAsia="Times New Roman" w:hAnsi="Times New Roman"/>
          <w:sz w:val="17"/>
          <w:szCs w:val="17"/>
          <w:color w:val="auto"/>
        </w:rPr>
        <w:t xml:space="preserve">Interest expense primarily includes interest incurred from our commercial project financing and CDD debt. The decrease of $0.5 million in interest expense during the three months ended September 30, 2026, as compared to the same period in 2025, was primarily due to repayment of project financing. See Note 8. </w:t>
      </w:r>
      <w:r>
        <w:rPr>
          <w:rFonts w:ascii="Times New Roman" w:cs="Times New Roman" w:eastAsia="Times New Roman" w:hAnsi="Times New Roman"/>
          <w:sz w:val="17"/>
          <w:szCs w:val="17"/>
          <w:i w:val="1"/>
          <w:iCs w:val="1"/>
          <w:color w:val="auto"/>
        </w:rPr>
        <w:t>Debt, Net</w:t>
      </w:r>
      <w:r>
        <w:rPr>
          <w:rFonts w:ascii="Times New Roman" w:cs="Times New Roman" w:eastAsia="Times New Roman" w:hAnsi="Times New Roman"/>
          <w:sz w:val="17"/>
          <w:szCs w:val="17"/>
          <w:color w:val="auto"/>
        </w:rPr>
        <w:t xml:space="preserve"> for additional information.</w:t>
      </w:r>
    </w:p>
    <w:p>
      <w:pPr>
        <w:spacing w:after="0" w:line="158" w:lineRule="exact"/>
        <w:rPr>
          <w:sz w:val="20"/>
          <w:szCs w:val="20"/>
          <w:color w:val="auto"/>
        </w:rPr>
      </w:pPr>
    </w:p>
    <w:p>
      <w:pPr>
        <w:ind w:left="60" w:right="139" w:firstLine="324"/>
        <w:spacing w:after="0" w:line="281" w:lineRule="auto"/>
        <w:rPr>
          <w:sz w:val="20"/>
          <w:szCs w:val="20"/>
          <w:color w:val="auto"/>
        </w:rPr>
      </w:pPr>
      <w:r>
        <w:rPr>
          <w:rFonts w:ascii="Times New Roman" w:cs="Times New Roman" w:eastAsia="Times New Roman" w:hAnsi="Times New Roman"/>
          <w:sz w:val="17"/>
          <w:szCs w:val="17"/>
          <w:color w:val="auto"/>
        </w:rPr>
        <w:t xml:space="preserve">Equity in loss from unconsolidated joint ventures includes our proportionate share of earnings or losses of unconsolidated JVs accounted for using the equity method. Equity in loss from unconsolidated joint ventures during the three months ended September 30, 2026 and 2025 includes $0.9 million and $1.1 million, respectively, for the Watersound Fountains Independent Living JV. The community is under lease-up. See Note 4. </w:t>
      </w:r>
      <w:r>
        <w:rPr>
          <w:rFonts w:ascii="Times New Roman" w:cs="Times New Roman" w:eastAsia="Times New Roman" w:hAnsi="Times New Roman"/>
          <w:sz w:val="17"/>
          <w:szCs w:val="17"/>
          <w:i w:val="1"/>
          <w:iCs w:val="1"/>
          <w:color w:val="auto"/>
        </w:rPr>
        <w:t>Joint Ventures</w:t>
      </w:r>
      <w:r>
        <w:rPr>
          <w:rFonts w:ascii="Times New Roman" w:cs="Times New Roman" w:eastAsia="Times New Roman" w:hAnsi="Times New Roman"/>
          <w:sz w:val="17"/>
          <w:szCs w:val="17"/>
          <w:color w:val="auto"/>
        </w:rPr>
        <w:t xml:space="preserve"> for additional information.</w:t>
      </w:r>
    </w:p>
    <w:p>
      <w:pPr>
        <w:spacing w:after="0" w:line="164" w:lineRule="exact"/>
        <w:rPr>
          <w:sz w:val="20"/>
          <w:szCs w:val="20"/>
          <w:color w:val="auto"/>
        </w:rPr>
      </w:pPr>
    </w:p>
    <w:p>
      <w:pPr>
        <w:jc w:val="both"/>
        <w:ind w:left="60" w:right="479" w:firstLine="324"/>
        <w:spacing w:after="0" w:line="266" w:lineRule="auto"/>
        <w:rPr>
          <w:sz w:val="20"/>
          <w:szCs w:val="20"/>
          <w:color w:val="auto"/>
        </w:rPr>
      </w:pPr>
      <w:r>
        <w:rPr>
          <w:rFonts w:ascii="Times New Roman" w:cs="Times New Roman" w:eastAsia="Times New Roman" w:hAnsi="Times New Roman"/>
          <w:sz w:val="18"/>
          <w:szCs w:val="18"/>
          <w:color w:val="auto"/>
        </w:rPr>
        <w:t xml:space="preserve">Other expense, net primarily includes loss on early extinguishment of debt, fees related to loans, as well as other income and expense items. The three months ended September 30, 2025, include loss on early extinguishment of debt related to the payoff of the Watercrest JV Loan. See Note 8. </w:t>
      </w:r>
      <w:r>
        <w:rPr>
          <w:rFonts w:ascii="Times New Roman" w:cs="Times New Roman" w:eastAsia="Times New Roman" w:hAnsi="Times New Roman"/>
          <w:sz w:val="18"/>
          <w:szCs w:val="18"/>
          <w:i w:val="1"/>
          <w:iCs w:val="1"/>
          <w:color w:val="auto"/>
        </w:rPr>
        <w:t>Debt, Net</w:t>
      </w:r>
      <w:r>
        <w:rPr>
          <w:rFonts w:ascii="Times New Roman" w:cs="Times New Roman" w:eastAsia="Times New Roman" w:hAnsi="Times New Roman"/>
          <w:sz w:val="18"/>
          <w:szCs w:val="18"/>
          <w:color w:val="auto"/>
        </w:rPr>
        <w:t xml:space="preserve"> for additional information.</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Nine months ended September 30, 2026 compared to the nine months ended September 30, 2025</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details of our commercial segment consolidated revenue and gross profit:</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100" w:type="dxa"/>
            <w:vAlign w:val="bottom"/>
          </w:tcPr>
          <w:p>
            <w:pPr>
              <w:spacing w:after="0"/>
              <w:rPr>
                <w:sz w:val="15"/>
                <w:szCs w:val="15"/>
                <w:color w:val="auto"/>
              </w:rPr>
            </w:pPr>
          </w:p>
        </w:tc>
        <w:tc>
          <w:tcPr>
            <w:tcW w:w="2920" w:type="dxa"/>
            <w:vAlign w:val="bottom"/>
            <w:gridSpan w:val="8"/>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2880" w:type="dxa"/>
            <w:vAlign w:val="bottom"/>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0" w:type="dxa"/>
            <w:vAlign w:val="bottom"/>
          </w:tcPr>
          <w:p>
            <w:pPr>
              <w:spacing w:after="0"/>
              <w:rPr>
                <w:sz w:val="1"/>
                <w:szCs w:val="1"/>
                <w:color w:val="auto"/>
              </w:rPr>
            </w:pPr>
          </w:p>
        </w:tc>
      </w:tr>
      <w:tr>
        <w:trPr>
          <w:trHeight w:val="131"/>
        </w:trPr>
        <w:tc>
          <w:tcPr>
            <w:tcW w:w="3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Borders>
              <w:top w:val="single" w:sz="8" w:color="auto"/>
            </w:tcBorders>
            <w:vMerge w:val="restart"/>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134"/>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84"/>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3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0" w:type="dxa"/>
            <w:vAlign w:val="bottom"/>
            <w:tcBorders>
              <w:top w:val="single" w:sz="8" w:color="auto"/>
            </w:tcBorders>
            <w:vMerge w:val="restart"/>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154"/>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Profit</w:t>
            </w:r>
          </w:p>
        </w:tc>
        <w:tc>
          <w:tcPr>
            <w:tcW w:w="140" w:type="dxa"/>
            <w:vAlign w:val="bottom"/>
          </w:tcPr>
          <w:p>
            <w:pPr>
              <w:spacing w:after="0"/>
              <w:rPr>
                <w:sz w:val="15"/>
                <w:szCs w:val="15"/>
                <w:color w:val="auto"/>
              </w:rPr>
            </w:pPr>
          </w:p>
        </w:tc>
        <w:tc>
          <w:tcPr>
            <w:tcW w:w="6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Margin</w:t>
            </w:r>
          </w:p>
        </w:tc>
        <w:tc>
          <w:tcPr>
            <w:tcW w:w="3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Profit</w:t>
            </w:r>
          </w:p>
        </w:tc>
        <w:tc>
          <w:tcPr>
            <w:tcW w:w="12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Margin</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3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20" w:type="dxa"/>
            <w:vAlign w:val="bottom"/>
            <w:gridSpan w:val="4"/>
          </w:tcPr>
          <w:p>
            <w:pPr>
              <w:jc w:val="right"/>
              <w:ind w:right="192"/>
              <w:spacing w:after="0" w:line="129" w:lineRule="exact"/>
              <w:rPr>
                <w:sz w:val="20"/>
                <w:szCs w:val="20"/>
                <w:color w:val="auto"/>
              </w:rPr>
            </w:pPr>
            <w:r>
              <w:rPr>
                <w:rFonts w:ascii="Times New Roman" w:cs="Times New Roman" w:eastAsia="Times New Roman" w:hAnsi="Times New Roman"/>
                <w:sz w:val="14"/>
                <w:szCs w:val="14"/>
                <w:i w:val="1"/>
                <w:iCs w:val="1"/>
                <w:color w:val="auto"/>
              </w:rPr>
              <w:t>Dollars in millions</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Leasing</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 leasing</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72.1 %</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1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67.9 %</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Multi-family leasing</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1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48.8 %</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12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50.0 %</w:t>
            </w:r>
          </w:p>
        </w:tc>
        <w:tc>
          <w:tcPr>
            <w:tcW w:w="0" w:type="dxa"/>
            <w:vAlign w:val="bottom"/>
          </w:tcPr>
          <w:p>
            <w:pPr>
              <w:spacing w:after="0"/>
              <w:rPr>
                <w:sz w:val="1"/>
                <w:szCs w:val="1"/>
                <w:color w:val="auto"/>
              </w:rPr>
            </w:pPr>
          </w:p>
        </w:tc>
      </w:tr>
      <w:tr>
        <w:trPr>
          <w:trHeight w:val="216"/>
        </w:trPr>
        <w:tc>
          <w:tcPr>
            <w:tcW w:w="3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Senior living leasing</w:t>
            </w: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1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33.9 %</w:t>
            </w:r>
          </w:p>
        </w:tc>
        <w:tc>
          <w:tcPr>
            <w:tcW w:w="0" w:type="dxa"/>
            <w:vAlign w:val="bottom"/>
          </w:tcPr>
          <w:p>
            <w:pPr>
              <w:spacing w:after="0"/>
              <w:rPr>
                <w:sz w:val="1"/>
                <w:szCs w:val="1"/>
                <w:color w:val="auto"/>
              </w:rPr>
            </w:pPr>
          </w:p>
        </w:tc>
      </w:tr>
      <w:tr>
        <w:trPr>
          <w:trHeight w:val="210"/>
        </w:trPr>
        <w:tc>
          <w:tcPr>
            <w:tcW w:w="3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leasing</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160" w:type="dxa"/>
            <w:vAlign w:val="bottom"/>
            <w:tcBorders>
              <w:top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62.2 %</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120" w:type="dxa"/>
            <w:vAlign w:val="bottom"/>
            <w:tcBorders>
              <w:top w:val="single" w:sz="8" w:color="CCEEFF"/>
            </w:tcBorders>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56.4 %</w:t>
            </w:r>
          </w:p>
        </w:tc>
        <w:tc>
          <w:tcPr>
            <w:tcW w:w="0" w:type="dxa"/>
            <w:vAlign w:val="bottom"/>
          </w:tcPr>
          <w:p>
            <w:pPr>
              <w:spacing w:after="0"/>
              <w:rPr>
                <w:sz w:val="1"/>
                <w:szCs w:val="1"/>
                <w:color w:val="auto"/>
              </w:rPr>
            </w:pPr>
          </w:p>
        </w:tc>
      </w:tr>
      <w:tr>
        <w:trPr>
          <w:trHeight w:val="210"/>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and forestry real estate</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1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76.0 %</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12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52.2 %</w:t>
            </w:r>
          </w:p>
        </w:tc>
        <w:tc>
          <w:tcPr>
            <w:tcW w:w="0" w:type="dxa"/>
            <w:vAlign w:val="bottom"/>
          </w:tcPr>
          <w:p>
            <w:pPr>
              <w:spacing w:after="0"/>
              <w:rPr>
                <w:sz w:val="1"/>
                <w:szCs w:val="1"/>
                <w:color w:val="auto"/>
              </w:rPr>
            </w:pPr>
          </w:p>
        </w:tc>
      </w:tr>
      <w:tr>
        <w:trPr>
          <w:trHeight w:val="216"/>
        </w:trPr>
        <w:tc>
          <w:tcPr>
            <w:tcW w:w="31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Timber</w:t>
            </w: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160" w:type="dxa"/>
            <w:vAlign w:val="bottom"/>
            <w:tcBorders>
              <w:bottom w:val="single" w:sz="8" w:color="CCEEFF"/>
            </w:tcBorders>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79.3 %</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120" w:type="dxa"/>
            <w:vAlign w:val="bottom"/>
            <w:tcBorders>
              <w:bottom w:val="single" w:sz="8" w:color="CCEEFF"/>
            </w:tcBorders>
            <w:gridSpan w:val="3"/>
          </w:tcPr>
          <w:p>
            <w:pPr>
              <w:ind w:left="440"/>
              <w:spacing w:after="0"/>
              <w:rPr>
                <w:sz w:val="20"/>
                <w:szCs w:val="20"/>
                <w:color w:val="auto"/>
              </w:rPr>
            </w:pPr>
            <w:r>
              <w:rPr>
                <w:rFonts w:ascii="Times New Roman" w:cs="Times New Roman" w:eastAsia="Times New Roman" w:hAnsi="Times New Roman"/>
                <w:sz w:val="18"/>
                <w:szCs w:val="18"/>
                <w:color w:val="auto"/>
              </w:rPr>
              <w:t>82.4 %</w:t>
            </w: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real estate</w:t>
            </w: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1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76.3 %</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12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54.2 %</w:t>
            </w:r>
          </w:p>
        </w:tc>
        <w:tc>
          <w:tcPr>
            <w:tcW w:w="0" w:type="dxa"/>
            <w:vAlign w:val="bottom"/>
          </w:tcPr>
          <w:p>
            <w:pPr>
              <w:spacing w:after="0"/>
              <w:rPr>
                <w:sz w:val="1"/>
                <w:szCs w:val="1"/>
                <w:color w:val="auto"/>
              </w:rPr>
            </w:pPr>
          </w:p>
        </w:tc>
      </w:tr>
      <w:tr>
        <w:trPr>
          <w:trHeight w:val="210"/>
        </w:trPr>
        <w:tc>
          <w:tcPr>
            <w:tcW w:w="31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75.5</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51.9</w:t>
            </w:r>
          </w:p>
        </w:tc>
        <w:tc>
          <w:tcPr>
            <w:tcW w:w="11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68.7 %</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98.5</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54.4</w:t>
            </w:r>
          </w:p>
        </w:tc>
        <w:tc>
          <w:tcPr>
            <w:tcW w:w="1120" w:type="dxa"/>
            <w:vAlign w:val="bottom"/>
            <w:gridSpan w:val="3"/>
          </w:tcPr>
          <w:p>
            <w:pPr>
              <w:ind w:left="440"/>
              <w:spacing w:after="0"/>
              <w:rPr>
                <w:sz w:val="20"/>
                <w:szCs w:val="20"/>
                <w:color w:val="auto"/>
              </w:rPr>
            </w:pPr>
            <w:r>
              <w:rPr>
                <w:rFonts w:ascii="Times New Roman" w:cs="Times New Roman" w:eastAsia="Times New Roman" w:hAnsi="Times New Roman"/>
                <w:sz w:val="18"/>
                <w:szCs w:val="18"/>
                <w:b w:val="1"/>
                <w:bCs w:val="1"/>
                <w:color w:val="auto"/>
              </w:rPr>
              <w:t>55.2 %</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discussion sets forth details of the consolidated results of operations of our commercial segment.</w:t>
      </w:r>
    </w:p>
    <w:p>
      <w:pPr>
        <w:spacing w:after="0" w:line="225"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Total leasing revenue decreased $5.4 million, or 11.8%, during the nine months ended September 30, 2026, as compared to the same period in 2025. The decrease was primarily due to the sale of Watercrest JV’s senior living community property in September 2025, which ceased operating activities, the sale of townhomes in the Watersound Villas on the Fairway community since the end of the prior period and the sale of other operating properties in the current period, partially offset by additional commercial property leases. Total leasing gross margin during the nine months ended September 30, 2026 was 62.2%, as compared to 56.4% during the same period in 2025. The increase in leasing gross margin was primarily due to additional leases in the current period and the sale of the Watercrest JV’s senior living community property, which operated with lower margins. As of September 30, 2026, we had net leasable square feet of approximately 1,148,000, of which approximately 1,114,000 square feet were under lease. As of September 30, 2025, we had net leasable square feet of approximately 1,173,000, of which approximately 1,133,000 square feet were under lease. As of September 30, 2026 and 2025, our consolidated entities had 1,033 and 1,110 multi-family and senior living units, respectively, of which 972 were leased as of September 30, 2026, compared to 1,011 leased as of September 30, 2025 (excludes 148 senior living units for the unconsolidated Watersound Fountains Independent Living JV). The net leasable square feet and number of multi-family and senior living units decreased during the nine months ended September 30, 2026, due to assets sold since the end of the prior period.</w:t>
      </w:r>
    </w:p>
    <w:p>
      <w:pPr>
        <w:spacing w:after="0" w:line="196"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Commercial and forestry real estate revenue can vary depending on the proximity to developed areas and the mix and characteristics of commercial and forestry real estate sold in each period, with varying compositions of retail, office, industrial, timber and other commercial uses. During the nine months ended September 30, 2026, we had eleven</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 xml:space="preserve">commercial and forestry real estate sales of approximately 154 acres for $32.1 million, resulting in a gross margin of approximately 76.0%. The nine months ended September 30, 2026, include the sale of the WindMark Beach Town Center for $10.3 million, resulting in a gross margin of approximately 62.5%. During the nine months ended September 30, 2025, we had ten commercial and forestry real estate sales of approximately 155 acres for $49.2 million, resulting in a gross margin of approximately 52.2%. The nine months ended September 30, 2025, included the sale of the Watercrest JV’s senior living community property for $41.0 million, resulting in a gross margin of approximately 47.2%. See Note 4. </w:t>
      </w:r>
      <w:r>
        <w:rPr>
          <w:rFonts w:ascii="Times New Roman" w:cs="Times New Roman" w:eastAsia="Times New Roman" w:hAnsi="Times New Roman"/>
          <w:sz w:val="18"/>
          <w:szCs w:val="18"/>
          <w:i w:val="1"/>
          <w:iCs w:val="1"/>
          <w:color w:val="auto"/>
        </w:rPr>
        <w:t>Joint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Ventures </w:t>
      </w:r>
      <w:r>
        <w:rPr>
          <w:rFonts w:ascii="Times New Roman" w:cs="Times New Roman" w:eastAsia="Times New Roman" w:hAnsi="Times New Roman"/>
          <w:sz w:val="18"/>
          <w:szCs w:val="18"/>
          <w:color w:val="auto"/>
        </w:rPr>
        <w:t>for additional information.</w:t>
      </w:r>
    </w:p>
    <w:p>
      <w:pPr>
        <w:spacing w:after="0" w:line="189"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Timber revenue decreased $0.5 million, or 14.7%, to $2.9 million during the nine months ended September 30, 2026, as compared to $3.4 million during the same period in 2025. There were 183,000 tons of wood products sold at an average price per ton of $14.99 during the nine months ended September 30, 2026, as compared to 191,000 tons of wood products sold at an average price per ton of $16.45, during the same period in 2025. Timber gross margin was 79.3% during the nine months ended September 30, 2026, as compared to 82.4% during the same period in 2025. The decrease in revenue and gross margin was primarily due to lower sales prices, product mix and a decrease in tons of wood products sold in the current period.</w:t>
      </w:r>
    </w:p>
    <w:p>
      <w:pPr>
        <w:spacing w:after="0" w:line="189"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Other operating expenses include salaries and benefits, property taxes, CDD assessments, professional fees, marketing, project administration and other administrative expenses.</w:t>
      </w:r>
    </w:p>
    <w:p>
      <w:pPr>
        <w:spacing w:after="0" w:line="162" w:lineRule="exact"/>
        <w:rPr>
          <w:sz w:val="20"/>
          <w:szCs w:val="20"/>
          <w:color w:val="auto"/>
        </w:rPr>
      </w:pPr>
    </w:p>
    <w:p>
      <w:pPr>
        <w:jc w:val="both"/>
        <w:ind w:left="60" w:right="559" w:firstLine="324"/>
        <w:spacing w:after="0" w:line="266" w:lineRule="auto"/>
        <w:rPr>
          <w:sz w:val="20"/>
          <w:szCs w:val="20"/>
          <w:color w:val="auto"/>
        </w:rPr>
      </w:pPr>
      <w:r>
        <w:rPr>
          <w:rFonts w:ascii="Times New Roman" w:cs="Times New Roman" w:eastAsia="Times New Roman" w:hAnsi="Times New Roman"/>
          <w:sz w:val="18"/>
          <w:szCs w:val="18"/>
          <w:color w:val="auto"/>
        </w:rPr>
        <w:t>The decrease of $1.3 million in depreciation, depletion and amortization expense during the nine months ended September 30, 2026, as compared to the same period in 2025, was primarily due to assets sold since the prior period, partially offset by new assets placed in service in the current period.</w:t>
      </w:r>
    </w:p>
    <w:p>
      <w:pPr>
        <w:spacing w:after="0" w:line="176" w:lineRule="exact"/>
        <w:rPr>
          <w:sz w:val="20"/>
          <w:szCs w:val="20"/>
          <w:color w:val="auto"/>
        </w:rPr>
      </w:pPr>
    </w:p>
    <w:p>
      <w:pPr>
        <w:ind w:left="60" w:right="319" w:firstLine="324"/>
        <w:spacing w:after="0" w:line="289" w:lineRule="auto"/>
        <w:rPr>
          <w:sz w:val="20"/>
          <w:szCs w:val="20"/>
          <w:color w:val="auto"/>
        </w:rPr>
      </w:pPr>
      <w:r>
        <w:rPr>
          <w:rFonts w:ascii="Times New Roman" w:cs="Times New Roman" w:eastAsia="Times New Roman" w:hAnsi="Times New Roman"/>
          <w:sz w:val="17"/>
          <w:szCs w:val="17"/>
          <w:color w:val="auto"/>
        </w:rPr>
        <w:t xml:space="preserve">Interest expense primarily includes interest incurred from our commercial project financing and CDD debt. The decrease of $1.2 million in interest expense during the nine months ended September 30, 2026, as compared to the same period in 2025, was primarily due to repayment of project financing. See Note 8. </w:t>
      </w:r>
      <w:r>
        <w:rPr>
          <w:rFonts w:ascii="Times New Roman" w:cs="Times New Roman" w:eastAsia="Times New Roman" w:hAnsi="Times New Roman"/>
          <w:sz w:val="17"/>
          <w:szCs w:val="17"/>
          <w:i w:val="1"/>
          <w:iCs w:val="1"/>
          <w:color w:val="auto"/>
        </w:rPr>
        <w:t>Debt, Net</w:t>
      </w:r>
      <w:r>
        <w:rPr>
          <w:rFonts w:ascii="Times New Roman" w:cs="Times New Roman" w:eastAsia="Times New Roman" w:hAnsi="Times New Roman"/>
          <w:sz w:val="17"/>
          <w:szCs w:val="17"/>
          <w:color w:val="auto"/>
        </w:rPr>
        <w:t xml:space="preserve"> for additional information.</w:t>
      </w:r>
    </w:p>
    <w:p>
      <w:pPr>
        <w:spacing w:after="0" w:line="158" w:lineRule="exact"/>
        <w:rPr>
          <w:sz w:val="20"/>
          <w:szCs w:val="20"/>
          <w:color w:val="auto"/>
        </w:rPr>
      </w:pPr>
    </w:p>
    <w:p>
      <w:pPr>
        <w:ind w:left="60" w:right="139" w:firstLine="324"/>
        <w:spacing w:after="0" w:line="273" w:lineRule="auto"/>
        <w:rPr>
          <w:sz w:val="20"/>
          <w:szCs w:val="20"/>
          <w:color w:val="auto"/>
        </w:rPr>
      </w:pPr>
      <w:r>
        <w:rPr>
          <w:rFonts w:ascii="Times New Roman" w:cs="Times New Roman" w:eastAsia="Times New Roman" w:hAnsi="Times New Roman"/>
          <w:sz w:val="17"/>
          <w:szCs w:val="17"/>
          <w:color w:val="auto"/>
        </w:rPr>
        <w:t xml:space="preserve">Equity in loss from unconsolidated joint ventures includes our proportionate share of earnings or losses of unconsolidated JVs accounted for using the equity method. Equity in loss from unconsolidated joint ventures during the nine months ended September 30, 2026 includes $2.7 million for the Watersound Fountains Independent Living JV, as compared to $3.1 million for the same period in 2025. The community is under lease-up. Equity in loss from unconsolidated joint ventures during the nine months ended September 30, 2026 includes $0.6 million for the Pier Park RI JV, as compared to $1.6 million for the same period in 2025. The nine months ended September 30, 2025, include start-up, depreciation and interest expenses related to the Pier Park RI JV. See Note 4. </w:t>
      </w:r>
      <w:r>
        <w:rPr>
          <w:rFonts w:ascii="Times New Roman" w:cs="Times New Roman" w:eastAsia="Times New Roman" w:hAnsi="Times New Roman"/>
          <w:sz w:val="17"/>
          <w:szCs w:val="17"/>
          <w:i w:val="1"/>
          <w:iCs w:val="1"/>
          <w:color w:val="auto"/>
        </w:rPr>
        <w:t>Joint Ventures</w:t>
      </w:r>
      <w:r>
        <w:rPr>
          <w:rFonts w:ascii="Times New Roman" w:cs="Times New Roman" w:eastAsia="Times New Roman" w:hAnsi="Times New Roman"/>
          <w:sz w:val="17"/>
          <w:szCs w:val="17"/>
          <w:color w:val="auto"/>
        </w:rPr>
        <w:t xml:space="preserve"> for additional information.</w:t>
      </w:r>
    </w:p>
    <w:p>
      <w:pPr>
        <w:spacing w:after="0" w:line="171" w:lineRule="exact"/>
        <w:rPr>
          <w:sz w:val="20"/>
          <w:szCs w:val="20"/>
          <w:color w:val="auto"/>
        </w:rPr>
      </w:pPr>
    </w:p>
    <w:p>
      <w:pPr>
        <w:ind w:left="60" w:right="219" w:firstLine="324"/>
        <w:spacing w:after="0" w:line="258" w:lineRule="auto"/>
        <w:rPr>
          <w:sz w:val="20"/>
          <w:szCs w:val="20"/>
          <w:color w:val="auto"/>
        </w:rPr>
      </w:pPr>
      <w:r>
        <w:rPr>
          <w:rFonts w:ascii="Times New Roman" w:cs="Times New Roman" w:eastAsia="Times New Roman" w:hAnsi="Times New Roman"/>
          <w:sz w:val="18"/>
          <w:szCs w:val="18"/>
          <w:color w:val="auto"/>
        </w:rPr>
        <w:t xml:space="preserve">Other expense, net primarily includes loss on early extinguishment of debt, fees related to loans, as well as other income and expense items. The nine months ended September 30, 2026, include expense of $0.5 million related to design costs for certain commercial assets that we are no longer pursuing. Other expense, net during the nine months ended September 30, 2025, primarily includes loss on early extinguishment of debt related to the payoff of the Watercrest JV Loan, as well as fees related to other loans. See Note 8. </w:t>
      </w:r>
      <w:r>
        <w:rPr>
          <w:rFonts w:ascii="Times New Roman" w:cs="Times New Roman" w:eastAsia="Times New Roman" w:hAnsi="Times New Roman"/>
          <w:sz w:val="18"/>
          <w:szCs w:val="18"/>
          <w:i w:val="1"/>
          <w:iCs w:val="1"/>
          <w:color w:val="auto"/>
        </w:rPr>
        <w:t>Debt, Net</w:t>
      </w:r>
      <w:r>
        <w:rPr>
          <w:rFonts w:ascii="Times New Roman" w:cs="Times New Roman" w:eastAsia="Times New Roman" w:hAnsi="Times New Roman"/>
          <w:sz w:val="18"/>
          <w:szCs w:val="18"/>
          <w:color w:val="auto"/>
        </w:rPr>
        <w:t xml:space="preserve"> for additional information.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60" w:right="479"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2026, we had cash and cash equivalents of $117.8 million, compared to $129.6 million as of December 31, 2025.</w:t>
      </w:r>
    </w:p>
    <w:p>
      <w:pPr>
        <w:spacing w:after="0" w:line="162"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We believe that our current cash position, financing arrangements and cash generated from operations will provide us with sufficient liquidity to satisfy our anticipated working capital needs, expected capital expenditures, principal and interest payments on our long-term debt, authorized stock repurchases and authorized dividends for the next twelve months.</w:t>
      </w:r>
    </w:p>
    <w:p>
      <w:pPr>
        <w:spacing w:after="0" w:line="180" w:lineRule="exact"/>
        <w:rPr>
          <w:sz w:val="20"/>
          <w:szCs w:val="20"/>
          <w:color w:val="auto"/>
        </w:rPr>
      </w:pPr>
    </w:p>
    <w:p>
      <w:pPr>
        <w:ind w:left="60" w:right="339" w:firstLine="324"/>
        <w:spacing w:after="0" w:line="312" w:lineRule="auto"/>
        <w:rPr>
          <w:sz w:val="20"/>
          <w:szCs w:val="20"/>
          <w:color w:val="auto"/>
        </w:rPr>
      </w:pPr>
      <w:r>
        <w:rPr>
          <w:rFonts w:ascii="Times New Roman" w:cs="Times New Roman" w:eastAsia="Times New Roman" w:hAnsi="Times New Roman"/>
          <w:sz w:val="17"/>
          <w:szCs w:val="17"/>
          <w:color w:val="auto"/>
        </w:rPr>
        <w:t>During the nine months ended September 30, 2026, we invested a total of $67.5 million for capital expenditures, which includes $37.3 million for our residential segment, $4.4 million for our hospitality segment, $22.0 million for our</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 xml:space="preserve">commercial segment and $3.8 million for corporate and other expenditures. We anticipate that future capital commitments will be funded through cash generated from operations, cash and cash equivalents on hand and new financing arrangements. As of September 30, 2026, we had a total of $120.6 million primarily in construction and development related contractual obligations. Capital expenditures and contractual obligations exclude amounts related to unconsolidated JVs. See Note 4. </w:t>
      </w:r>
      <w:r>
        <w:rPr>
          <w:rFonts w:ascii="Times New Roman" w:cs="Times New Roman" w:eastAsia="Times New Roman" w:hAnsi="Times New Roman"/>
          <w:sz w:val="18"/>
          <w:szCs w:val="18"/>
          <w:i w:val="1"/>
          <w:iCs w:val="1"/>
          <w:color w:val="auto"/>
        </w:rPr>
        <w:t>Joint Ventures</w:t>
      </w:r>
      <w:r>
        <w:rPr>
          <w:rFonts w:ascii="Times New Roman" w:cs="Times New Roman" w:eastAsia="Times New Roman" w:hAnsi="Times New Roman"/>
          <w:sz w:val="18"/>
          <w:szCs w:val="18"/>
          <w:color w:val="auto"/>
        </w:rPr>
        <w:t xml:space="preserve"> for additional information.</w:t>
      </w:r>
    </w:p>
    <w:p>
      <w:pPr>
        <w:spacing w:after="0" w:line="183" w:lineRule="exact"/>
        <w:rPr>
          <w:sz w:val="20"/>
          <w:szCs w:val="20"/>
          <w:color w:val="auto"/>
        </w:rPr>
      </w:pPr>
    </w:p>
    <w:p>
      <w:pPr>
        <w:ind w:left="60" w:right="259" w:firstLine="324"/>
        <w:spacing w:after="0" w:line="258" w:lineRule="auto"/>
        <w:rPr>
          <w:sz w:val="20"/>
          <w:szCs w:val="20"/>
          <w:color w:val="auto"/>
        </w:rPr>
      </w:pPr>
      <w:r>
        <w:rPr>
          <w:rFonts w:ascii="Times New Roman" w:cs="Times New Roman" w:eastAsia="Times New Roman" w:hAnsi="Times New Roman"/>
          <w:sz w:val="18"/>
          <w:szCs w:val="18"/>
          <w:color w:val="auto"/>
        </w:rPr>
        <w:t xml:space="preserve">As of September 30, 2026 and December 31, 2025, we had various loans outstanding totaling $366.1 million and $396.0 million, respectively, with maturities from April 2027 through March 2064. As of September 30, 2026, the weighted average effective interest rate of total outstanding debt was 4.7%, of which 85.4% includes fixed or swapped interest rates, and the average remaining life was 19.8 years. As of September 30, 2026, the weighted average rate on our variable rate loans, excluding the swapped portion, was 6.1%. See Note 8. </w:t>
      </w:r>
      <w:r>
        <w:rPr>
          <w:rFonts w:ascii="Times New Roman" w:cs="Times New Roman" w:eastAsia="Times New Roman" w:hAnsi="Times New Roman"/>
          <w:sz w:val="18"/>
          <w:szCs w:val="18"/>
          <w:i w:val="1"/>
          <w:iCs w:val="1"/>
          <w:color w:val="auto"/>
        </w:rPr>
        <w:t>Debt, Net</w:t>
      </w:r>
      <w:r>
        <w:rPr>
          <w:rFonts w:ascii="Times New Roman" w:cs="Times New Roman" w:eastAsia="Times New Roman" w:hAnsi="Times New Roman"/>
          <w:sz w:val="18"/>
          <w:szCs w:val="18"/>
          <w:color w:val="auto"/>
        </w:rPr>
        <w:t xml:space="preserve"> for additional information.</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2018, the Pier Park Crossings JV entered into a $36.6 million loan, insured by HUD, as amended. As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September 30, 2026 and December 31, 2025, $33.2 million and $33.6 million, respectively, was outstanding on the PPC JV</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Loan. The loan bears interest at a rate of 3.1% and matures in June 2060. The loan includes a prepayment premium due to</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lender of 2% - 6% for any additional principal that is prepaid through August 2031. The loan is secured by the real</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property and certain other Security Interests. See Note 8. </w:t>
      </w:r>
      <w:r>
        <w:rPr>
          <w:rFonts w:ascii="Times New Roman" w:cs="Times New Roman" w:eastAsia="Times New Roman" w:hAnsi="Times New Roman"/>
          <w:sz w:val="18"/>
          <w:szCs w:val="18"/>
          <w:i w:val="1"/>
          <w:iCs w:val="1"/>
          <w:color w:val="auto"/>
        </w:rPr>
        <w:t>Debt, Net</w:t>
      </w:r>
      <w:r>
        <w:rPr>
          <w:rFonts w:ascii="Times New Roman" w:cs="Times New Roman" w:eastAsia="Times New Roman" w:hAnsi="Times New Roman"/>
          <w:sz w:val="18"/>
          <w:szCs w:val="18"/>
          <w:color w:val="auto"/>
        </w:rPr>
        <w:t xml:space="preserve"> for additional information.</w:t>
      </w:r>
    </w:p>
    <w:p>
      <w:pPr>
        <w:spacing w:after="0" w:line="207"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 xml:space="preserve">In 2020, the Pier Park Resort Hotel JV entered into a loan with an initial amount of $52.5 million up to a maximum of $60.0 million through additional earn-out requests. As of September 30, 2026 and December 31, 2025, $49.0 million and $49.8 million, respectively, was outstanding on the Pier Park Resort Hotel JV Loan. The loan matures in April 2027 and bears interest at a rate of SOFR plus 2.1%. The loan is secured by the real property and certain other Security Interests. In connection with the loan, as guarantors, we and our JV partner entered into a guarantee based on each partner’s ownership interest in favor of the lender, to guarantee the payment and performance of the borrower. As guarantor, our liability under the loan can be released upon reaching and maintaining certain debt service coverage. In addition, the guarantee can become full recourse in the case of the failure of the guarantor to abide by or perform any of the covenants or warranties to be performed on the part of such guarantor. The Pier Park Resort Hotel JV entered into an interest rate swap to hedge cash flows tied to changes in the underlying floating interest rate tied to SOFR. The interest rate swap matures in April 2027 and fixed the variable rate on the notional amount of related debt, initially at $42.0 million, amortizing to $38.7 million at swap maturity, to a rate of 3.2%. We are currently in the process of refinancing the Pier Park Resort Hotel JV Loan. See Note 5. </w:t>
      </w:r>
      <w:r>
        <w:rPr>
          <w:rFonts w:ascii="Times New Roman" w:cs="Times New Roman" w:eastAsia="Times New Roman" w:hAnsi="Times New Roman"/>
          <w:sz w:val="18"/>
          <w:szCs w:val="18"/>
          <w:i w:val="1"/>
          <w:iCs w:val="1"/>
          <w:color w:val="auto"/>
        </w:rPr>
        <w:t xml:space="preserve">Financial Instruments and Fair Value Measurements </w:t>
      </w:r>
      <w:r>
        <w:rPr>
          <w:rFonts w:ascii="Times New Roman" w:cs="Times New Roman" w:eastAsia="Times New Roman" w:hAnsi="Times New Roman"/>
          <w:sz w:val="18"/>
          <w:szCs w:val="18"/>
          <w:color w:val="auto"/>
        </w:rPr>
        <w:t>and Note 8.</w:t>
      </w:r>
      <w:r>
        <w:rPr>
          <w:rFonts w:ascii="Times New Roman" w:cs="Times New Roman" w:eastAsia="Times New Roman" w:hAnsi="Times New Roman"/>
          <w:sz w:val="18"/>
          <w:szCs w:val="18"/>
          <w:i w:val="1"/>
          <w:iCs w:val="1"/>
          <w:color w:val="auto"/>
        </w:rPr>
        <w:t xml:space="preserve"> Debt, Net </w:t>
      </w:r>
      <w:r>
        <w:rPr>
          <w:rFonts w:ascii="Times New Roman" w:cs="Times New Roman" w:eastAsia="Times New Roman" w:hAnsi="Times New Roman"/>
          <w:sz w:val="18"/>
          <w:szCs w:val="18"/>
          <w:color w:val="auto"/>
        </w:rPr>
        <w:t>for additional information.</w:t>
      </w:r>
    </w:p>
    <w:p>
      <w:pPr>
        <w:spacing w:after="0" w:line="187" w:lineRule="exact"/>
        <w:rPr>
          <w:sz w:val="20"/>
          <w:szCs w:val="20"/>
          <w:color w:val="auto"/>
        </w:rPr>
      </w:pPr>
    </w:p>
    <w:p>
      <w:pPr>
        <w:ind w:left="60" w:right="219"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2020, a wholly-owned subsidiary of ours entered into a $16.8 million loan, which is guaranteed by us. As of September 30, 2026 and December 31, 2025, $12.6 million and $15.0 million, respectively, was outstanding on the Breakfast Point Hotel Loan. The loan matures in November 2042 and bears interest at a rate of 6.0% through November 2027 and the 1-year constant maturity Treasury rate plus 3.3% from December 2027 through November 2042, with a minimum rate of 6.0% throughout the term of the loan. The loan is secured by the real property and certain other Security Interests. See Note 8. </w:t>
      </w:r>
      <w:r>
        <w:rPr>
          <w:rFonts w:ascii="Times New Roman" w:cs="Times New Roman" w:eastAsia="Times New Roman" w:hAnsi="Times New Roman"/>
          <w:sz w:val="18"/>
          <w:szCs w:val="18"/>
          <w:i w:val="1"/>
          <w:iCs w:val="1"/>
          <w:color w:val="auto"/>
        </w:rPr>
        <w:t>Debt, Net</w:t>
      </w:r>
      <w:r>
        <w:rPr>
          <w:rFonts w:ascii="Times New Roman" w:cs="Times New Roman" w:eastAsia="Times New Roman" w:hAnsi="Times New Roman"/>
          <w:sz w:val="18"/>
          <w:szCs w:val="18"/>
          <w:color w:val="auto"/>
        </w:rPr>
        <w:t xml:space="preserve"> for additional information.</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In 2021, The Lodge 30A JV entered into a $15.0 million loan. As of September 30, 2026 and December 31, 2025,</w:t>
      </w:r>
    </w:p>
    <w:p>
      <w:pPr>
        <w:spacing w:after="0" w:line="27" w:lineRule="exact"/>
        <w:rPr>
          <w:sz w:val="20"/>
          <w:szCs w:val="20"/>
          <w:color w:val="auto"/>
        </w:rPr>
      </w:pPr>
    </w:p>
    <w:p>
      <w:pPr>
        <w:ind w:left="60" w:right="139"/>
        <w:spacing w:after="0" w:line="251" w:lineRule="auto"/>
        <w:rPr>
          <w:sz w:val="20"/>
          <w:szCs w:val="20"/>
          <w:color w:val="auto"/>
        </w:rPr>
      </w:pPr>
      <w:r>
        <w:rPr>
          <w:rFonts w:ascii="Times New Roman" w:cs="Times New Roman" w:eastAsia="Times New Roman" w:hAnsi="Times New Roman"/>
          <w:sz w:val="18"/>
          <w:szCs w:val="18"/>
          <w:color w:val="auto"/>
        </w:rPr>
        <w:t xml:space="preserve">$13.2 million and $13.6 million, respectively, was outstanding on the Lodge 30A JV Loan. The loan bears interest at a rate of 3.8% and matures in January 2028. The loan is secured by the real property and certain other Security Interests. In connection with the loan, we, wholly-owned subsidiaries of ours and our JV partner entered into a joint and several payment and performance guarantee in favor of the lender. As guarantor, our liability under the loan has been reduced to 25% of the outstanding principal balance upon the project reaching and maintaining a certain debt service coverage ratio over a prescribed period, which will be reassessed based on future performance. We receive a monthly fee related to the guarantee from our JV partner based on the JV partner’s ownership percentage. See Note 8. </w:t>
      </w:r>
      <w:r>
        <w:rPr>
          <w:rFonts w:ascii="Times New Roman" w:cs="Times New Roman" w:eastAsia="Times New Roman" w:hAnsi="Times New Roman"/>
          <w:sz w:val="18"/>
          <w:szCs w:val="18"/>
          <w:i w:val="1"/>
          <w:iCs w:val="1"/>
          <w:color w:val="auto"/>
        </w:rPr>
        <w:t>Debt, Net</w:t>
      </w:r>
      <w:r>
        <w:rPr>
          <w:rFonts w:ascii="Times New Roman" w:cs="Times New Roman" w:eastAsia="Times New Roman" w:hAnsi="Times New Roman"/>
          <w:sz w:val="18"/>
          <w:szCs w:val="18"/>
          <w:color w:val="auto"/>
        </w:rPr>
        <w:t xml:space="preserve"> for additional information.</w:t>
      </w:r>
    </w:p>
    <w:p>
      <w:pPr>
        <w:spacing w:after="0" w:line="194"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In 2021, a wholly-owned subsidiary of ours entered into a $28.0 million loan, which is guaranteed by us. As of September 30, 2026 and December 31, 2025, $26.4 million and $26.8 million, respectively, was outstanding on the Watersound Camp Creek Loan. The loan matures in December 2047 and bears interest at a rate of SOFR plus 2.1%, with a floor of 2.6%. The loan is secured by the real property and certain other Security Interests. As guarantor, our liability under the loan has been reduced to 25% of the outstanding principal balance upon the project reaching and maintaining a</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 xml:space="preserve">certain debt service coverage ratio over a prescribed period, which will be reassessed based on future performance. In addition, the guarantee can become full recourse in the case of the failure of guarantor to abide by or perform any of the covenants, warranties or other certain obligations to be performed on the part of such guarantor. See Note 8. </w:t>
      </w:r>
      <w:r>
        <w:rPr>
          <w:rFonts w:ascii="Times New Roman" w:cs="Times New Roman" w:eastAsia="Times New Roman" w:hAnsi="Times New Roman"/>
          <w:sz w:val="18"/>
          <w:szCs w:val="18"/>
          <w:i w:val="1"/>
          <w:iCs w:val="1"/>
          <w:color w:val="auto"/>
        </w:rPr>
        <w:t>Debt, Net</w:t>
      </w:r>
      <w:r>
        <w:rPr>
          <w:rFonts w:ascii="Times New Roman" w:cs="Times New Roman" w:eastAsia="Times New Roman" w:hAnsi="Times New Roman"/>
          <w:sz w:val="18"/>
          <w:szCs w:val="18"/>
          <w:color w:val="auto"/>
        </w:rPr>
        <w:t xml:space="preserve"> for additional information.</w:t>
      </w:r>
    </w:p>
    <w:p>
      <w:pPr>
        <w:spacing w:after="0" w:line="180" w:lineRule="exact"/>
        <w:rPr>
          <w:sz w:val="20"/>
          <w:szCs w:val="20"/>
          <w:color w:val="auto"/>
        </w:rPr>
      </w:pPr>
    </w:p>
    <w:p>
      <w:pPr>
        <w:ind w:left="60" w:right="199"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2021, a wholly-owned subsidiary of ours entered into a $21.2 million loan, which is guaranteed by us. As of September 30, 2026 and December 31, 2025, $16.1 million and $19.0 million, respectively, was outstanding on the Hotel Indigo Loan. The loan bears interest at a rate of SOFR plus 2.5%, with a floor of 2.5%. The loan matures in October 2028 and includes an option for an extension of the maturity date by sixty months, subject to certain conditions. The loan is secured by the leasehold property and certain other Security Interests. See Note 8. </w:t>
      </w:r>
      <w:r>
        <w:rPr>
          <w:rFonts w:ascii="Times New Roman" w:cs="Times New Roman" w:eastAsia="Times New Roman" w:hAnsi="Times New Roman"/>
          <w:sz w:val="18"/>
          <w:szCs w:val="18"/>
          <w:i w:val="1"/>
          <w:iCs w:val="1"/>
          <w:color w:val="auto"/>
        </w:rPr>
        <w:t>Debt, Net</w:t>
      </w:r>
      <w:r>
        <w:rPr>
          <w:rFonts w:ascii="Times New Roman" w:cs="Times New Roman" w:eastAsia="Times New Roman" w:hAnsi="Times New Roman"/>
          <w:sz w:val="18"/>
          <w:szCs w:val="18"/>
          <w:color w:val="auto"/>
        </w:rPr>
        <w:t xml:space="preserve"> for additional information.</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2022, the Mexico Beach Crossings JV entered into a $43.5 million loan, insured by HUD. As of</w:t>
      </w:r>
    </w:p>
    <w:p>
      <w:pPr>
        <w:spacing w:after="0" w:line="27"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 xml:space="preserve">September 30, 2026 and December 31, 2025, $42.1 million and $42.5 million, respectively, was outstanding on the Mexico Beach Crossings JV Loan. The loan bears interest at a rate of 3.0% and matures in March 2064. The loan includes a prepayment premium due to the lender of 1% - 8% for any principal that is prepaid through March 2034. The loan is secured by the real property and certain other Security Interests. See Note 8. </w:t>
      </w:r>
      <w:r>
        <w:rPr>
          <w:rFonts w:ascii="Times New Roman" w:cs="Times New Roman" w:eastAsia="Times New Roman" w:hAnsi="Times New Roman"/>
          <w:sz w:val="18"/>
          <w:szCs w:val="18"/>
          <w:i w:val="1"/>
          <w:iCs w:val="1"/>
          <w:color w:val="auto"/>
        </w:rPr>
        <w:t>Debt, Net</w:t>
      </w:r>
      <w:r>
        <w:rPr>
          <w:rFonts w:ascii="Times New Roman" w:cs="Times New Roman" w:eastAsia="Times New Roman" w:hAnsi="Times New Roman"/>
          <w:sz w:val="18"/>
          <w:szCs w:val="18"/>
          <w:color w:val="auto"/>
        </w:rPr>
        <w:t xml:space="preserve"> for additional information.</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2022, the Pier Park Crossings Phase II JV refinanced into a $22.9 million loan, insured by HUD. As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30, 2026 and December 31, 2025, $21.0 million and $21.4 million, respectively, was outstanding on the PPC II</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JV Loan. The PPC II JV Loan bears interest at a rate of 2.7% and matures in May 2057. The loan includes a prepayment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premium due to the lender of 1% - 6% for any principal that is prepaid through May 2032. The loan is secured by the real</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property and certain other Security Interests. See Note 8. </w:t>
      </w:r>
      <w:r>
        <w:rPr>
          <w:rFonts w:ascii="Times New Roman" w:cs="Times New Roman" w:eastAsia="Times New Roman" w:hAnsi="Times New Roman"/>
          <w:sz w:val="18"/>
          <w:szCs w:val="18"/>
          <w:i w:val="1"/>
          <w:iCs w:val="1"/>
          <w:color w:val="auto"/>
        </w:rPr>
        <w:t>Debt, Net</w:t>
      </w:r>
      <w:r>
        <w:rPr>
          <w:rFonts w:ascii="Times New Roman" w:cs="Times New Roman" w:eastAsia="Times New Roman" w:hAnsi="Times New Roman"/>
          <w:sz w:val="18"/>
          <w:szCs w:val="18"/>
          <w:color w:val="auto"/>
        </w:rPr>
        <w:t xml:space="preserve"> for additional information.</w:t>
      </w:r>
    </w:p>
    <w:p>
      <w:pPr>
        <w:spacing w:after="0" w:line="207"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2022, a wholly-owned subsidiary of ours entered into a $13.7 million loan, which is guaranteed by us. As of September 30, 2026 and December 31, 2025, $1.0 million and $11.2 million, respectively, was outstanding on the Topsail Hotel Loan. The loan bears interest at a rate of SOFR plus 2.1%, with a floor of 3.0% and matures in July 2027. The loan is secured by the real property and certain other Security Interests. See Note 8. </w:t>
      </w:r>
      <w:r>
        <w:rPr>
          <w:rFonts w:ascii="Times New Roman" w:cs="Times New Roman" w:eastAsia="Times New Roman" w:hAnsi="Times New Roman"/>
          <w:sz w:val="18"/>
          <w:szCs w:val="18"/>
          <w:i w:val="1"/>
          <w:iCs w:val="1"/>
          <w:color w:val="auto"/>
        </w:rPr>
        <w:t>Debt, Net</w:t>
      </w:r>
      <w:r>
        <w:rPr>
          <w:rFonts w:ascii="Times New Roman" w:cs="Times New Roman" w:eastAsia="Times New Roman" w:hAnsi="Times New Roman"/>
          <w:sz w:val="18"/>
          <w:szCs w:val="18"/>
          <w:color w:val="auto"/>
        </w:rPr>
        <w:t xml:space="preserve"> for additional information.</w:t>
      </w:r>
    </w:p>
    <w:p>
      <w:pPr>
        <w:spacing w:after="0" w:line="180" w:lineRule="exact"/>
        <w:rPr>
          <w:sz w:val="20"/>
          <w:szCs w:val="20"/>
          <w:color w:val="auto"/>
        </w:rPr>
      </w:pPr>
    </w:p>
    <w:p>
      <w:pPr>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2022, a wholly-owned subsidiary of ours entered into a $37.0 million loan, which is guaranteed by us. As of September 30, 2026 and December 31, 2025, $31.0 million and $32.6 million, respectively, was outstanding on The Pearl Hotel Loan. The loan bears interest at a rate of 6.3% and matures in December 2032. The loan includes a prepayment fee due to the lender of 1% - 2% of the outstanding principal balance if the loan is refinanced with another financial institution through December 2027. The loan is secured by the real property and certain other Security Interests. See Note 8. </w:t>
      </w:r>
      <w:r>
        <w:rPr>
          <w:rFonts w:ascii="Times New Roman" w:cs="Times New Roman" w:eastAsia="Times New Roman" w:hAnsi="Times New Roman"/>
          <w:sz w:val="18"/>
          <w:szCs w:val="18"/>
          <w:i w:val="1"/>
          <w:iCs w:val="1"/>
          <w:color w:val="auto"/>
        </w:rPr>
        <w:t>Debt, Net</w:t>
      </w:r>
      <w:r>
        <w:rPr>
          <w:rFonts w:ascii="Times New Roman" w:cs="Times New Roman" w:eastAsia="Times New Roman" w:hAnsi="Times New Roman"/>
          <w:sz w:val="18"/>
          <w:szCs w:val="18"/>
          <w:color w:val="auto"/>
        </w:rPr>
        <w:t xml:space="preserve"> for additional information.</w:t>
      </w:r>
    </w:p>
    <w:p>
      <w:pPr>
        <w:spacing w:after="0" w:line="187"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2023, the Watersound Origins Crossings JV refinanced into a $52.9 million loan, insured by HUD. As of September 30, 2026 and December 31, 2025, $50.8 million and $51.3 million, respectively, was outstanding on the Watersound Origins Crossings JV Loan. The loan bears interest at a rate of 5.0% and matures in April 2058. The loan includes a prepayment premium due to the lender of 1% - 7% for any principal that is prepaid through April 2033. The loan is secured by the real property and certain other Security Interests. See Note 8. </w:t>
      </w:r>
      <w:r>
        <w:rPr>
          <w:rFonts w:ascii="Times New Roman" w:cs="Times New Roman" w:eastAsia="Times New Roman" w:hAnsi="Times New Roman"/>
          <w:sz w:val="18"/>
          <w:szCs w:val="18"/>
          <w:i w:val="1"/>
          <w:iCs w:val="1"/>
          <w:color w:val="auto"/>
        </w:rPr>
        <w:t>Debt, Net</w:t>
      </w:r>
      <w:r>
        <w:rPr>
          <w:rFonts w:ascii="Times New Roman" w:cs="Times New Roman" w:eastAsia="Times New Roman" w:hAnsi="Times New Roman"/>
          <w:sz w:val="18"/>
          <w:szCs w:val="18"/>
          <w:color w:val="auto"/>
        </w:rPr>
        <w:t xml:space="preserve"> for additional information.</w:t>
      </w:r>
    </w:p>
    <w:p>
      <w:pPr>
        <w:spacing w:after="0" w:line="183" w:lineRule="exact"/>
        <w:rPr>
          <w:sz w:val="20"/>
          <w:szCs w:val="20"/>
          <w:color w:val="auto"/>
        </w:rPr>
      </w:pPr>
    </w:p>
    <w:p>
      <w:pPr>
        <w:ind w:left="60" w:right="219"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February 2025, a wholly-owned subsidiary of ours refinanced into a $27.8 million loan. As of September 30, 2026 and December 31, 2025, $27.4 million and $27.6 million, respectively, was outstanding on the North Bay Landing Loan. The loan bears interest at a rate of 5.9% and matures in March 2060. The loan includes a prepayment premium due to the lender of 1% - 9% for any principal that is prepaid through March 2035. The refinanced loan is insured by HUD and is secured by the real property and certain other Security Interests. See Note 8. </w:t>
      </w:r>
      <w:r>
        <w:rPr>
          <w:rFonts w:ascii="Times New Roman" w:cs="Times New Roman" w:eastAsia="Times New Roman" w:hAnsi="Times New Roman"/>
          <w:sz w:val="18"/>
          <w:szCs w:val="18"/>
          <w:i w:val="1"/>
          <w:iCs w:val="1"/>
          <w:color w:val="auto"/>
        </w:rPr>
        <w:t>Debt, Net</w:t>
      </w:r>
      <w:r>
        <w:rPr>
          <w:rFonts w:ascii="Times New Roman" w:cs="Times New Roman" w:eastAsia="Times New Roman" w:hAnsi="Times New Roman"/>
          <w:sz w:val="18"/>
          <w:szCs w:val="18"/>
          <w:color w:val="auto"/>
        </w:rPr>
        <w:t xml:space="preserve"> for additional information.</w:t>
      </w:r>
    </w:p>
    <w:p>
      <w:pPr>
        <w:spacing w:after="0" w:line="183"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In September 2025, the Pier Park North JV refinanced into a $40.0 million loan. As of September 30, 2026 and December 31, 2025, $39.6 million and $39.9 million, respectively, was outstanding on the PPN JV Loan. The loan bears interest at a rate of 6.1% and matures in October 2035. The loan may not be prepaid prior to October 2029. Commencing in October 2029 through May 2035, any principal prepaid is subject to a prepayment fee equal to the greater of (i) a</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 xml:space="preserve">prepayment ratio, as outlined in the loan agreement, or (ii) 1% of the amount prepaid. From June 2035 through maturity, the loan may be prepaid without a prepayment fee upon prior written notice. In connection with the loan, we entered into a limited guarantee in favor of the lender with respect to environmental indemnity matters and specified non-recourse carveouts outlined in the loan agreement. The loan is secured by a first lien on, and Security Interest in, a majority of the Pier Park North JV’s property. See Note 8. </w:t>
      </w:r>
      <w:r>
        <w:rPr>
          <w:rFonts w:ascii="Times New Roman" w:cs="Times New Roman" w:eastAsia="Times New Roman" w:hAnsi="Times New Roman"/>
          <w:sz w:val="18"/>
          <w:szCs w:val="18"/>
          <w:i w:val="1"/>
          <w:iCs w:val="1"/>
          <w:color w:val="auto"/>
        </w:rPr>
        <w:t>Debt, Net</w:t>
      </w:r>
      <w:r>
        <w:rPr>
          <w:rFonts w:ascii="Times New Roman" w:cs="Times New Roman" w:eastAsia="Times New Roman" w:hAnsi="Times New Roman"/>
          <w:sz w:val="18"/>
          <w:szCs w:val="18"/>
          <w:color w:val="auto"/>
        </w:rPr>
        <w:t xml:space="preserve"> for additional information.</w:t>
      </w:r>
    </w:p>
    <w:p>
      <w:pPr>
        <w:spacing w:after="0" w:line="183"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CDD bonds financed the construction of infrastructure improvements in some of our communities. The principal and interest payments on the bonds are paid by assessments on the properties benefited by the improvements financed by the bonds. We have recorded a liability for CDD debt that is associated with platted property, which is the point at which it becomes fixed and determinable. Additionally, we have recorded a liability for the balance of the CDD debt that is associated with unplatted property if it is probable and reasonably estimable that we will ultimately be responsible for repayment. We have recorded CDD related debt of $2.8 million and $2.6 million as of September 30, 2026 and December 31, 2025, respectively. Total outstanding CDD debt related to our land holdings was $8.5 million as of September 30, 2026, which is comprised of $7.0 million at the SouthWood community, $1.4 million at the existing Pier Park retail center and less than $0.1 million at the Wild Heron residential community. We pay interest on this total outstanding CDD debt.</w:t>
      </w:r>
    </w:p>
    <w:p>
      <w:pPr>
        <w:spacing w:after="0" w:line="188"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 xml:space="preserve">As of September 30, 2026, our unconsolidated Latitude Margaritaville Watersound JV, Watersound Fountains Independent Living JV, Pier Park TPS JV, Pier Park RI JV, Busy Bee JV and Electric Cart Watersound JV had various loans outstanding, some of which we have entered into guarantees. See Note 4. </w:t>
      </w:r>
      <w:r>
        <w:rPr>
          <w:rFonts w:ascii="Times New Roman" w:cs="Times New Roman" w:eastAsia="Times New Roman" w:hAnsi="Times New Roman"/>
          <w:sz w:val="18"/>
          <w:szCs w:val="18"/>
          <w:i w:val="1"/>
          <w:iCs w:val="1"/>
          <w:color w:val="auto"/>
        </w:rPr>
        <w:t>Joint Ventures</w:t>
      </w:r>
      <w:r>
        <w:rPr>
          <w:rFonts w:ascii="Times New Roman" w:cs="Times New Roman" w:eastAsia="Times New Roman" w:hAnsi="Times New Roman"/>
          <w:sz w:val="18"/>
          <w:szCs w:val="18"/>
          <w:color w:val="auto"/>
        </w:rPr>
        <w:t xml:space="preserve"> and Note 17. </w:t>
      </w:r>
      <w:r>
        <w:rPr>
          <w:rFonts w:ascii="Times New Roman" w:cs="Times New Roman" w:eastAsia="Times New Roman" w:hAnsi="Times New Roman"/>
          <w:sz w:val="18"/>
          <w:szCs w:val="18"/>
          <w:i w:val="1"/>
          <w:iCs w:val="1"/>
          <w:color w:val="auto"/>
        </w:rPr>
        <w:t>Commitments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Contingencies </w:t>
      </w:r>
      <w:r>
        <w:rPr>
          <w:rFonts w:ascii="Times New Roman" w:cs="Times New Roman" w:eastAsia="Times New Roman" w:hAnsi="Times New Roman"/>
          <w:sz w:val="18"/>
          <w:szCs w:val="18"/>
          <w:color w:val="auto"/>
        </w:rPr>
        <w:t>for additional information.</w:t>
      </w:r>
    </w:p>
    <w:p>
      <w:pPr>
        <w:spacing w:after="0" w:line="180"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2026 and 2025, we paid dividends of $0.16 and $0.14, respectively, per share on our common stock for a total of $9.1 million and $8.1 million, respectively. During the nine months ended September 30, 2026 and 2025, we paid dividends of $0.48 and $0.42, respectively, per share on our common stock for a total of $27.4 million and $24.4 million, respectively.</w:t>
      </w:r>
    </w:p>
    <w:p>
      <w:pPr>
        <w:spacing w:after="0" w:line="180" w:lineRule="exact"/>
        <w:rPr>
          <w:sz w:val="20"/>
          <w:szCs w:val="20"/>
          <w:color w:val="auto"/>
        </w:rPr>
      </w:pPr>
    </w:p>
    <w:p>
      <w:pPr>
        <w:ind w:left="60" w:right="99" w:firstLine="324"/>
        <w:spacing w:after="0" w:line="268" w:lineRule="auto"/>
        <w:rPr>
          <w:sz w:val="20"/>
          <w:szCs w:val="20"/>
          <w:color w:val="auto"/>
        </w:rPr>
      </w:pPr>
      <w:r>
        <w:rPr>
          <w:rFonts w:ascii="Times New Roman" w:cs="Times New Roman" w:eastAsia="Times New Roman" w:hAnsi="Times New Roman"/>
          <w:sz w:val="17"/>
          <w:szCs w:val="17"/>
          <w:color w:val="auto"/>
        </w:rPr>
        <w:t xml:space="preserve">During the three months ended September 30, 2026, we repurchased 412,800 shares of our common stock outstanding at an average repurchase price of $65.82, per share, related to the Stock Repurchase Program, for an aggregate purchase price of $27.2 million, excluding the excise tax on stock repurchases in excess of issuances. During the three months ended September 30, 2025, we repurchased 176,085 shares of our common stock outstanding at an average repurchase price of $49.45, per share, related to the Stock Repurchase Program, for an aggregate purchase price of $8.7 million, excluding the excise tax on stock repurchases in excess of issuances. During the nine months ended September 30, 2026, we repurchased 988,637 shares of our common stock outstanding at an average repurchase price of $65.65, per share, related to the Stock Repurchase Program, for an aggregate purchase price of $64.9 million, excluding the excise tax on stock repurchases in excess of issuances. During the nine months ended September 30, 2026, we also repurchased 4,835 shares of our common stock outstanding at an average repurchase price of $68.85, per share, for an aggregate purchase price of $0.3 million, excluding the excise tax on stock repurchases in excess of issuances, related to shares withheld from vested restricted stock awards to satisfy employees’ minimum statutory tax withholding requirements. During the nine months ended September 30, 2025, we repurchased 535,099 shares of our common stock outstanding at an average repurchase price of $46.64, per share, related to the Stock Repurchase Program, for an aggregate purchase price of $24.9 million, excluding the excise tax on stock repurchases in excess of issuances. See Note 13. </w:t>
      </w:r>
      <w:r>
        <w:rPr>
          <w:rFonts w:ascii="Times New Roman" w:cs="Times New Roman" w:eastAsia="Times New Roman" w:hAnsi="Times New Roman"/>
          <w:sz w:val="17"/>
          <w:szCs w:val="17"/>
          <w:i w:val="1"/>
          <w:iCs w:val="1"/>
          <w:color w:val="auto"/>
        </w:rPr>
        <w:t>Stockholders’ Equity</w:t>
      </w:r>
      <w:r>
        <w:rPr>
          <w:rFonts w:ascii="Times New Roman" w:cs="Times New Roman" w:eastAsia="Times New Roman" w:hAnsi="Times New Roman"/>
          <w:sz w:val="17"/>
          <w:szCs w:val="17"/>
          <w:color w:val="auto"/>
        </w:rPr>
        <w:t xml:space="preserve"> for additional information regarding the Stock Repurchase Program and issuance of common stock for employee compensation.</w:t>
      </w:r>
    </w:p>
    <w:p>
      <w:pPr>
        <w:spacing w:after="0" w:line="179"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 xml:space="preserve">As part of a certain sale of forestry land in 2014, we generated significant tax gains. The installment note’s structure allowed us to defer the resulting federal and state tax liability of $45.6 million until 2029, the maturity date for the installment note. We have a deferred tax liability related to the gain in connection with the sale. At the maturity date of the installment note in 2029, the $200.0 million time deposit included in investments held by special purpose entities will be used to pay the $180.0 million of principal for the Senior Notes held by special purpose entity and the remaining $20.0 million will become available to us, which can be used to pay a portion of the tax liability. See Note 5. </w:t>
      </w:r>
      <w:r>
        <w:rPr>
          <w:rFonts w:ascii="Times New Roman" w:cs="Times New Roman" w:eastAsia="Times New Roman" w:hAnsi="Times New Roman"/>
          <w:sz w:val="18"/>
          <w:szCs w:val="18"/>
          <w:i w:val="1"/>
          <w:i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and Fair Value Measurements </w:t>
      </w:r>
      <w:r>
        <w:rPr>
          <w:rFonts w:ascii="Times New Roman" w:cs="Times New Roman" w:eastAsia="Times New Roman" w:hAnsi="Times New Roman"/>
          <w:sz w:val="18"/>
          <w:szCs w:val="18"/>
          <w:color w:val="auto"/>
        </w:rPr>
        <w:t>for additional information.</w:t>
      </w:r>
    </w:p>
    <w:p>
      <w:pPr>
        <w:spacing w:after="0" w:line="189" w:lineRule="exact"/>
        <w:rPr>
          <w:sz w:val="20"/>
          <w:szCs w:val="20"/>
          <w:color w:val="auto"/>
        </w:rPr>
      </w:pPr>
    </w:p>
    <w:p>
      <w:pPr>
        <w:jc w:val="center"/>
        <w:ind w:left="60" w:right="499"/>
        <w:spacing w:after="0" w:line="312" w:lineRule="auto"/>
        <w:rPr>
          <w:sz w:val="20"/>
          <w:szCs w:val="20"/>
          <w:color w:val="auto"/>
        </w:rPr>
      </w:pPr>
      <w:r>
        <w:rPr>
          <w:rFonts w:ascii="Times New Roman" w:cs="Times New Roman" w:eastAsia="Times New Roman" w:hAnsi="Times New Roman"/>
          <w:sz w:val="17"/>
          <w:szCs w:val="17"/>
          <w:color w:val="auto"/>
        </w:rPr>
        <w:t>As of September 30, 2026 and December 31, 2025, we were required to provide surety bonds that guarantee completion and maintenance of certain infrastructure in certain development projects and mitigation banks, as well as</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other financial guarantees of $13.2 million and $14.7 million, respectively, as well as standby letters of credit in the amount of $0.7 million and $0.4 million, respectively, which may potentially result in a liability to us if certain obligations are not met.</w:t>
      </w:r>
    </w:p>
    <w:p>
      <w:pPr>
        <w:spacing w:after="0" w:line="176" w:lineRule="exact"/>
        <w:rPr>
          <w:sz w:val="20"/>
          <w:szCs w:val="20"/>
          <w:color w:val="auto"/>
        </w:rPr>
      </w:pPr>
    </w:p>
    <w:p>
      <w:pPr>
        <w:jc w:val="both"/>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As of September 30, 2026, we had a $0.5 million revolving line of credit for credit card usage, maturing in December 2049. As of September 30, 2026, the outstanding principal balance was $0.3 million on the line of credit, included within accounts payable and other liabilities on the condensed consolidated balance sheets.</w:t>
      </w:r>
    </w:p>
    <w:p>
      <w:pPr>
        <w:spacing w:after="0" w:line="176" w:lineRule="exact"/>
        <w:rPr>
          <w:sz w:val="20"/>
          <w:szCs w:val="20"/>
          <w:color w:val="auto"/>
        </w:rPr>
      </w:pPr>
    </w:p>
    <w:p>
      <w:pPr>
        <w:ind w:left="60" w:right="179" w:firstLine="324"/>
        <w:spacing w:after="0" w:line="274" w:lineRule="auto"/>
        <w:rPr>
          <w:sz w:val="20"/>
          <w:szCs w:val="20"/>
          <w:color w:val="auto"/>
        </w:rPr>
      </w:pPr>
      <w:r>
        <w:rPr>
          <w:rFonts w:ascii="Times New Roman" w:cs="Times New Roman" w:eastAsia="Times New Roman" w:hAnsi="Times New Roman"/>
          <w:sz w:val="17"/>
          <w:szCs w:val="17"/>
          <w:color w:val="auto"/>
        </w:rPr>
        <w:t>In conducting our operations, we routinely hold customers’ assets in escrow pending completion of real estate transactions, and are responsible for the proper disposition of these balances for our customers. These amounts are maintained in segregated bank accounts and have not been included in the accompanying condensed consolidated balance sheets, consistent with GAAP and industry practice. The cash deposit accounts and offsetting liability balances for escrow deposits in connection with our title insurance agencies for real estate transactions were $13.2 million and $8.0 million as of September 30, 2026 and December 31, 2025, respectively. These escrow funds are not available for regular operations.</w:t>
      </w:r>
    </w:p>
    <w:p>
      <w:pPr>
        <w:spacing w:after="0" w:line="1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Summary of Cash Flows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 summary of our cash flows from operating, investing and financing activities are as follows:</w:t>
      </w:r>
    </w:p>
    <w:p>
      <w:pPr>
        <w:spacing w:after="0" w:line="239"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760" w:type="dxa"/>
            <w:vAlign w:val="bottom"/>
          </w:tcPr>
          <w:p>
            <w:pPr>
              <w:spacing w:after="0"/>
              <w:rPr>
                <w:sz w:val="20"/>
                <w:szCs w:val="20"/>
                <w:color w:val="auto"/>
              </w:rPr>
            </w:pPr>
          </w:p>
        </w:tc>
        <w:tc>
          <w:tcPr>
            <w:tcW w:w="314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b w:val="1"/>
                <w:bCs w:val="1"/>
                <w:color w:val="auto"/>
              </w:rPr>
              <w:t>Nine Months Ended September 30,</w:t>
            </w:r>
          </w:p>
        </w:tc>
      </w:tr>
      <w:tr>
        <w:trPr>
          <w:trHeight w:val="210"/>
        </w:trPr>
        <w:tc>
          <w:tcPr>
            <w:tcW w:w="5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top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5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5"/>
          </w:tcPr>
          <w:p>
            <w:pPr>
              <w:jc w:val="right"/>
              <w:ind w:right="8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720" w:type="dxa"/>
            <w:vAlign w:val="bottom"/>
          </w:tcPr>
          <w:p>
            <w:pPr>
              <w:spacing w:after="0"/>
              <w:rPr>
                <w:sz w:val="17"/>
                <w:szCs w:val="17"/>
                <w:color w:val="auto"/>
              </w:rPr>
            </w:pP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16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5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w:t>
            </w: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r>
      <w:tr>
        <w:trPr>
          <w:trHeight w:val="210"/>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the period</w:t>
            </w:r>
          </w:p>
        </w:tc>
        <w:tc>
          <w:tcPr>
            <w:tcW w:w="9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r>
      <w:tr>
        <w:trPr>
          <w:trHeight w:val="210"/>
        </w:trPr>
        <w:tc>
          <w:tcPr>
            <w:tcW w:w="5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the period</w:t>
            </w:r>
          </w:p>
        </w:tc>
        <w:tc>
          <w:tcPr>
            <w:tcW w:w="94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125.4</w:t>
            </w:r>
          </w:p>
        </w:tc>
        <w:tc>
          <w:tcPr>
            <w:tcW w:w="240" w:type="dxa"/>
            <w:vAlign w:val="bottom"/>
            <w:gridSpan w:val="2"/>
          </w:tcPr>
          <w:p>
            <w:pPr>
              <w:spacing w:after="0"/>
              <w:rPr>
                <w:sz w:val="18"/>
                <w:szCs w:val="18"/>
                <w:color w:val="auto"/>
              </w:rPr>
            </w:pPr>
          </w:p>
        </w:tc>
        <w:tc>
          <w:tcPr>
            <w:tcW w:w="2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133.5</w:t>
            </w:r>
          </w:p>
        </w:tc>
      </w:tr>
      <w:tr>
        <w:trPr>
          <w:trHeight w:val="20"/>
        </w:trPr>
        <w:tc>
          <w:tcPr>
            <w:tcW w:w="5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229"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 xml:space="preserve">Net cash provided by operating activities includes net income, adjustments for non-cash items, distribution of earnings from unconsolidated joint ventures, changes in operating assets and liabilities and expenditures related to assets planned to be sold. Adjustments for non-cash items primarily include depreciation, depletion and amortization, equity in loss (income) from unconsolidated joint ventures, deferred income tax, cost of real estate sold and land sale to unconsolidated joint venture. Net cash provided by operations was $143.9 million during the nine months ended September 30, 2026, as compared to $146.3 million during the same period in 2025. Net income was $91.3 million during the nine months ended September 30, 2026, as compared to $86.6 million during the same period in 2025. The decrease in net cash provided by operating activities was primarily due to the changes in land sale to unconsolidated joint venture, distribution of earnings from unconsolidated joint ventures, cost of real estate sold, accounts receivable and other assets and deferred income tax, partially offset by the changes in expenditures for and acquisition of real estate to be sold, equity in loss (income) from unconsolidated joint ventures, net income, deferred revenue and accounts payable and other liabilities during the period. The nine months ended September 30, 2026, include the sale of additional land to the Latitude Margaritaville Watersound JV of $31.4 million for the initial net present value of additional land sold included in revenue and investment in unconsolidated joint ventures and $9.6 million of cost of revenue. The nine months ended September 30, 2026, also includes intra-entity profit elimination in equity in (loss) income from unconsolidated joint ventures, based on our ownership interest, of $10.9 million, related to an additional land sale to the Latitude Margaritaville Watersound JV, a pro-rata portion of which will be recognized as each home on the land is sold by the JV. See Note 4. </w:t>
      </w:r>
      <w:r>
        <w:rPr>
          <w:rFonts w:ascii="Times New Roman" w:cs="Times New Roman" w:eastAsia="Times New Roman" w:hAnsi="Times New Roman"/>
          <w:sz w:val="18"/>
          <w:szCs w:val="18"/>
          <w:i w:val="1"/>
          <w:iCs w:val="1"/>
          <w:color w:val="auto"/>
        </w:rPr>
        <w:t>Joint Ventures</w:t>
      </w:r>
      <w:r>
        <w:rPr>
          <w:rFonts w:ascii="Times New Roman" w:cs="Times New Roman" w:eastAsia="Times New Roman" w:hAnsi="Times New Roman"/>
          <w:sz w:val="18"/>
          <w:szCs w:val="18"/>
          <w:color w:val="auto"/>
        </w:rPr>
        <w:t xml:space="preserve"> for additional information.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229"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Net cash used in investing activities primarily includes capital expenditures for operating property and property and equipment used in our operations and capital contributions to unconsolidated joint ventures, partially offset by maturities of assets held by SPEs and proceeds from the disposition of assets. During the nine months ended September 30, 2026, net cash used in investing activities was $29.6 million, which included capital expenditures for operating property and property and equipment of $26.9 million, primarily for our commercial and hospitality segments, and capital contributions to unconsolidated joint ventures of $3.5 million, partially offset by maturities of assets held by SPEs of $0.8 million. During the nine months ended September 30, 2025, net cash used in investing activities was $17.3 million, which included capital expenditures for operating property and property and equipment of $19.8 million, primarily for our commercial and hospitality segments and capital contributions to unconsolidated joint ventures of $2.9 million, partially offset by proceeds from the disposition of assets of $4.6 million primarily related to the sale of our N850J aircraft and maturities of assets held by SPEs of $0.8 million.</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229" w:lineRule="exact"/>
        <w:rPr>
          <w:sz w:val="20"/>
          <w:szCs w:val="20"/>
          <w:color w:val="auto"/>
        </w:rPr>
      </w:pPr>
    </w:p>
    <w:p>
      <w:pPr>
        <w:ind w:left="60" w:right="139" w:firstLine="324"/>
        <w:spacing w:after="0" w:line="252" w:lineRule="auto"/>
        <w:rPr>
          <w:sz w:val="20"/>
          <w:szCs w:val="20"/>
          <w:color w:val="auto"/>
        </w:rPr>
      </w:pPr>
      <w:r>
        <w:rPr>
          <w:rFonts w:ascii="Times New Roman" w:cs="Times New Roman" w:eastAsia="Times New Roman" w:hAnsi="Times New Roman"/>
          <w:sz w:val="18"/>
          <w:szCs w:val="18"/>
          <w:color w:val="auto"/>
        </w:rPr>
        <w:t xml:space="preserve">Net cash used in financing activities during the nine months ended September 30, 2026 was $125.4 million, compared to $91.8 million during the same period in 2025. Net cash used in financing activities during the nine months ended September 30, 2026, included the repurchase of 988,637 shares of our common stock outstanding of $65.4 million, including excise tax, principal payments for debt of $30.6 million, dividends paid of $0.48 per share on our common stock of $27.4 million, capital distributions to non-controlling interest of $1.4 million, payments for taxes withheld on vested restricted stock awards of $0.3 million and principal payments for finance leases of $0.3 million. Net cash used in financing activities during the nine months ended September 30, 2025, included principal payments for debt of $106.5 million primarily related to the refinance of the PPN JV Loan and North Bay Landing Loan and payoff of the Watercrest JV Loan, repurchase of 535,099 shares of our common stock outstanding of $25.1 million, including excise tax, dividends paid of $0.42 per share on our common stock of $24.4 million, capital distributions to non-controlling interest of $2.9 million, debt issuance costs of $0.6 million and principal payments for finance leases of $0.1 million. Net cash used in financing activities during the nine months ended September 30, 2025, was partially offset by borrowings on debt of $67.8 million related to the refinance of the PPN JV Loan and North Bay Landing Loan. See Note 8. </w:t>
      </w:r>
      <w:r>
        <w:rPr>
          <w:rFonts w:ascii="Times New Roman" w:cs="Times New Roman" w:eastAsia="Times New Roman" w:hAnsi="Times New Roman"/>
          <w:sz w:val="18"/>
          <w:szCs w:val="18"/>
          <w:i w:val="1"/>
          <w:iCs w:val="1"/>
          <w:color w:val="auto"/>
        </w:rPr>
        <w:t>Debt, Net</w:t>
      </w:r>
      <w:r>
        <w:rPr>
          <w:rFonts w:ascii="Times New Roman" w:cs="Times New Roman" w:eastAsia="Times New Roman" w:hAnsi="Times New Roman"/>
          <w:sz w:val="18"/>
          <w:szCs w:val="18"/>
          <w:color w:val="auto"/>
        </w:rPr>
        <w:t xml:space="preserve"> for additional information.</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9" w:lineRule="exact"/>
        <w:rPr>
          <w:sz w:val="20"/>
          <w:szCs w:val="20"/>
          <w:color w:val="auto"/>
        </w:rPr>
      </w:pPr>
    </w:p>
    <w:p>
      <w:pPr>
        <w:ind w:left="60" w:right="279" w:firstLine="324"/>
        <w:spacing w:after="0" w:line="282" w:lineRule="auto"/>
        <w:rPr>
          <w:sz w:val="20"/>
          <w:szCs w:val="20"/>
          <w:color w:val="auto"/>
        </w:rPr>
      </w:pPr>
      <w:r>
        <w:rPr>
          <w:rFonts w:ascii="Times New Roman" w:cs="Times New Roman" w:eastAsia="Times New Roman" w:hAnsi="Times New Roman"/>
          <w:sz w:val="18"/>
          <w:szCs w:val="18"/>
          <w:color w:val="auto"/>
        </w:rPr>
        <w:t>There were no material changes outside the ordinary course of our business in our contractual obligations during the third quarter of 2026.</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This quarterly report contains “forward-looking statements” within the meaning of Section 27A of the Securities Act of 1933 and Section 21E of the Exchange Act. These statements include, among other things, information about possible or assumed future results of the business and our financial condition, liquidity, results of operations, plans, strategies, prospects and objectives. Such forward-looking statements can generally be identified by our use of forward-looking terminology such as “may,” “will,” “expect,” “intend,” “anticipate,” “estimate,” “believe,” “continue” or other similar expressions concerning matters that are not historical facts.</w:t>
      </w:r>
    </w:p>
    <w:p>
      <w:pPr>
        <w:spacing w:after="0" w:line="187"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We caution you that all forward-looking statements involve risks and uncertainties, and while we believe that our expectations for the future are reasonable in view of currently available information, you are cautioned not to place undue reliance on our forward-looking statements. Actual results or events may differ materially from those indicated as a result of various important factors, including: our ability to successfully implement our strategic objectives; new or increased competition across our business units; any decline in general economic conditions, particularly in our primary markets; interest rate fluctuations; persistent inflation; elevated fuel costs; higher insurance costs and our ability to obtain adequate insurance coverage for our properties; financial institution disruptions; supply chain disruptions, including as a result of conflicts; geopolitical conflicts and political uncertainty and the corresponding impact on the global economy; the imposition of tariffs and uncertainty regarding trade policies; changes in consumer sentiment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99"/>
        <w:spacing w:after="0" w:line="251" w:lineRule="auto"/>
        <w:rPr>
          <w:sz w:val="20"/>
          <w:szCs w:val="20"/>
          <w:color w:val="auto"/>
        </w:rPr>
      </w:pPr>
      <w:r>
        <w:rPr>
          <w:rFonts w:ascii="Times New Roman" w:cs="Times New Roman" w:eastAsia="Times New Roman" w:hAnsi="Times New Roman"/>
          <w:sz w:val="18"/>
          <w:szCs w:val="18"/>
          <w:color w:val="auto"/>
        </w:rPr>
        <w:t>confidence that may impact demand across our segments; our ability to successfully execute or integrate acquisitions and new business endeavors, such as Watersound Weddings &amp; Events; our ability to yield anticipated returns from our developments and projects; our ability to cooperate effectively with new builder partners; our ability to effectively manage our real estate assets, as well as the ability for us or our JV partners to effectively manage the day-to-day activities of our JV projects and any related expansions; our ability to complete construction and development projects within expected timeframes; the interest of prospective guests in our hotels; reductions in travel and other risks inherent to the hospitality industry; the illiquidity of all real estate assets; financial risks, including risks relating to currency fluctuations, credit risks, and fluctuations in the market value of our investment portfolio; any potential negative impact of our longer-term property development strategy, including losses and negative cash flows for an extended period of time if we continue with the self-development of granted entitlements; our dependence on homebuilders; mix of sales from different communities and the corresponding impact on sales period over period; the financial condition of our commercial tenants; regulatory and insurance risks associated with a senior living facility; any reduction in the supply of mortgage loans or tightening of credit markets; our dependence on strong migration and population expansion in our regions of development, particularly Northwest Florida; our ability to fully recover from severe weather conditions and natural disasters; the actual or perceived threat of climate change; the seasonality of our business; our dependence on certain third party providers; the decreased ability of minority shareholders to influence corporate matters, due to concentrated ownership of largest shareholder; the impact of unfavorable legal proceedings or government investigations; the impact of complex and changing laws and regulations in the areas where we operate; changes in tax rates, the adoption of new U.S. tax legislation, and exposure to additional tax liabilities; new litigation; our ability to attract and retain qualified employees, particularly in our hospitality business; our ability to protect our information technology infrastructure and defend against cyber-attacks; increased media, political, and regulatory scrutiny negatively impacting our reputation; our ability to maintain adequate internal controls; risks associated with our financing arrangements, including our compliance with certain restrictions and limitations; our ability to pay our quarterly dividend and our ability to repurchase stock under our stock repurchase program; and the other risks and uncertainties discussed in “Risk Factors” beginning on page 7 of our most recent Annual Report on Form 10-K and from time to time in our subsequent filings with the SEC. We assume no obligation to revise or publicly release any revision to any forward-looking statements contained in this Quarterly Report on Form 10-Q unless required by law.</w:t>
      </w:r>
    </w:p>
    <w:p>
      <w:pPr>
        <w:spacing w:after="0" w:line="199"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229"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We are exposed to market risks primarily from interest rate risk fluctuations. We have investments in short-term U.S. Treasury Bills classified as cash equivalents that have fixed interest rates for which changes in interest rates generally affect the fair value of the investment, but not the earnings or cash flows. A hypothetical 100 basis point increase in interest rates would result in a decrease of less than $0.1 million in the market value of these investments as of</w:t>
      </w:r>
    </w:p>
    <w:p>
      <w:pPr>
        <w:spacing w:after="0" w:line="3" w:lineRule="exact"/>
        <w:rPr>
          <w:sz w:val="20"/>
          <w:szCs w:val="20"/>
          <w:color w:val="auto"/>
        </w:rPr>
      </w:pPr>
    </w:p>
    <w:p>
      <w:pPr>
        <w:ind w:left="60" w:right="359"/>
        <w:spacing w:after="0" w:line="260" w:lineRule="auto"/>
        <w:rPr>
          <w:sz w:val="20"/>
          <w:szCs w:val="20"/>
          <w:color w:val="auto"/>
        </w:rPr>
      </w:pPr>
      <w:r>
        <w:rPr>
          <w:rFonts w:ascii="Times New Roman" w:cs="Times New Roman" w:eastAsia="Times New Roman" w:hAnsi="Times New Roman"/>
          <w:sz w:val="18"/>
          <w:szCs w:val="18"/>
          <w:color w:val="auto"/>
        </w:rPr>
        <w:t>September 30, 2026. Any realized gain or loss resulting from such interest rate changes would only occur if we sold the investments prior to maturity or if a decline in their value is determined to be related to credit loss.</w:t>
      </w:r>
    </w:p>
    <w:p>
      <w:pPr>
        <w:spacing w:after="0" w:line="181" w:lineRule="exact"/>
        <w:rPr>
          <w:sz w:val="20"/>
          <w:szCs w:val="20"/>
          <w:color w:val="auto"/>
        </w:rPr>
      </w:pPr>
    </w:p>
    <w:p>
      <w:pPr>
        <w:jc w:val="both"/>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We have historically been exposed, and in the future may again be exposed, to credit risk associated with investments classified as available-for-sale securities (“Securities”) and these instruments are subject to price fluctuations as a result of changes in the financial market’s assessment of issuer credit quality, increases in delinquency and default rates, changes in prevailing interest rates and other economic factors. A downgrade of the U.S. government’s credit rating may also decrease the value of Securities.</w:t>
      </w:r>
    </w:p>
    <w:p>
      <w:pPr>
        <w:spacing w:after="0" w:line="183" w:lineRule="exact"/>
        <w:rPr>
          <w:sz w:val="20"/>
          <w:szCs w:val="20"/>
          <w:color w:val="auto"/>
        </w:rPr>
      </w:pPr>
    </w:p>
    <w:p>
      <w:pPr>
        <w:ind w:left="60" w:right="219" w:firstLine="324"/>
        <w:spacing w:after="0" w:line="282" w:lineRule="auto"/>
        <w:rPr>
          <w:sz w:val="20"/>
          <w:szCs w:val="20"/>
          <w:color w:val="auto"/>
        </w:rPr>
      </w:pPr>
      <w:r>
        <w:rPr>
          <w:rFonts w:ascii="Times New Roman" w:cs="Times New Roman" w:eastAsia="Times New Roman" w:hAnsi="Times New Roman"/>
          <w:sz w:val="18"/>
          <w:szCs w:val="18"/>
          <w:color w:val="auto"/>
        </w:rPr>
        <w:t>Some of our cash and cash equivalents are invested in money market instruments. Changes in interest rates related to these investments would not significantly impact our results of operations.</w:t>
      </w:r>
    </w:p>
    <w:p>
      <w:pPr>
        <w:spacing w:after="0" w:line="162"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We are subject to interest rate risk on our variable-rate debt and utilize derivative financial instruments to reduce our exposure to market risks from changes in interest rates on certain loans. We have entered into interest rate swap agreements designated as cash flow hedges to manage the interest rate risk associated with some of our variable rate debt, with changes in the fair value recorded to accumulated other comprehensive income. As of September 30, 2026, we had variable-rate debt outstanding totaling $92.5 million, of which $39.1 million was swapped to a fixed interest rate. As of</w:t>
      </w:r>
    </w:p>
    <w:p>
      <w:pPr>
        <w:spacing w:after="0" w:line="3" w:lineRule="exact"/>
        <w:rPr>
          <w:sz w:val="20"/>
          <w:szCs w:val="20"/>
          <w:color w:val="auto"/>
        </w:rPr>
      </w:pPr>
    </w:p>
    <w:p>
      <w:pPr>
        <w:jc w:val="both"/>
        <w:ind w:left="60" w:right="119"/>
        <w:spacing w:after="0" w:line="250" w:lineRule="auto"/>
        <w:rPr>
          <w:sz w:val="20"/>
          <w:szCs w:val="20"/>
          <w:color w:val="auto"/>
        </w:rPr>
      </w:pPr>
      <w:r>
        <w:rPr>
          <w:rFonts w:ascii="Times New Roman" w:cs="Times New Roman" w:eastAsia="Times New Roman" w:hAnsi="Times New Roman"/>
          <w:sz w:val="18"/>
          <w:szCs w:val="18"/>
          <w:color w:val="auto"/>
        </w:rPr>
        <w:t>September 30, 2026, the weighted average interest rate on our variable rate loans, excluding the swapped portion, based on SOFR was 6.1%. Based on the outstanding balance of these loans as of September 30, 2026, a hypothetical 100 basis point increase in the applicable rate would result in an increase to our annual interest expense of $0.5 million. See Note 5.</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Financial Instruments and Fair Value Measurements </w:t>
      </w:r>
      <w:r>
        <w:rPr>
          <w:rFonts w:ascii="Times New Roman" w:cs="Times New Roman" w:eastAsia="Times New Roman" w:hAnsi="Times New Roman"/>
          <w:sz w:val="18"/>
          <w:szCs w:val="18"/>
          <w:color w:val="auto"/>
        </w:rPr>
        <w:t>and Note 8.</w:t>
      </w:r>
      <w:r>
        <w:rPr>
          <w:rFonts w:ascii="Times New Roman" w:cs="Times New Roman" w:eastAsia="Times New Roman" w:hAnsi="Times New Roman"/>
          <w:sz w:val="18"/>
          <w:szCs w:val="18"/>
          <w:i w:val="1"/>
          <w:iCs w:val="1"/>
          <w:color w:val="auto"/>
        </w:rPr>
        <w:t xml:space="preserve"> Debt, Net </w:t>
      </w:r>
      <w:r>
        <w:rPr>
          <w:rFonts w:ascii="Times New Roman" w:cs="Times New Roman" w:eastAsia="Times New Roman" w:hAnsi="Times New Roman"/>
          <w:sz w:val="18"/>
          <w:szCs w:val="18"/>
          <w:color w:val="auto"/>
        </w:rPr>
        <w:t>for additional information.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Controls and Procedures</w:t>
      </w:r>
    </w:p>
    <w:p>
      <w:pPr>
        <w:spacing w:after="0" w:line="227" w:lineRule="exact"/>
        <w:rPr>
          <w:sz w:val="20"/>
          <w:szCs w:val="20"/>
          <w:color w:val="auto"/>
        </w:rPr>
      </w:pPr>
    </w:p>
    <w:p>
      <w:pPr>
        <w:ind w:left="60" w:right="19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r>
        <w:rPr>
          <w:rFonts w:ascii="Times New Roman" w:cs="Times New Roman" w:eastAsia="Times New Roman" w:hAnsi="Times New Roman"/>
          <w:sz w:val="18"/>
          <w:szCs w:val="18"/>
          <w:color w:val="auto"/>
        </w:rPr>
        <w:t>. Our Chief Executive Officer and Chief Financial Officer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evaluated the effectiveness of our disclosure controls and procedures (as such term is defined in Rules 13a-15(e) and 15d-15(e) under the Exchange Act) as of the end of the period covered by this report. Based on this evaluation, our Chief Executive Officer and Chief Financial Officer have concluded that, as of the end of the period covered by this report, our disclosure controls and procedures were effective.</w:t>
      </w:r>
    </w:p>
    <w:p>
      <w:pPr>
        <w:spacing w:after="0" w:line="183" w:lineRule="exact"/>
        <w:rPr>
          <w:sz w:val="20"/>
          <w:szCs w:val="20"/>
          <w:color w:val="auto"/>
        </w:rPr>
      </w:pPr>
    </w:p>
    <w:p>
      <w:pPr>
        <w:jc w:val="both"/>
        <w:ind w:left="60" w:right="17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r>
        <w:rPr>
          <w:rFonts w:ascii="Times New Roman" w:cs="Times New Roman" w:eastAsia="Times New Roman" w:hAnsi="Times New Roman"/>
          <w:sz w:val="18"/>
          <w:szCs w:val="18"/>
          <w:color w:val="auto"/>
        </w:rPr>
        <w:t>. During the quarter ended September 30, 2026, there were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in our internal control over financial reporting that have materially affected, or are reasonably likely to materially affect, our internal control over financial reporting.</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Legal Proceedings</w:t>
      </w:r>
    </w:p>
    <w:p>
      <w:pPr>
        <w:spacing w:after="0" w:line="229"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 xml:space="preserve">We are subject to a variety of litigation, claims, other disputes and governmental proceedings that arise from time to time in the ordinary course of our business, none of which we believe will have a material adverse effect on our consolidated financial position, results of operations or liquidity. In addition, we are subject to environmental laws and regulations, which include obligations to remove or limit the effects on the environment of the disposal or release of certain wastes or substances at various sites, including sites which have been previously sold. See Note 17. </w:t>
      </w:r>
      <w:r>
        <w:rPr>
          <w:rFonts w:ascii="Times New Roman" w:cs="Times New Roman" w:eastAsia="Times New Roman" w:hAnsi="Times New Roman"/>
          <w:sz w:val="18"/>
          <w:szCs w:val="18"/>
          <w:i w:val="1"/>
          <w:iCs w:val="1"/>
          <w:color w:val="auto"/>
        </w:rPr>
        <w:t>Commitments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for additional information.</w:t>
      </w:r>
    </w:p>
    <w:p>
      <w:pPr>
        <w:spacing w:after="0" w:line="183" w:lineRule="exact"/>
        <w:rPr>
          <w:sz w:val="20"/>
          <w:szCs w:val="20"/>
          <w:color w:val="auto"/>
        </w:rPr>
      </w:pPr>
    </w:p>
    <w:p>
      <w:pPr>
        <w:ind w:left="6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229"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A description of the risk factors associated with our business is contained in the “Risk Factors” section of our Annual Report on Form 10-K for the fiscal year ended December 31, 2025. There have been no material changes to our Risk Factors as previously reported.</w:t>
      </w:r>
    </w:p>
    <w:p>
      <w:pPr>
        <w:spacing w:after="0" w:line="172"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Unregistered Sales of Equity Securities and Use of Proceeds</w:t>
      </w:r>
    </w:p>
    <w:p>
      <w:pPr>
        <w:spacing w:after="0" w:line="229"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Our Board has approved the Stock Repurchase Program pursuant to which we are authorized to repurchase shares of our common stock. The program has no expiration date. In May 2026, the Board increased the total authorization under the Stock Repurchase Program to $200.0 million. As of September 30, 2026, we had a total authority of $145.8 million available for repurchase of shares of our common stock outstanding. We may repurchase our common stock in open market purchases from time to time, in privately negotiated transactions or otherwise, pursuant to Rule 10b-18 under the Exchange Act. The timing and amount of any additional stock to be repurchased will depend upon a variety of factors. Repurchases may be commenced or suspended at any time or from time to time without prior notice. The program will continue until otherwise modified or terminated by our Board at any time in its sole discretion.</w:t>
      </w:r>
    </w:p>
    <w:p>
      <w:pPr>
        <w:spacing w:after="0" w:line="1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provides information on our repurchase of common stock during the three months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30, 2026:</w:t>
      </w:r>
    </w:p>
    <w:p>
      <w:pPr>
        <w:spacing w:after="0" w:line="9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60" w:type="dxa"/>
            <w:vAlign w:val="bottom"/>
            <w:gridSpan w:val="2"/>
          </w:tcPr>
          <w:p>
            <w:pPr>
              <w:jc w:val="right"/>
              <w:ind w:right="1002"/>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8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​​​Maximum Dollar Value of</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20" w:type="dxa"/>
            <w:vAlign w:val="bottom"/>
          </w:tcPr>
          <w:p>
            <w:pPr>
              <w:spacing w:after="0"/>
              <w:rPr>
                <w:sz w:val="12"/>
                <w:szCs w:val="12"/>
                <w:color w:val="auto"/>
              </w:rPr>
            </w:pPr>
          </w:p>
        </w:tc>
        <w:tc>
          <w:tcPr>
            <w:tcW w:w="14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Stock that May Yet Be</w:t>
            </w:r>
          </w:p>
        </w:tc>
        <w:tc>
          <w:tcPr>
            <w:tcW w:w="0" w:type="dxa"/>
            <w:vAlign w:val="bottom"/>
          </w:tcPr>
          <w:p>
            <w:pPr>
              <w:spacing w:after="0"/>
              <w:rPr>
                <w:sz w:val="1"/>
                <w:szCs w:val="1"/>
                <w:color w:val="auto"/>
              </w:rPr>
            </w:pPr>
          </w:p>
        </w:tc>
      </w:tr>
      <w:tr>
        <w:trPr>
          <w:trHeight w:val="146"/>
        </w:trPr>
        <w:tc>
          <w:tcPr>
            <w:tcW w:w="2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ind w:left="120"/>
              <w:spacing w:after="0" w:line="146" w:lineRule="exact"/>
              <w:rPr>
                <w:sz w:val="20"/>
                <w:szCs w:val="20"/>
                <w:color w:val="auto"/>
              </w:rPr>
            </w:pPr>
            <w:r>
              <w:rPr>
                <w:rFonts w:ascii="Times New Roman" w:cs="Times New Roman" w:eastAsia="Times New Roman" w:hAnsi="Times New Roman"/>
                <w:sz w:val="14"/>
                <w:szCs w:val="14"/>
                <w:b w:val="1"/>
                <w:bCs w:val="1"/>
                <w:color w:val="auto"/>
              </w:rPr>
              <w:t>Publicly Announced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176"/>
        </w:trPr>
        <w:tc>
          <w:tcPr>
            <w:tcW w:w="29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60" w:type="dxa"/>
            <w:vAlign w:val="bottom"/>
          </w:tcPr>
          <w:p>
            <w:pPr>
              <w:spacing w:after="0"/>
              <w:rPr>
                <w:sz w:val="15"/>
                <w:szCs w:val="15"/>
                <w:color w:val="auto"/>
              </w:rPr>
            </w:pPr>
          </w:p>
        </w:tc>
        <w:tc>
          <w:tcPr>
            <w:tcW w:w="1100" w:type="dxa"/>
            <w:vAlign w:val="bottom"/>
            <w:gridSpan w:val="3"/>
          </w:tcPr>
          <w:p>
            <w:pPr>
              <w:spacing w:after="0" w:line="176" w:lineRule="exact"/>
              <w:rPr>
                <w:sz w:val="20"/>
                <w:szCs w:val="20"/>
                <w:color w:val="auto"/>
              </w:rPr>
            </w:pPr>
            <w:r>
              <w:rPr>
                <w:rFonts w:ascii="Times New Roman" w:cs="Times New Roman" w:eastAsia="Times New Roman" w:hAnsi="Times New Roman"/>
                <w:sz w:val="14"/>
                <w:szCs w:val="14"/>
                <w:b w:val="1"/>
                <w:bCs w:val="1"/>
                <w:color w:val="auto"/>
                <w:w w:val="99"/>
              </w:rPr>
              <w:t xml:space="preserve">Paid per Share </w:t>
            </w:r>
            <w:r>
              <w:rPr>
                <w:rFonts w:ascii="Times New Roman" w:cs="Times New Roman" w:eastAsia="Times New Roman" w:hAnsi="Times New Roman"/>
                <w:sz w:val="20"/>
                <w:szCs w:val="20"/>
                <w:b w:val="1"/>
                <w:bCs w:val="1"/>
                <w:color w:val="auto"/>
                <w:w w:val="99"/>
                <w:vertAlign w:val="superscript"/>
              </w:rPr>
              <w:t>(a)</w:t>
            </w:r>
          </w:p>
        </w:tc>
        <w:tc>
          <w:tcPr>
            <w:tcW w:w="120" w:type="dxa"/>
            <w:vAlign w:val="bottom"/>
          </w:tcPr>
          <w:p>
            <w:pPr>
              <w:spacing w:after="0"/>
              <w:rPr>
                <w:sz w:val="15"/>
                <w:szCs w:val="15"/>
                <w:color w:val="auto"/>
              </w:rPr>
            </w:pPr>
          </w:p>
        </w:tc>
        <w:tc>
          <w:tcPr>
            <w:tcW w:w="1480" w:type="dxa"/>
            <w:vAlign w:val="bottom"/>
          </w:tcPr>
          <w:p>
            <w:pPr>
              <w:ind w:left="80"/>
              <w:spacing w:after="0" w:line="176" w:lineRule="exact"/>
              <w:rPr>
                <w:sz w:val="20"/>
                <w:szCs w:val="20"/>
                <w:color w:val="auto"/>
              </w:rPr>
            </w:pPr>
            <w:r>
              <w:rPr>
                <w:rFonts w:ascii="Times New Roman" w:cs="Times New Roman" w:eastAsia="Times New Roman" w:hAnsi="Times New Roman"/>
                <w:sz w:val="14"/>
                <w:szCs w:val="14"/>
                <w:b w:val="1"/>
                <w:bCs w:val="1"/>
                <w:color w:val="auto"/>
              </w:rPr>
              <w:t xml:space="preserve">Plans or Programs </w:t>
            </w:r>
            <w:r>
              <w:rPr>
                <w:rFonts w:ascii="Times New Roman" w:cs="Times New Roman" w:eastAsia="Times New Roman" w:hAnsi="Times New Roman"/>
                <w:sz w:val="20"/>
                <w:szCs w:val="20"/>
                <w:b w:val="1"/>
                <w:bCs w:val="1"/>
                <w:color w:val="auto"/>
                <w:vertAlign w:val="superscript"/>
              </w:rPr>
              <w:t>(b)</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2"/>
          </w:tcPr>
          <w:p>
            <w:pPr>
              <w:jc w:val="center"/>
              <w:ind w:right="140"/>
              <w:spacing w:after="0" w:line="176" w:lineRule="exact"/>
              <w:rPr>
                <w:sz w:val="20"/>
                <w:szCs w:val="20"/>
                <w:color w:val="auto"/>
              </w:rPr>
            </w:pPr>
            <w:r>
              <w:rPr>
                <w:rFonts w:ascii="Times New Roman" w:cs="Times New Roman" w:eastAsia="Times New Roman" w:hAnsi="Times New Roman"/>
                <w:sz w:val="14"/>
                <w:szCs w:val="14"/>
                <w:b w:val="1"/>
                <w:bCs w:val="1"/>
                <w:color w:val="auto"/>
                <w:w w:val="98"/>
              </w:rPr>
              <w:t xml:space="preserve">Plans or Programs </w:t>
            </w:r>
            <w:r>
              <w:rPr>
                <w:rFonts w:ascii="Times New Roman" w:cs="Times New Roman" w:eastAsia="Times New Roman" w:hAnsi="Times New Roman"/>
                <w:sz w:val="20"/>
                <w:szCs w:val="20"/>
                <w:b w:val="1"/>
                <w:bCs w:val="1"/>
                <w:color w:val="auto"/>
                <w:w w:val="98"/>
                <w:vertAlign w:val="superscript"/>
              </w:rPr>
              <w:t>(b)</w:t>
            </w:r>
          </w:p>
        </w:tc>
        <w:tc>
          <w:tcPr>
            <w:tcW w:w="0" w:type="dxa"/>
            <w:vAlign w:val="bottom"/>
          </w:tcPr>
          <w:p>
            <w:pPr>
              <w:spacing w:after="0"/>
              <w:rPr>
                <w:sz w:val="1"/>
                <w:szCs w:val="1"/>
                <w:color w:val="auto"/>
              </w:rPr>
            </w:pPr>
          </w:p>
        </w:tc>
      </w:tr>
      <w:tr>
        <w:trPr>
          <w:trHeight w:val="142"/>
        </w:trPr>
        <w:tc>
          <w:tcPr>
            <w:tcW w:w="22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jc w:val="center"/>
              <w:ind w:right="39"/>
              <w:spacing w:after="0" w:line="142"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1-31, 2026</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73,900</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61.47</w:t>
            </w:r>
          </w:p>
        </w:tc>
        <w:tc>
          <w:tcPr>
            <w:tcW w:w="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73,900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1-31, 2026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225,400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67.50</w:t>
            </w:r>
          </w:p>
        </w:tc>
        <w:tc>
          <w:tcPr>
            <w:tcW w:w="4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225,400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1-30, 2026</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65.29</w:t>
            </w:r>
          </w:p>
        </w:tc>
        <w:tc>
          <w:tcPr>
            <w:tcW w:w="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9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412,800</w:t>
            </w:r>
          </w:p>
        </w:tc>
        <w:tc>
          <w:tcPr>
            <w:tcW w:w="1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65.82</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412,800</w:t>
            </w:r>
          </w:p>
        </w:tc>
        <w:tc>
          <w:tcPr>
            <w:tcW w:w="16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
        </w:trPr>
        <w:tc>
          <w:tcPr>
            <w:tcW w:w="2240" w:type="dxa"/>
            <w:vAlign w:val="bottom"/>
            <w:tcBorders>
              <w:bottom w:val="single" w:sz="8" w:color="auto"/>
            </w:tcBorders>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380" w:hanging="330"/>
        <w:spacing w:after="0"/>
        <w:tabs>
          <w:tab w:leader="none" w:pos="3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excise tax.</w:t>
      </w:r>
    </w:p>
    <w:p>
      <w:pPr>
        <w:spacing w:after="0" w:line="26" w:lineRule="exact"/>
        <w:rPr>
          <w:rFonts w:ascii="Times New Roman" w:cs="Times New Roman" w:eastAsia="Times New Roman" w:hAnsi="Times New Roman"/>
          <w:sz w:val="16"/>
          <w:szCs w:val="16"/>
          <w:color w:val="auto"/>
        </w:rPr>
      </w:pPr>
    </w:p>
    <w:p>
      <w:pPr>
        <w:ind w:left="380" w:right="419" w:hanging="330"/>
        <w:spacing w:after="0" w:line="288" w:lineRule="auto"/>
        <w:tabs>
          <w:tab w:leader="none" w:pos="3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Board has adopted a Stock Repurchase Program. In May 2026, the Board increased the total authorization under the Stock Repurchase Program to $200.0 million.</w:t>
      </w:r>
    </w:p>
    <w:p>
      <w:pPr>
        <w:sectPr>
          <w:pgSz w:w="11900" w:h="16838" w:orient="portrait"/>
          <w:cols w:equalWidth="0" w:num="1">
            <w:col w:w="9019"/>
          </w:cols>
          <w:pgMar w:left="1440" w:top="513" w:right="1440" w:bottom="1440" w:gutter="0" w:footer="0" w:header="0"/>
        </w:sect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Defaults Upon Senior Securities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Mine Safety Disclosures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i w:val="1"/>
          <w:iCs w:val="1"/>
          <w:color w:val="auto"/>
        </w:rPr>
        <w:t>Other Information</w:t>
      </w:r>
    </w:p>
    <w:p>
      <w:pPr>
        <w:spacing w:after="0" w:line="229" w:lineRule="exact"/>
        <w:rPr>
          <w:sz w:val="20"/>
          <w:szCs w:val="20"/>
          <w:color w:val="auto"/>
        </w:rPr>
      </w:pPr>
    </w:p>
    <w:p>
      <w:pPr>
        <w:ind w:left="60" w:right="259"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2026, none of our directors or executive officers adopted, modified or terminated any contract, instruction or written plan for the purchase or sale of Company securities that was intended to satisfy the affirmative defense conditions of Rule 10b5-1(c) or any “non-Rule 10b5-1 trading arrangement”.</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80" w:type="dxa"/>
            <w:vAlign w:val="bottom"/>
          </w:tcPr>
          <w:p>
            <w:pPr>
              <w:spacing w:after="0"/>
              <w:rPr>
                <w:sz w:val="18"/>
                <w:szCs w:val="18"/>
                <w:color w:val="auto"/>
              </w:rPr>
            </w:pPr>
          </w:p>
        </w:tc>
        <w:tc>
          <w:tcPr>
            <w:tcW w:w="794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Exhibits</w:t>
            </w:r>
          </w:p>
        </w:tc>
        <w:tc>
          <w:tcPr>
            <w:tcW w:w="0" w:type="dxa"/>
            <w:vAlign w:val="bottom"/>
          </w:tcPr>
          <w:p>
            <w:pPr>
              <w:spacing w:after="0"/>
              <w:rPr>
                <w:sz w:val="1"/>
                <w:szCs w:val="1"/>
                <w:color w:val="auto"/>
              </w:rPr>
            </w:pPr>
          </w:p>
        </w:tc>
      </w:tr>
      <w:tr>
        <w:trPr>
          <w:trHeight w:val="238"/>
        </w:trPr>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940" w:type="dxa"/>
            <w:vAlign w:val="bottom"/>
            <w:gridSpan w:val="11"/>
          </w:tcPr>
          <w:p>
            <w:pPr>
              <w:ind w:left="2840"/>
              <w:spacing w:after="0"/>
              <w:rPr>
                <w:sz w:val="20"/>
                <w:szCs w:val="20"/>
                <w:color w:val="auto"/>
              </w:rPr>
            </w:pPr>
            <w:r>
              <w:rPr>
                <w:rFonts w:ascii="Times New Roman" w:cs="Times New Roman" w:eastAsia="Times New Roman" w:hAnsi="Times New Roman"/>
                <w:sz w:val="18"/>
                <w:szCs w:val="18"/>
                <w:b w:val="1"/>
                <w:bCs w:val="1"/>
                <w:color w:val="auto"/>
              </w:rPr>
              <w:t>Index to Exhibits</w:t>
            </w:r>
          </w:p>
        </w:tc>
        <w:tc>
          <w:tcPr>
            <w:tcW w:w="0" w:type="dxa"/>
            <w:vAlign w:val="bottom"/>
          </w:tcPr>
          <w:p>
            <w:pPr>
              <w:spacing w:after="0"/>
              <w:rPr>
                <w:sz w:val="1"/>
                <w:szCs w:val="1"/>
                <w:color w:val="auto"/>
              </w:rPr>
            </w:pPr>
          </w:p>
        </w:tc>
      </w:tr>
      <w:tr>
        <w:trPr>
          <w:trHeight w:val="353"/>
        </w:trPr>
        <w:tc>
          <w:tcPr>
            <w:tcW w:w="7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120" w:type="dxa"/>
            <w:vAlign w:val="bottom"/>
            <w:gridSpan w:val="12"/>
            <w:vMerge w:val="restart"/>
          </w:tcPr>
          <w:p>
            <w:pPr>
              <w:ind w:left="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7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120" w:type="dxa"/>
            <w:vAlign w:val="bottom"/>
            <w:gridSpan w:val="1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8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rPr>
                <w:sz w:val="14"/>
                <w:szCs w:val="14"/>
                <w:color w:val="auto"/>
              </w:rPr>
            </w:pPr>
          </w:p>
        </w:tc>
        <w:tc>
          <w:tcPr>
            <w:tcW w:w="7940" w:type="dxa"/>
            <w:vAlign w:val="bottom"/>
            <w:tcBorders>
              <w:top w:val="single" w:sz="8" w:color="auto"/>
            </w:tcBorders>
            <w:gridSpan w:val="11"/>
          </w:tcPr>
          <w:p>
            <w:pPr>
              <w:spacing w:after="0" w:line="169"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Restated and Amended Articles of Incorporation of the registrant (incorporated by reference to Exhibit 3.1 to</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4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the registrant’s Quarterly Report on Form 10-Q for the quarter ended June 30, 2010).</w:t>
              </w:r>
            </w:hyperlink>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17"/>
                <w:szCs w:val="17"/>
                <w:color w:val="auto"/>
              </w:rPr>
            </w:pPr>
          </w:p>
        </w:tc>
        <w:tc>
          <w:tcPr>
            <w:tcW w:w="7940" w:type="dxa"/>
            <w:vAlign w:val="bottom"/>
            <w:gridSpan w:val="11"/>
          </w:tcPr>
          <w:p>
            <w:pPr>
              <w:spacing w:after="0" w:line="19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Second Amended and Restated Bylaws of the registrant (incorporated by reference to Exhibit 3.1 to the</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10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17">
              <w:r>
                <w:rPr>
                  <w:rFonts w:ascii="Times New Roman" w:cs="Times New Roman" w:eastAsia="Times New Roman" w:hAnsi="Times New Roman"/>
                  <w:sz w:val="18"/>
                  <w:szCs w:val="18"/>
                  <w:color w:val="0000EE"/>
                  <w:w w:val="99"/>
                </w:rPr>
                <w:t>registrant’s Current Report on Form 8-K filed on November 15, 2022).</w:t>
              </w:r>
            </w:hyperlink>
          </w:p>
        </w:tc>
        <w:tc>
          <w:tcPr>
            <w:tcW w:w="2340" w:type="dxa"/>
            <w:vAlign w:val="bottom"/>
            <w:tcBorders>
              <w:top w:val="single" w:sz="8" w:color="0000EE"/>
            </w:tcBorders>
            <w:gridSpan w:val="6"/>
          </w:tcPr>
          <w:p>
            <w:pPr>
              <w:spacing w:after="0"/>
              <w:rPr>
                <w:sz w:val="17"/>
                <w:szCs w:val="17"/>
                <w:color w:val="auto"/>
              </w:rPr>
            </w:pPr>
          </w:p>
        </w:tc>
        <w:tc>
          <w:tcPr>
            <w:tcW w:w="5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80" w:type="dxa"/>
            <w:vAlign w:val="bottom"/>
          </w:tcPr>
          <w:p>
            <w:pPr>
              <w:spacing w:after="0"/>
              <w:rPr>
                <w:sz w:val="17"/>
                <w:szCs w:val="17"/>
                <w:color w:val="auto"/>
              </w:rPr>
            </w:pPr>
          </w:p>
        </w:tc>
        <w:tc>
          <w:tcPr>
            <w:tcW w:w="70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Principal Executive Officer under Section 302 of the Sarbanes-Oxley Act of 2002.</w:t>
            </w:r>
          </w:p>
        </w:tc>
        <w:tc>
          <w:tcPr>
            <w:tcW w:w="8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80" w:type="dxa"/>
            <w:vAlign w:val="bottom"/>
          </w:tcPr>
          <w:p>
            <w:pPr>
              <w:spacing w:after="0"/>
              <w:rPr>
                <w:sz w:val="17"/>
                <w:szCs w:val="17"/>
                <w:color w:val="auto"/>
              </w:rPr>
            </w:pPr>
          </w:p>
        </w:tc>
        <w:tc>
          <w:tcPr>
            <w:tcW w:w="794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Financial Officer under Section 302 of the Sarbanes-Oxley Act of 2002.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540" w:type="dxa"/>
            <w:vAlign w:val="bottom"/>
            <w:gridSpan w:val="3"/>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80" w:type="dxa"/>
            <w:vAlign w:val="bottom"/>
          </w:tcPr>
          <w:p>
            <w:pPr>
              <w:spacing w:after="0"/>
              <w:rPr>
                <w:sz w:val="17"/>
                <w:szCs w:val="17"/>
                <w:color w:val="auto"/>
              </w:rPr>
            </w:pPr>
          </w:p>
        </w:tc>
        <w:tc>
          <w:tcPr>
            <w:tcW w:w="794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Executive Officer, pursuant to 18 U.S.C. Section 1350, as adopted pursuant to</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8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Section 906 of the Sarbanes-Oxley Act of 2002.</w:t>
            </w:r>
          </w:p>
        </w:tc>
        <w:tc>
          <w:tcPr>
            <w:tcW w:w="3720" w:type="dxa"/>
            <w:vAlign w:val="bottom"/>
            <w:tcBorders>
              <w:top w:val="single" w:sz="8" w:color="0000EE"/>
            </w:tcBorders>
            <w:gridSpan w:val="6"/>
          </w:tcPr>
          <w:p>
            <w:pPr>
              <w:spacing w:after="0"/>
              <w:rPr>
                <w:sz w:val="17"/>
                <w:szCs w:val="17"/>
                <w:color w:val="auto"/>
              </w:rPr>
            </w:pPr>
          </w:p>
        </w:tc>
        <w:tc>
          <w:tcPr>
            <w:tcW w:w="7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80" w:type="dxa"/>
            <w:vAlign w:val="bottom"/>
          </w:tcPr>
          <w:p>
            <w:pPr>
              <w:spacing w:after="0"/>
              <w:rPr>
                <w:sz w:val="17"/>
                <w:szCs w:val="17"/>
                <w:color w:val="auto"/>
              </w:rPr>
            </w:pPr>
          </w:p>
        </w:tc>
        <w:tc>
          <w:tcPr>
            <w:tcW w:w="716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Financial Officer, pursuant to 18 U.S.C. Section 1350, as adopted pursuant to</w:t>
            </w:r>
          </w:p>
        </w:tc>
        <w:tc>
          <w:tcPr>
            <w:tcW w:w="7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906 of the Sarbanes-Oxley Act of 2002.</w:t>
            </w:r>
          </w:p>
        </w:tc>
        <w:tc>
          <w:tcPr>
            <w:tcW w:w="44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80" w:type="dxa"/>
            <w:vAlign w:val="bottom"/>
          </w:tcPr>
          <w:p>
            <w:pPr>
              <w:spacing w:after="0"/>
              <w:rPr>
                <w:sz w:val="18"/>
                <w:szCs w:val="18"/>
                <w:color w:val="auto"/>
              </w:rPr>
            </w:pPr>
          </w:p>
        </w:tc>
        <w:tc>
          <w:tcPr>
            <w:tcW w:w="79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0" w:type="dxa"/>
            <w:vAlign w:val="bottom"/>
          </w:tcPr>
          <w:p>
            <w:pPr>
              <w:spacing w:after="0"/>
              <w:rPr>
                <w:sz w:val="1"/>
                <w:szCs w:val="1"/>
                <w:color w:val="auto"/>
              </w:rPr>
            </w:pPr>
          </w:p>
        </w:tc>
      </w:tr>
      <w:tr>
        <w:trPr>
          <w:trHeight w:val="216"/>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*101.SCH</w:t>
            </w:r>
          </w:p>
        </w:tc>
        <w:tc>
          <w:tcPr>
            <w:tcW w:w="180" w:type="dxa"/>
            <w:vAlign w:val="bottom"/>
          </w:tcPr>
          <w:p>
            <w:pPr>
              <w:spacing w:after="0"/>
              <w:rPr>
                <w:sz w:val="18"/>
                <w:szCs w:val="18"/>
                <w:color w:val="auto"/>
              </w:rPr>
            </w:pPr>
          </w:p>
        </w:tc>
        <w:tc>
          <w:tcPr>
            <w:tcW w:w="79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16"/>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*101.DEF</w:t>
            </w:r>
          </w:p>
        </w:tc>
        <w:tc>
          <w:tcPr>
            <w:tcW w:w="180" w:type="dxa"/>
            <w:vAlign w:val="bottom"/>
          </w:tcPr>
          <w:p>
            <w:pPr>
              <w:spacing w:after="0"/>
              <w:rPr>
                <w:sz w:val="18"/>
                <w:szCs w:val="18"/>
                <w:color w:val="auto"/>
              </w:rPr>
            </w:pPr>
          </w:p>
        </w:tc>
        <w:tc>
          <w:tcPr>
            <w:tcW w:w="79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16"/>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6"/>
              </w:rPr>
              <w:t>*101.CAL</w:t>
            </w:r>
          </w:p>
        </w:tc>
        <w:tc>
          <w:tcPr>
            <w:tcW w:w="180" w:type="dxa"/>
            <w:vAlign w:val="bottom"/>
          </w:tcPr>
          <w:p>
            <w:pPr>
              <w:spacing w:after="0"/>
              <w:rPr>
                <w:sz w:val="18"/>
                <w:szCs w:val="18"/>
                <w:color w:val="auto"/>
              </w:rPr>
            </w:pPr>
          </w:p>
        </w:tc>
        <w:tc>
          <w:tcPr>
            <w:tcW w:w="79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16"/>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6"/>
              </w:rPr>
              <w:t>*101.LAB</w:t>
            </w:r>
          </w:p>
        </w:tc>
        <w:tc>
          <w:tcPr>
            <w:tcW w:w="180" w:type="dxa"/>
            <w:vAlign w:val="bottom"/>
          </w:tcPr>
          <w:p>
            <w:pPr>
              <w:spacing w:after="0"/>
              <w:rPr>
                <w:sz w:val="18"/>
                <w:szCs w:val="18"/>
                <w:color w:val="auto"/>
              </w:rPr>
            </w:pPr>
          </w:p>
        </w:tc>
        <w:tc>
          <w:tcPr>
            <w:tcW w:w="79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16"/>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180" w:type="dxa"/>
            <w:vAlign w:val="bottom"/>
          </w:tcPr>
          <w:p>
            <w:pPr>
              <w:spacing w:after="0"/>
              <w:rPr>
                <w:sz w:val="18"/>
                <w:szCs w:val="18"/>
                <w:color w:val="auto"/>
              </w:rPr>
            </w:pPr>
          </w:p>
        </w:tc>
        <w:tc>
          <w:tcPr>
            <w:tcW w:w="79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4"/>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Pr>
          <w:p>
            <w:pPr>
              <w:spacing w:after="0"/>
              <w:rPr>
                <w:sz w:val="20"/>
                <w:szCs w:val="20"/>
                <w:color w:val="auto"/>
              </w:rPr>
            </w:pPr>
          </w:p>
        </w:tc>
        <w:tc>
          <w:tcPr>
            <w:tcW w:w="79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78" w:lineRule="exact"/>
        <w:rPr>
          <w:sz w:val="20"/>
          <w:szCs w:val="20"/>
          <w:color w:val="auto"/>
        </w:rPr>
      </w:pPr>
    </w:p>
    <w:p>
      <w:pPr>
        <w:ind w:left="360" w:hanging="310"/>
        <w:spacing w:after="0"/>
        <w:tabs>
          <w:tab w:leader="none" w:pos="3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31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THE ST. JOE COMPANY</w:t>
            </w:r>
          </w:p>
        </w:tc>
      </w:tr>
      <w:tr>
        <w:trPr>
          <w:trHeight w:val="234"/>
        </w:trPr>
        <w:tc>
          <w:tcPr>
            <w:tcW w:w="4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(Registrant)</w:t>
            </w:r>
          </w:p>
        </w:tc>
      </w:tr>
      <w:tr>
        <w:trPr>
          <w:trHeight w:val="648"/>
        </w:trPr>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October 28, 2026</w:t>
            </w:r>
          </w:p>
        </w:tc>
        <w:tc>
          <w:tcPr>
            <w:tcW w:w="136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Jorge L. Gonzalez</w:t>
            </w:r>
          </w:p>
        </w:tc>
      </w:tr>
      <w:tr>
        <w:trPr>
          <w:trHeight w:val="189"/>
        </w:trPr>
        <w:tc>
          <w:tcPr>
            <w:tcW w:w="48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4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Jorge L. Gonzalez</w:t>
            </w:r>
          </w:p>
        </w:tc>
      </w:tr>
      <w:tr>
        <w:trPr>
          <w:trHeight w:val="216"/>
        </w:trPr>
        <w:tc>
          <w:tcPr>
            <w:tcW w:w="4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Chief Executive Officer and Chairman of the</w:t>
            </w:r>
          </w:p>
        </w:tc>
      </w:tr>
      <w:tr>
        <w:trPr>
          <w:trHeight w:val="218"/>
        </w:trPr>
        <w:tc>
          <w:tcPr>
            <w:tcW w:w="4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Board</w:t>
            </w:r>
          </w:p>
        </w:tc>
      </w:tr>
      <w:tr>
        <w:trPr>
          <w:trHeight w:val="234"/>
        </w:trPr>
        <w:tc>
          <w:tcPr>
            <w:tcW w:w="4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648"/>
        </w:trPr>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October 28, 2026</w:t>
            </w:r>
          </w:p>
        </w:tc>
        <w:tc>
          <w:tcPr>
            <w:tcW w:w="136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Marek Bakun</w:t>
            </w:r>
          </w:p>
        </w:tc>
      </w:tr>
      <w:tr>
        <w:trPr>
          <w:trHeight w:val="189"/>
        </w:trPr>
        <w:tc>
          <w:tcPr>
            <w:tcW w:w="48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4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Marek Bakun</w:t>
            </w:r>
          </w:p>
        </w:tc>
      </w:tr>
      <w:tr>
        <w:trPr>
          <w:trHeight w:val="218"/>
        </w:trPr>
        <w:tc>
          <w:tcPr>
            <w:tcW w:w="4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tc>
      </w:tr>
      <w:tr>
        <w:trPr>
          <w:trHeight w:val="216"/>
        </w:trPr>
        <w:tc>
          <w:tcPr>
            <w:tcW w:w="4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w:t>
            </w:r>
          </w:p>
        </w:tc>
      </w:tr>
      <w:tr>
        <w:trPr>
          <w:trHeight w:val="234"/>
        </w:trPr>
        <w:tc>
          <w:tcPr>
            <w:tcW w:w="4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r>
      <w:tr>
        <w:trPr>
          <w:trHeight w:val="864"/>
        </w:trPr>
        <w:tc>
          <w:tcPr>
            <w:tcW w:w="4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5840" w:type="dxa"/>
            <w:vAlign w:val="bottom"/>
            <w:gridSpan w:val="2"/>
          </w:tcPr>
          <w:p>
            <w:pPr>
              <w:jc w:val="right"/>
              <w:ind w:right="4270"/>
              <w:spacing w:after="0"/>
              <w:rPr>
                <w:sz w:val="20"/>
                <w:szCs w:val="20"/>
                <w:color w:val="auto"/>
              </w:rPr>
            </w:pPr>
            <w:r>
              <w:rPr>
                <w:rFonts w:ascii="Times New Roman" w:cs="Times New Roman" w:eastAsia="Times New Roman" w:hAnsi="Times New Roman"/>
                <w:sz w:val="18"/>
                <w:szCs w:val="18"/>
                <w:color w:val="auto"/>
              </w:rPr>
              <w:t>81</w:t>
            </w:r>
          </w:p>
        </w:tc>
      </w:tr>
      <w:tr>
        <w:trPr>
          <w:trHeight w:val="547"/>
        </w:trPr>
        <w:tc>
          <w:tcPr>
            <w:tcW w:w="4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81" w:name="page82"/>
    <w:bookmarkEnd w:id="81"/>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Jorge L. Gonzalez, certify that:</w:t>
      </w:r>
    </w:p>
    <w:p>
      <w:pPr>
        <w:spacing w:after="0" w:line="185" w:lineRule="exact"/>
        <w:rPr>
          <w:sz w:val="20"/>
          <w:szCs w:val="20"/>
          <w:color w:val="auto"/>
        </w:rPr>
      </w:pPr>
    </w:p>
    <w:p>
      <w:pPr>
        <w:ind w:left="700" w:right="499" w:hanging="650"/>
        <w:spacing w:after="0" w:line="282" w:lineRule="auto"/>
        <w:tabs>
          <w:tab w:leader="none" w:pos="7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September 30, 2026 of The St. Joe Company;</w:t>
      </w:r>
    </w:p>
    <w:p>
      <w:pPr>
        <w:spacing w:after="0" w:line="121" w:lineRule="exact"/>
        <w:rPr>
          <w:rFonts w:ascii="Times New Roman" w:cs="Times New Roman" w:eastAsia="Times New Roman" w:hAnsi="Times New Roman"/>
          <w:sz w:val="18"/>
          <w:szCs w:val="18"/>
          <w:color w:val="auto"/>
        </w:rPr>
      </w:pPr>
    </w:p>
    <w:p>
      <w:pPr>
        <w:ind w:left="700" w:right="299" w:hanging="650"/>
        <w:spacing w:after="0" w:line="266" w:lineRule="auto"/>
        <w:tabs>
          <w:tab w:leader="none" w:pos="7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700" w:right="179" w:hanging="650"/>
        <w:spacing w:after="0" w:line="266" w:lineRule="auto"/>
        <w:tabs>
          <w:tab w:leader="none" w:pos="7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8"/>
          <w:szCs w:val="18"/>
          <w:color w:val="auto"/>
        </w:rPr>
      </w:pPr>
    </w:p>
    <w:p>
      <w:pPr>
        <w:ind w:left="700" w:right="219" w:hanging="650"/>
        <w:spacing w:after="0" w:line="266" w:lineRule="auto"/>
        <w:tabs>
          <w:tab w:leader="none" w:pos="7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1340" w:right="79" w:hanging="642"/>
        <w:spacing w:after="0" w:line="261" w:lineRule="auto"/>
        <w:tabs>
          <w:tab w:leader="none" w:pos="13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2" w:lineRule="exact"/>
        <w:rPr>
          <w:rFonts w:ascii="Times New Roman" w:cs="Times New Roman" w:eastAsia="Times New Roman" w:hAnsi="Times New Roman"/>
          <w:sz w:val="18"/>
          <w:szCs w:val="18"/>
          <w:color w:val="auto"/>
        </w:rPr>
      </w:pPr>
    </w:p>
    <w:p>
      <w:pPr>
        <w:ind w:left="1340" w:right="179" w:hanging="642"/>
        <w:spacing w:after="0" w:line="261" w:lineRule="auto"/>
        <w:tabs>
          <w:tab w:leader="none" w:pos="13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9" w:lineRule="exact"/>
        <w:rPr>
          <w:rFonts w:ascii="Times New Roman" w:cs="Times New Roman" w:eastAsia="Times New Roman" w:hAnsi="Times New Roman"/>
          <w:sz w:val="18"/>
          <w:szCs w:val="18"/>
          <w:color w:val="auto"/>
        </w:rPr>
      </w:pPr>
    </w:p>
    <w:p>
      <w:pPr>
        <w:ind w:left="1340" w:right="179" w:hanging="642"/>
        <w:spacing w:after="0" w:line="266" w:lineRule="auto"/>
        <w:tabs>
          <w:tab w:leader="none" w:pos="13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1340" w:right="99" w:hanging="642"/>
        <w:spacing w:after="0" w:line="261" w:lineRule="auto"/>
        <w:tabs>
          <w:tab w:leader="none" w:pos="13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2" w:lineRule="exact"/>
        <w:rPr>
          <w:rFonts w:ascii="Times New Roman" w:cs="Times New Roman" w:eastAsia="Times New Roman" w:hAnsi="Times New Roman"/>
          <w:sz w:val="18"/>
          <w:szCs w:val="18"/>
          <w:color w:val="auto"/>
        </w:rPr>
      </w:pPr>
    </w:p>
    <w:p>
      <w:pPr>
        <w:ind w:left="700" w:right="379" w:hanging="650"/>
        <w:spacing w:after="0" w:line="266" w:lineRule="auto"/>
        <w:tabs>
          <w:tab w:leader="none" w:pos="7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ind w:left="1340" w:right="319" w:hanging="642"/>
        <w:spacing w:after="0" w:line="266" w:lineRule="auto"/>
        <w:tabs>
          <w:tab w:leader="none" w:pos="13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1340" w:right="99" w:hanging="642"/>
        <w:spacing w:after="0" w:line="282" w:lineRule="auto"/>
        <w:tabs>
          <w:tab w:leader="none" w:pos="13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October 28, 2026</w:t>
      </w:r>
    </w:p>
    <w:p>
      <w:pPr>
        <w:spacing w:after="0" w:line="19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Jorge L. Gonzalez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28200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Jorge L. Gonzalez</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i w:val="1"/>
          <w:iCs w:val="1"/>
          <w:color w:val="auto"/>
        </w:rPr>
        <w:t>President, Chief Executive Officer and Chairman of the</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i w:val="1"/>
          <w:iCs w:val="1"/>
          <w:color w:val="auto"/>
        </w:rPr>
        <w:t>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82" w:name="page83"/>
    <w:bookmarkEnd w:id="82"/>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Marek Bakun, certify that:</w:t>
      </w:r>
    </w:p>
    <w:p>
      <w:pPr>
        <w:spacing w:after="0" w:line="185" w:lineRule="exact"/>
        <w:rPr>
          <w:sz w:val="20"/>
          <w:szCs w:val="20"/>
          <w:color w:val="auto"/>
        </w:rPr>
      </w:pPr>
    </w:p>
    <w:p>
      <w:pPr>
        <w:ind w:left="700" w:right="499" w:hanging="650"/>
        <w:spacing w:after="0" w:line="282" w:lineRule="auto"/>
        <w:tabs>
          <w:tab w:leader="none" w:pos="7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September 30, 2026 of The St. Joe Company;</w:t>
      </w:r>
    </w:p>
    <w:p>
      <w:pPr>
        <w:spacing w:after="0" w:line="121" w:lineRule="exact"/>
        <w:rPr>
          <w:rFonts w:ascii="Times New Roman" w:cs="Times New Roman" w:eastAsia="Times New Roman" w:hAnsi="Times New Roman"/>
          <w:sz w:val="18"/>
          <w:szCs w:val="18"/>
          <w:color w:val="auto"/>
        </w:rPr>
      </w:pPr>
    </w:p>
    <w:p>
      <w:pPr>
        <w:ind w:left="700" w:right="299" w:hanging="650"/>
        <w:spacing w:after="0" w:line="266" w:lineRule="auto"/>
        <w:tabs>
          <w:tab w:leader="none" w:pos="7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700" w:right="179" w:hanging="650"/>
        <w:spacing w:after="0" w:line="266" w:lineRule="auto"/>
        <w:tabs>
          <w:tab w:leader="none" w:pos="7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8"/>
          <w:szCs w:val="18"/>
          <w:color w:val="auto"/>
        </w:rPr>
      </w:pPr>
    </w:p>
    <w:p>
      <w:pPr>
        <w:ind w:left="700" w:right="219" w:hanging="650"/>
        <w:spacing w:after="0" w:line="266" w:lineRule="auto"/>
        <w:tabs>
          <w:tab w:leader="none" w:pos="7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1340" w:right="79" w:hanging="642"/>
        <w:spacing w:after="0" w:line="261" w:lineRule="auto"/>
        <w:tabs>
          <w:tab w:leader="none" w:pos="13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2" w:lineRule="exact"/>
        <w:rPr>
          <w:rFonts w:ascii="Times New Roman" w:cs="Times New Roman" w:eastAsia="Times New Roman" w:hAnsi="Times New Roman"/>
          <w:sz w:val="18"/>
          <w:szCs w:val="18"/>
          <w:color w:val="auto"/>
        </w:rPr>
      </w:pPr>
    </w:p>
    <w:p>
      <w:pPr>
        <w:ind w:left="1340" w:right="179" w:hanging="642"/>
        <w:spacing w:after="0" w:line="261" w:lineRule="auto"/>
        <w:tabs>
          <w:tab w:leader="none" w:pos="13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9" w:lineRule="exact"/>
        <w:rPr>
          <w:rFonts w:ascii="Times New Roman" w:cs="Times New Roman" w:eastAsia="Times New Roman" w:hAnsi="Times New Roman"/>
          <w:sz w:val="18"/>
          <w:szCs w:val="18"/>
          <w:color w:val="auto"/>
        </w:rPr>
      </w:pPr>
    </w:p>
    <w:p>
      <w:pPr>
        <w:ind w:left="1340" w:right="179" w:hanging="642"/>
        <w:spacing w:after="0" w:line="266" w:lineRule="auto"/>
        <w:tabs>
          <w:tab w:leader="none" w:pos="13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1340" w:right="99" w:hanging="642"/>
        <w:spacing w:after="0" w:line="261" w:lineRule="auto"/>
        <w:tabs>
          <w:tab w:leader="none" w:pos="13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2" w:lineRule="exact"/>
        <w:rPr>
          <w:rFonts w:ascii="Times New Roman" w:cs="Times New Roman" w:eastAsia="Times New Roman" w:hAnsi="Times New Roman"/>
          <w:sz w:val="18"/>
          <w:szCs w:val="18"/>
          <w:color w:val="auto"/>
        </w:rPr>
      </w:pPr>
    </w:p>
    <w:p>
      <w:pPr>
        <w:ind w:left="700" w:right="379" w:hanging="650"/>
        <w:spacing w:after="0" w:line="266" w:lineRule="auto"/>
        <w:tabs>
          <w:tab w:leader="none" w:pos="7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ind w:left="1340" w:right="319" w:hanging="642"/>
        <w:spacing w:after="0" w:line="266" w:lineRule="auto"/>
        <w:tabs>
          <w:tab w:leader="none" w:pos="13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1340" w:right="99" w:hanging="642"/>
        <w:spacing w:after="0" w:line="282" w:lineRule="auto"/>
        <w:tabs>
          <w:tab w:leader="none" w:pos="13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October 28, 2026</w:t>
      </w:r>
    </w:p>
    <w:p>
      <w:pPr>
        <w:spacing w:after="0" w:line="18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Marek Bakun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28200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Marek Bakun</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83" w:name="page84"/>
    <w:bookmarkEnd w:id="83"/>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Pursuant to 18 USC §1350, the undersigned officer of The St. Joe Company (the “Company”) hereby certifies that the Company’s Quarterly Report on Form 10-Q for the period ended September 30, 2026 (the “Report”) fully complies with the requirements of Section 13(a) or 15(d) of the Securities Exchange Act of 1934, as amended, and that the information contained in the Report fairly presents, in all material respects, the financial condition and results of operations of the Company.</w:t>
      </w:r>
    </w:p>
    <w:p>
      <w:pPr>
        <w:spacing w:after="0" w:line="19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Jorge L. Gonzalez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28200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Jorge L. Gonzalez</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i w:val="1"/>
          <w:iCs w:val="1"/>
          <w:color w:val="auto"/>
        </w:rPr>
        <w:t>President, Chief Executive Officer and Chairman of the</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i w:val="1"/>
          <w:iCs w:val="1"/>
          <w:color w:val="auto"/>
        </w:rPr>
        <w:t>Board</w:t>
      </w:r>
    </w:p>
    <w:p>
      <w:pPr>
        <w:spacing w:after="0" w:line="200" w:lineRule="exact"/>
        <w:rPr>
          <w:sz w:val="20"/>
          <w:szCs w:val="20"/>
          <w:color w:val="auto"/>
        </w:rPr>
      </w:pP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Dated: October 28,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84" w:name="page85"/>
    <w:bookmarkEnd w:id="84"/>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Pursuant to 18 USC §1350, the undersigned officer of The St. Joe Company (the “Company”) hereby certifies that the Company’s Quarterly Report on Form 10-Q for the period ended September 30, 2026 (the “Report”) fully complies with the requirements of Section 13(a) or 15(d) of the Securities Exchange Act of 1934, as amended, and that the information contained in the Report fairly presents, in all material respects, the financial condition and results of operations of the Company.</w:t>
      </w:r>
    </w:p>
    <w:p>
      <w:pPr>
        <w:spacing w:after="0" w:line="18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Marek Bakun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28200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Marek Bakun</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p>
      <w:pPr>
        <w:spacing w:after="0" w:line="200" w:lineRule="exact"/>
        <w:rPr>
          <w:sz w:val="20"/>
          <w:szCs w:val="20"/>
          <w:color w:val="auto"/>
        </w:rPr>
      </w:pP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Dated: October 28,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1)"/>
      <w:numFmt w:val="lowerLetter"/>
      <w:start w:val="1"/>
    </w:lvl>
  </w:abstractNum>
  <w:abstractNum w:abstractNumId="3">
    <w:nsid w:val="6763845E"/>
    <w:multiLevelType w:val="hybridMultilevel"/>
    <w:lvl w:ilvl="0">
      <w:lvlJc w:val="left"/>
      <w:lvlText w:val="(%1)"/>
      <w:numFmt w:val="lowerLetter"/>
      <w:start w:val="1"/>
    </w:lvl>
  </w:abstractNum>
  <w:abstractNum w:abstractNumId="4">
    <w:nsid w:val="75A2A8D4"/>
    <w:multiLevelType w:val="hybridMultilevel"/>
    <w:lvl w:ilvl="0">
      <w:lvlJc w:val="left"/>
      <w:lvlText w:val="(%1)"/>
      <w:numFmt w:val="lowerLetter"/>
      <w:start w:val="1"/>
    </w:lvl>
  </w:abstractNum>
  <w:abstractNum w:abstractNumId="5">
    <w:nsid w:val="8EDBDAB"/>
    <w:multiLevelType w:val="hybridMultilevel"/>
    <w:lvl w:ilvl="0">
      <w:lvlJc w:val="left"/>
      <w:lvlText w:val="(%1)"/>
      <w:numFmt w:val="lowerLetter"/>
      <w:start w:val="1"/>
    </w:lvl>
  </w:abstractNum>
  <w:abstractNum w:abstractNumId="6">
    <w:nsid w:val="79838CB2"/>
    <w:multiLevelType w:val="hybridMultilevel"/>
    <w:lvl w:ilvl="0">
      <w:lvlJc w:val="left"/>
      <w:lvlText w:val="(%1)"/>
      <w:numFmt w:val="lowerLetter"/>
      <w:start w:val="1"/>
    </w:lvl>
  </w:abstractNum>
  <w:abstractNum w:abstractNumId="7">
    <w:nsid w:val="4353D0CD"/>
    <w:multiLevelType w:val="hybridMultilevel"/>
    <w:lvl w:ilvl="0">
      <w:lvlJc w:val="left"/>
      <w:lvlText w:val="(%1)"/>
      <w:numFmt w:val="lowerLetter"/>
      <w:start w:val="1"/>
    </w:lvl>
  </w:abstractNum>
  <w:abstractNum w:abstractNumId="8">
    <w:nsid w:val="B03E0C6"/>
    <w:multiLevelType w:val="hybridMultilevel"/>
    <w:lvl w:ilvl="0">
      <w:lvlJc w:val="left"/>
      <w:lvlText w:val="(%1)"/>
      <w:numFmt w:val="lowerLetter"/>
      <w:start w:val="1"/>
    </w:lvl>
  </w:abstractNum>
  <w:abstractNum w:abstractNumId="9">
    <w:nsid w:val="189A769B"/>
    <w:multiLevelType w:val="hybridMultilevel"/>
    <w:lvl w:ilvl="0">
      <w:lvlJc w:val="left"/>
      <w:lvlText w:val="(%1)"/>
      <w:numFmt w:val="lowerLetter"/>
      <w:start w:val="1"/>
    </w:lvl>
  </w:abstractNum>
  <w:abstractNum w:abstractNumId="10">
    <w:nsid w:val="54E49EB4"/>
    <w:multiLevelType w:val="hybridMultilevel"/>
    <w:lvl w:ilvl="0">
      <w:lvlJc w:val="left"/>
      <w:lvlText w:val="(%1)"/>
      <w:numFmt w:val="lowerLetter"/>
      <w:start w:val="1"/>
    </w:lvl>
  </w:abstractNum>
  <w:abstractNum w:abstractNumId="11">
    <w:nsid w:val="71F32454"/>
    <w:multiLevelType w:val="hybridMultilevel"/>
    <w:lvl w:ilvl="0">
      <w:lvlJc w:val="left"/>
      <w:lvlText w:val="(%1)"/>
      <w:numFmt w:val="lowerLetter"/>
      <w:start w:val="1"/>
    </w:lvl>
  </w:abstractNum>
  <w:abstractNum w:abstractNumId="12">
    <w:nsid w:val="2CA88611"/>
    <w:multiLevelType w:val="hybridMultilevel"/>
    <w:lvl w:ilvl="0">
      <w:lvlJc w:val="left"/>
      <w:lvlText w:val="(%1)"/>
      <w:numFmt w:val="lowerLetter"/>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1)"/>
      <w:numFmt w:val="lowerLetter"/>
      <w:start w:val="1"/>
    </w:lvl>
  </w:abstractNum>
  <w:abstractNum w:abstractNumId="16">
    <w:nsid w:val="8138641"/>
    <w:multiLevelType w:val="hybridMultilevel"/>
    <w:lvl w:ilvl="0">
      <w:lvlJc w:val="left"/>
      <w:lvlText w:val="(%1)"/>
      <w:numFmt w:val="lowerLetter"/>
      <w:start w:val="1"/>
    </w:lvl>
  </w:abstractNum>
  <w:abstractNum w:abstractNumId="17">
    <w:nsid w:val="1E7FF521"/>
    <w:multiLevelType w:val="hybridMultilevel"/>
    <w:lvl w:ilvl="0">
      <w:lvlJc w:val="left"/>
      <w:lvlText w:val="(%1)"/>
      <w:numFmt w:val="lowerLetter"/>
      <w:start w:val="1"/>
    </w:lvl>
  </w:abstractNum>
  <w:abstractNum w:abstractNumId="18">
    <w:nsid w:val="7C3DBD3D"/>
    <w:multiLevelType w:val="hybridMultilevel"/>
    <w:lvl w:ilvl="0">
      <w:lvlJc w:val="left"/>
      <w:lvlText w:val="(%1)"/>
      <w:numFmt w:val="decimal"/>
      <w:start w:val="2"/>
    </w:lvl>
  </w:abstractNum>
  <w:abstractNum w:abstractNumId="19">
    <w:nsid w:val="737B8DDC"/>
    <w:multiLevelType w:val="hybridMultilevel"/>
    <w:lvl w:ilvl="0">
      <w:lvlJc w:val="left"/>
      <w:lvlText w:val="(%1)"/>
      <w:numFmt w:val="lowerLetter"/>
      <w:start w:val="1"/>
    </w:lvl>
  </w:abstractNum>
  <w:abstractNum w:abstractNumId="20">
    <w:nsid w:val="6CEAF087"/>
    <w:multiLevelType w:val="hybridMultilevel"/>
    <w:lvl w:ilvl="0">
      <w:lvlJc w:val="left"/>
      <w:lvlText w:val="(%1)"/>
      <w:numFmt w:val="lowerLetter"/>
      <w:start w:val="9"/>
    </w:lvl>
  </w:abstractNum>
  <w:abstractNum w:abstractNumId="21">
    <w:nsid w:val="22221A70"/>
    <w:multiLevelType w:val="hybridMultilevel"/>
    <w:lvl w:ilvl="0">
      <w:lvlJc w:val="left"/>
      <w:lvlText w:val="(%1)"/>
      <w:numFmt w:val="lowerLetter"/>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1)"/>
      <w:numFmt w:val="lowerLetter"/>
      <w:start w:val="1"/>
    </w:lvl>
  </w:abstractNum>
  <w:abstractNum w:abstractNumId="24">
    <w:nsid w:val="614FD4A1"/>
    <w:multiLevelType w:val="hybridMultilevel"/>
    <w:lvl w:ilvl="0">
      <w:lvlJc w:val="left"/>
      <w:lvlText w:val="(%1)"/>
      <w:numFmt w:val="lowerLetter"/>
      <w:start w:val="1"/>
    </w:lvl>
  </w:abstractNum>
  <w:abstractNum w:abstractNumId="25">
    <w:nsid w:val="419AC241"/>
    <w:multiLevelType w:val="hybridMultilevel"/>
    <w:lvl w:ilvl="0">
      <w:lvlJc w:val="left"/>
      <w:lvlText w:val="(%1)"/>
      <w:numFmt w:val="lowerLetter"/>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1)"/>
      <w:numFmt w:val="lowerLetter"/>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1)"/>
      <w:numFmt w:val="lowerLetter"/>
      <w:start w:val="1"/>
    </w:lvl>
  </w:abstractNum>
  <w:abstractNum w:abstractNumId="30">
    <w:nsid w:val="77465F01"/>
    <w:multiLevelType w:val="hybridMultilevel"/>
    <w:lvl w:ilvl="0">
      <w:lvlJc w:val="left"/>
      <w:lvlText w:val="(%1)"/>
      <w:numFmt w:val="lowerLetter"/>
      <w:start w:val="1"/>
    </w:lvl>
  </w:abstractNum>
  <w:abstractNum w:abstractNumId="31">
    <w:nsid w:val="7724C67E"/>
    <w:multiLevelType w:val="hybridMultilevel"/>
    <w:lvl w:ilvl="0">
      <w:lvlJc w:val="left"/>
      <w:lvlText w:val="(%1)"/>
      <w:numFmt w:val="lowerLetter"/>
      <w:start w:val="1"/>
    </w:lvl>
  </w:abstractNum>
  <w:abstractNum w:abstractNumId="32">
    <w:nsid w:val="5C482A97"/>
    <w:multiLevelType w:val="hybridMultilevel"/>
    <w:lvl w:ilvl="0">
      <w:lvlJc w:val="left"/>
      <w:lvlText w:val="(%1)"/>
      <w:numFmt w:val="lowerLetter"/>
      <w:start w:val="5"/>
    </w:lvl>
  </w:abstractNum>
  <w:abstractNum w:abstractNumId="33">
    <w:nsid w:val="2463B9EA"/>
    <w:multiLevelType w:val="hybridMultilevel"/>
    <w:lvl w:ilvl="0">
      <w:lvlJc w:val="left"/>
      <w:lvlText w:val="(%1)"/>
      <w:numFmt w:val="lowerLetter"/>
      <w:start w:val="1"/>
    </w:lvl>
  </w:abstractNum>
  <w:abstractNum w:abstractNumId="34">
    <w:nsid w:val="5E884ADC"/>
    <w:multiLevelType w:val="hybridMultilevel"/>
    <w:lvl w:ilvl="0">
      <w:lvlJc w:val="left"/>
      <w:lvlText w:val="(%1)"/>
      <w:numFmt w:val="lowerLetter"/>
      <w:start w:val="1"/>
    </w:lvl>
  </w:abstractNum>
  <w:abstractNum w:abstractNumId="35">
    <w:nsid w:val="51EAD36B"/>
    <w:multiLevelType w:val="hybridMultilevel"/>
    <w:lvl w:ilvl="0">
      <w:lvlJc w:val="left"/>
      <w:lvlText w:val="%1."/>
      <w:numFmt w:val="decimal"/>
      <w:start w:val="4"/>
    </w:lvl>
  </w:abstractNum>
  <w:abstractNum w:abstractNumId="36">
    <w:nsid w:val="2D517796"/>
    <w:multiLevelType w:val="hybridMultilevel"/>
    <w:lvl w:ilvl="0">
      <w:lvlJc w:val="left"/>
      <w:lvlText w:val="(%1)"/>
      <w:numFmt w:val="lowerLetter"/>
      <w:start w:val="1"/>
    </w:lvl>
  </w:abstractNum>
  <w:abstractNum w:abstractNumId="37">
    <w:nsid w:val="580BD78F"/>
    <w:multiLevelType w:val="hybridMultilevel"/>
    <w:lvl w:ilvl="0">
      <w:lvlJc w:val="left"/>
      <w:lvlText w:val="(%1)"/>
      <w:numFmt w:val="lowerLetter"/>
      <w:start w:val="1"/>
    </w:lvl>
  </w:abstractNum>
  <w:abstractNum w:abstractNumId="38">
    <w:nsid w:val="153EA438"/>
    <w:multiLevelType w:val="hybridMultilevel"/>
    <w:lvl w:ilvl="0">
      <w:lvlJc w:val="left"/>
      <w:lvlText w:val="(%1)"/>
      <w:numFmt w:val="lowerLetter"/>
      <w:start w:val="1"/>
    </w:lvl>
  </w:abstractNum>
  <w:abstractNum w:abstractNumId="39">
    <w:nsid w:val="3855585C"/>
    <w:multiLevelType w:val="hybridMultilevel"/>
    <w:lvl w:ilvl="0">
      <w:lvlJc w:val="left"/>
      <w:lvlText w:val="(%1)"/>
      <w:numFmt w:val="lowerLetter"/>
      <w:start w:val="1"/>
    </w:lvl>
  </w:abstractNum>
  <w:abstractNum w:abstractNumId="40">
    <w:nsid w:val="70A64E2A"/>
    <w:multiLevelType w:val="hybridMultilevel"/>
    <w:lvl w:ilvl="0">
      <w:lvlJc w:val="left"/>
      <w:lvlText w:val="*"/>
      <w:numFmt w:val="bullet"/>
      <w:start w:val="1"/>
    </w:lvl>
  </w:abstractNum>
  <w:abstractNum w:abstractNumId="41">
    <w:nsid w:val="6A2342EC"/>
    <w:multiLevelType w:val="hybridMultilevel"/>
    <w:lvl w:ilvl="0">
      <w:lvlJc w:val="left"/>
      <w:lvlText w:val="%1."/>
      <w:numFmt w:val="decimal"/>
      <w:start w:val="1"/>
    </w:lvl>
    <w:lvl w:ilvl="1">
      <w:lvlJc w:val="left"/>
      <w:lvlText w:val="(%2)"/>
      <w:numFmt w:val="lowerLetter"/>
      <w:start w:val="1"/>
    </w:lvl>
  </w:abstractNum>
  <w:abstractNum w:abstractNumId="42">
    <w:nsid w:val="2A487CB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16" Type="http://schemas.openxmlformats.org/officeDocument/2006/relationships/hyperlink" Target="http://www.sec.gov/Archives/edgar/data/745308/000095012310072999/b81443exv3w1.htm" TargetMode="External"/><Relationship Id="rId117" Type="http://schemas.openxmlformats.org/officeDocument/2006/relationships/hyperlink" Target="https://www.sec.gov/Archives/edgar/data/745308/000115752322001657/a52973098ex3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2026-10-28T15:32:38Z</dcterms:created>
  <dcterms:modified xsi:type="dcterms:W3CDTF">2026-10-28T15:32:38Z</dcterms:modified>
</cp:coreProperties>
</file>