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ind w:left="0" w:right="0" w:hanging="0"/>
        <w:jc w:val="left"/>
        <w:rPr/>
      </w:pPr>
      <w:hyperlink w:anchor="TOC">
        <w:bookmarkStart w:id="0" w:name="joe-20260630x10q.htm"/>
        <w:bookmarkStart w:id="1" w:name="ksjoe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bookmarkStart w:id="2" w:name="_5fb962e9_3f1f_4a51_99c6_527bf24422a1"/>
      <w:bookmarkEnd w:id="2"/>
      <w:r>
        <w:rPr/>
        <w:t>​</w:t>
      </w:r>
    </w:p>
    <w:p>
      <w:pPr>
        <w:pStyle w:val="TextBody"/>
        <w:bidi w:val="0"/>
        <w:spacing w:before="0" w:after="0"/>
        <w:ind w:left="0" w:right="0" w:hanging="0"/>
        <w:jc w:val="center"/>
        <w:rPr>
          <w:rFonts w:ascii="Times New Roman;Times;serif" w:hAnsi="Times New Roman;Times;serif"/>
          <w:b/>
          <w:sz w:val="27"/>
        </w:rPr>
      </w:pPr>
      <w:r>
        <w:rPr>
          <w:rFonts w:ascii="Times New Roman;Times;serif" w:hAnsi="Times New Roman;Times;serif"/>
          <w:b/>
          <w:sz w:val="27"/>
        </w:rPr>
        <w:t>UNITED STATES</w:t>
      </w:r>
    </w:p>
    <w:p>
      <w:pPr>
        <w:pStyle w:val="TextBody"/>
        <w:bidi w:val="0"/>
        <w:spacing w:before="0" w:after="0"/>
        <w:ind w:left="0" w:right="0" w:hanging="0"/>
        <w:jc w:val="center"/>
        <w:rPr>
          <w:rFonts w:ascii="Times New Roman;Times;serif" w:hAnsi="Times New Roman;Times;serif"/>
          <w:b/>
          <w:sz w:val="27"/>
        </w:rPr>
      </w:pPr>
      <w:r>
        <w:rPr>
          <w:rFonts w:ascii="Times New Roman;Times;serif" w:hAnsi="Times New Roman;Times;serif"/>
          <w:b/>
          <w:sz w:val="27"/>
        </w:rPr>
        <w:t>SECURITIES AND EXCHANGE COMMISSION</w:t>
      </w:r>
    </w:p>
    <w:p>
      <w:pPr>
        <w:pStyle w:val="TextBody"/>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Washington, D.C. 20549</w:t>
      </w:r>
    </w:p>
    <w:p>
      <w:pPr>
        <w:pStyle w:val="TextBody"/>
        <w:bidi w:val="0"/>
        <w:spacing w:lineRule="atLeast" w:line="142" w:before="0" w:after="240"/>
        <w:ind w:left="0" w:right="0" w:hanging="0"/>
        <w:jc w:val="center"/>
        <w:rPr/>
      </w:pPr>
      <w:r>
        <w:rPr/>
        <w:t>​</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(Mark One)</w:t>
      </w:r>
    </w:p>
    <w:p>
      <w:pPr>
        <w:pStyle w:val="TextBody"/>
        <w:bidi w:val="0"/>
        <w:spacing w:lineRule="atLeast" w:line="142" w:before="0" w:after="240"/>
        <w:ind w:left="0" w:right="0" w:hanging="0"/>
        <w:jc w:val="left"/>
        <w:rPr/>
      </w:pPr>
      <w:r>
        <w:rPr/>
        <w:t>​</w:t>
      </w:r>
    </w:p>
    <w:p>
      <w:pPr>
        <w:pStyle w:val="Normal"/>
        <w:bidi w:val="0"/>
        <w:spacing w:before="0" w:after="0"/>
        <w:jc w:val="left"/>
        <w:rPr>
          <w:sz w:val="4"/>
          <w:szCs w:val="4"/>
        </w:rPr>
      </w:pPr>
      <w:r>
        <w:rPr>
          <w:sz w:val="4"/>
          <w:szCs w:val="4"/>
        </w:rPr>
      </w:r>
      <w:bookmarkStart w:id="3" w:name="Tc_F0Blb4jQKkeIdWgzw8OaLg_1_1"/>
      <w:bookmarkStart w:id="4" w:name="_2e05c158_b9a6_4024_b006_514d9198d468"/>
      <w:bookmarkStart w:id="5" w:name="Tc_F0Blb4jQKkeIdWgzw8OaLg_1_1"/>
      <w:bookmarkStart w:id="6" w:name="_2e05c158_b9a6_4024_b006_514d9198d468"/>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tLeast" w:line="142" w:before="0" w:after="0"/>
              <w:ind w:left="0" w:right="0" w:hanging="0"/>
              <w:jc w:val="left"/>
              <w:rPr/>
            </w:pPr>
            <w:r>
              <w:rPr/>
              <w:t>​</w:t>
            </w:r>
          </w:p>
        </w:tc>
        <w:tc>
          <w:tcPr>
            <w:tcW w:w="9874" w:type="dxa"/>
            <w:tcBorders/>
            <w:vAlign w:val="center"/>
          </w:tcPr>
          <w:p>
            <w:pPr>
              <w:pStyle w:val="TableContents"/>
              <w:bidi w:val="0"/>
              <w:spacing w:lineRule="atLeast" w:line="142"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3"/>
              </w:rPr>
            </w:pPr>
            <w:r>
              <w:rPr>
                <w:rFonts w:ascii="Times New Roman;Times;serif" w:hAnsi="Times New Roman;Times;serif"/>
                <w:b/>
                <w:sz w:val="23"/>
              </w:rPr>
              <w:t>QUARTERLY REPORT PURSUANT TO SECTION 13 OR 15(d) OF THE SECURITIES EXCHANGE ACT OF 1934</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For the quarterly period ended June 30, 2026</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lineRule="atLeast" w:line="142" w:before="0" w:after="240"/>
        <w:ind w:left="0" w:right="0" w:hanging="0"/>
        <w:jc w:val="center"/>
        <w:rPr/>
      </w:pPr>
      <w:r>
        <w:rPr/>
        <w:t>​</w:t>
      </w:r>
    </w:p>
    <w:p>
      <w:pPr>
        <w:pStyle w:val="Normal"/>
        <w:bidi w:val="0"/>
        <w:spacing w:before="0" w:after="0"/>
        <w:jc w:val="left"/>
        <w:rPr>
          <w:sz w:val="4"/>
          <w:szCs w:val="4"/>
        </w:rPr>
      </w:pPr>
      <w:r>
        <w:rPr>
          <w:sz w:val="4"/>
          <w:szCs w:val="4"/>
        </w:rPr>
      </w:r>
      <w:bookmarkStart w:id="7" w:name="Tc_nn5fsCUa4EqNVJYoxfMMGQ_1_1"/>
      <w:bookmarkStart w:id="8" w:name="_e2fb3093_afa6_4fcc_947e_dbd92ca82cdd"/>
      <w:bookmarkStart w:id="9" w:name="Tc_nn5fsCUa4EqNVJYoxfMMGQ_1_1"/>
      <w:bookmarkStart w:id="10" w:name="_e2fb3093_afa6_4fcc_947e_dbd92ca82cdd"/>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tLeast" w:line="142" w:before="0" w:after="0"/>
              <w:ind w:left="0" w:right="0" w:hanging="0"/>
              <w:jc w:val="left"/>
              <w:rPr/>
            </w:pPr>
            <w:r>
              <w:rPr/>
              <w:t>​</w:t>
            </w:r>
          </w:p>
        </w:tc>
        <w:tc>
          <w:tcPr>
            <w:tcW w:w="9874" w:type="dxa"/>
            <w:tcBorders/>
            <w:vAlign w:val="center"/>
          </w:tcPr>
          <w:p>
            <w:pPr>
              <w:pStyle w:val="TableContents"/>
              <w:bidi w:val="0"/>
              <w:spacing w:lineRule="atLeast" w:line="142"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3"/>
              </w:rPr>
            </w:pPr>
            <w:r>
              <w:rPr>
                <w:rFonts w:ascii="Times New Roman;Times;serif" w:hAnsi="Times New Roman;Times;serif"/>
                <w:b/>
                <w:sz w:val="23"/>
              </w:rPr>
              <w:t>TRANSITION REPORT PURSUANT TO SECTION 13 OR 15(d) OF THE SECURITIES EXCHANGE ACT OF 1934</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For the transition period from                      to                     .</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Commission file number: 1-10466</w:t>
      </w:r>
    </w:p>
    <w:p>
      <w:pPr>
        <w:pStyle w:val="TextBody"/>
        <w:bidi w:val="0"/>
        <w:spacing w:lineRule="atLeast" w:line="142" w:before="0" w:after="240"/>
        <w:ind w:left="0" w:right="0" w:hanging="0"/>
        <w:jc w:val="center"/>
        <w:rPr/>
      </w:pPr>
      <w:r>
        <w:rPr/>
        <w:t>​</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1"/>
        </w:rPr>
      </w:pPr>
      <w:r>
        <w:rPr>
          <w:rFonts w:ascii="Times New Roman;Times;serif" w:hAnsi="Times New Roman;Times;serif"/>
          <w:b/>
          <w:sz w:val="31"/>
        </w:rPr>
        <w:t>The St. Joe Company</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(Exact name of registrant as specified in its charter)</w:t>
      </w:r>
    </w:p>
    <w:p>
      <w:pPr>
        <w:pStyle w:val="TextBody"/>
        <w:bidi w:val="0"/>
        <w:spacing w:lineRule="atLeast" w:line="142" w:before="0" w:after="240"/>
        <w:ind w:left="0" w:right="0" w:hanging="0"/>
        <w:jc w:val="center"/>
        <w:rPr/>
      </w:pPr>
      <w:r>
        <w:rPr/>
        <w:t>​</w:t>
      </w:r>
    </w:p>
    <w:p>
      <w:pPr>
        <w:pStyle w:val="TextBody"/>
        <w:bidi w:val="0"/>
        <w:spacing w:lineRule="atLeast" w:line="142" w:before="0" w:after="240"/>
        <w:ind w:left="0" w:right="0" w:hanging="0"/>
        <w:jc w:val="center"/>
        <w:rPr/>
      </w:pPr>
      <w:r>
        <w:rPr/>
        <w:t>​</w:t>
      </w:r>
    </w:p>
    <w:p>
      <w:pPr>
        <w:pStyle w:val="Normal"/>
        <w:bidi w:val="0"/>
        <w:spacing w:before="0" w:after="0"/>
        <w:jc w:val="left"/>
        <w:rPr>
          <w:sz w:val="4"/>
          <w:szCs w:val="4"/>
        </w:rPr>
      </w:pPr>
      <w:r>
        <w:rPr>
          <w:sz w:val="4"/>
          <w:szCs w:val="4"/>
        </w:rPr>
      </w:r>
      <w:bookmarkStart w:id="11" w:name="Tc_Lw1mjrUmIUe4HBr2Gh8Glw_7_1"/>
      <w:bookmarkStart w:id="12" w:name="Tc_aQUAIKARpEeYv6T9rYV1Aw_7_0"/>
      <w:bookmarkStart w:id="13" w:name="Tc_q2ySZK8JoEyiTDK-uiluzA_6_0"/>
      <w:bookmarkStart w:id="14" w:name="Tc_MiEOWF7gD0SDdJ7jE5o34Q_5_0"/>
      <w:bookmarkStart w:id="15" w:name="Tc_HgSFCcDvnUGSpvgg68RlnQ_3_1"/>
      <w:bookmarkStart w:id="16" w:name="Tc_l2pfUMJboE-AdNYhDqN97w_3_0"/>
      <w:bookmarkStart w:id="17" w:name="Tc_2RxMBrSfyEGf2J2FmXmZcg_2_1"/>
      <w:bookmarkStart w:id="18" w:name="Tc_w_ktOXP9eEi9926O6vrQig_2_0"/>
      <w:bookmarkStart w:id="19" w:name="_a76589f9_9278_4ce8_9350_52d52f841b4d"/>
      <w:bookmarkStart w:id="20" w:name="Tc_Lw1mjrUmIUe4HBr2Gh8Glw_7_1"/>
      <w:bookmarkStart w:id="21" w:name="Tc_aQUAIKARpEeYv6T9rYV1Aw_7_0"/>
      <w:bookmarkStart w:id="22" w:name="Tc_q2ySZK8JoEyiTDK-uiluzA_6_0"/>
      <w:bookmarkStart w:id="23" w:name="Tc_MiEOWF7gD0SDdJ7jE5o34Q_5_0"/>
      <w:bookmarkStart w:id="24" w:name="Tc_HgSFCcDvnUGSpvgg68RlnQ_3_1"/>
      <w:bookmarkStart w:id="25" w:name="Tc_l2pfUMJboE-AdNYhDqN97w_3_0"/>
      <w:bookmarkStart w:id="26" w:name="Tc_2RxMBrSfyEGf2J2FmXmZcg_2_1"/>
      <w:bookmarkStart w:id="27" w:name="Tc_w_ktOXP9eEi9926O6vrQig_2_0"/>
      <w:bookmarkStart w:id="28" w:name="_a76589f9_9278_4ce8_9350_52d52f841b4d"/>
      <w:bookmarkEnd w:id="20"/>
      <w:bookmarkEnd w:id="21"/>
      <w:bookmarkEnd w:id="22"/>
      <w:bookmarkEnd w:id="23"/>
      <w:bookmarkEnd w:id="24"/>
      <w:bookmarkEnd w:id="25"/>
      <w:bookmarkEnd w:id="26"/>
      <w:bookmarkEnd w:id="27"/>
      <w:bookmarkEnd w:id="28"/>
    </w:p>
    <w:tbl>
      <w:tblPr>
        <w:tblW w:w="5402" w:type="dxa"/>
        <w:jc w:val="left"/>
        <w:tblInd w:w="0" w:type="dxa"/>
        <w:tblLayout w:type="fixed"/>
        <w:tblCellMar>
          <w:top w:w="0" w:type="dxa"/>
          <w:left w:w="0" w:type="dxa"/>
          <w:bottom w:w="0" w:type="dxa"/>
          <w:right w:w="0" w:type="dxa"/>
        </w:tblCellMar>
      </w:tblPr>
      <w:tblGrid>
        <w:gridCol w:w="3721"/>
        <w:gridCol w:w="1681"/>
      </w:tblGrid>
      <w:tr>
        <w:trPr/>
        <w:tc>
          <w:tcPr>
            <w:tcW w:w="3721" w:type="dxa"/>
            <w:tcBorders/>
            <w:vAlign w:val="center"/>
          </w:tcPr>
          <w:p>
            <w:pPr>
              <w:pStyle w:val="TableContents"/>
              <w:bidi w:val="0"/>
              <w:spacing w:lineRule="atLeast" w:line="142" w:before="0" w:after="0"/>
              <w:ind w:left="0" w:right="0" w:hanging="0"/>
              <w:jc w:val="left"/>
              <w:rPr/>
            </w:pPr>
            <w:r>
              <w:rPr/>
              <w:t>​</w:t>
            </w:r>
          </w:p>
        </w:tc>
        <w:tc>
          <w:tcPr>
            <w:tcW w:w="1681" w:type="dxa"/>
            <w:tcBorders/>
            <w:vAlign w:val="center"/>
          </w:tcPr>
          <w:p>
            <w:pPr>
              <w:pStyle w:val="TableContents"/>
              <w:bidi w:val="0"/>
              <w:spacing w:lineRule="atLeast" w:line="142"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Florida</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59-0432511</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(State or other jurisdiction of</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(I.R.S. Employer</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incorporation or organization)</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Identification No.)</w:t>
            </w:r>
          </w:p>
        </w:tc>
      </w:tr>
      <w:tr>
        <w:trPr/>
        <w:tc>
          <w:tcPr>
            <w:tcW w:w="3721" w:type="dxa"/>
            <w:tcBorders/>
            <w:vAlign w:val="center"/>
          </w:tcPr>
          <w:p>
            <w:pPr>
              <w:pStyle w:val="TableContents"/>
              <w:bidi w:val="0"/>
              <w:spacing w:lineRule="atLeast" w:line="142" w:before="0" w:after="0"/>
              <w:ind w:left="0" w:right="0" w:hanging="0"/>
              <w:jc w:val="center"/>
              <w:rPr/>
            </w:pPr>
            <w:r>
              <w:rPr/>
              <w:t>​</w:t>
            </w:r>
          </w:p>
        </w:tc>
        <w:tc>
          <w:tcPr>
            <w:tcW w:w="1681" w:type="dxa"/>
            <w:tcBorders/>
            <w:vAlign w:val="center"/>
          </w:tcPr>
          <w:p>
            <w:pPr>
              <w:pStyle w:val="TableContents"/>
              <w:bidi w:val="0"/>
              <w:spacing w:lineRule="atLeast" w:line="142" w:before="0" w:after="0"/>
              <w:ind w:left="0" w:right="0" w:hanging="0"/>
              <w:jc w:val="center"/>
              <w:rPr/>
            </w:pPr>
            <w:r>
              <w:rPr/>
              <w:t>​</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130 Richard Jackson Boulevard, Suite 200</w:t>
            </w:r>
          </w:p>
        </w:tc>
        <w:tc>
          <w:tcPr>
            <w:tcW w:w="1681" w:type="dxa"/>
            <w:tcBorders/>
            <w:vAlign w:val="center"/>
          </w:tcPr>
          <w:p>
            <w:pPr>
              <w:pStyle w:val="TableContents"/>
              <w:bidi w:val="0"/>
              <w:spacing w:before="0" w:after="240"/>
              <w:ind w:left="0" w:right="0" w:hanging="0"/>
              <w:jc w:val="center"/>
              <w:rPr/>
            </w:pPr>
            <w:r>
              <w:rPr/>
              <w:t>​</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Panama City Beach, Florida</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32407</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(Address of principal executive offices)</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(Zip Code)</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(850) 231-6400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Normal"/>
        <w:bidi w:val="0"/>
        <w:spacing w:before="0" w:after="0"/>
        <w:jc w:val="left"/>
        <w:rPr>
          <w:sz w:val="4"/>
          <w:szCs w:val="4"/>
        </w:rPr>
      </w:pPr>
      <w:r>
        <w:rPr>
          <w:sz w:val="4"/>
          <w:szCs w:val="4"/>
        </w:rPr>
      </w:r>
      <w:bookmarkStart w:id="29" w:name="Tc_75drUfx3TkCoe5PmBrB6KA_2_0"/>
      <w:bookmarkStart w:id="30" w:name="Tc_vclS4dxiZU-61NP_2jzODQ_1_4"/>
      <w:bookmarkStart w:id="31" w:name="Tc_Fs8IHDcbpkqi_AQaO26JJg_1_2"/>
      <w:bookmarkStart w:id="32" w:name="Tc_p6wgN13cpEuvZd2bNpxaag_1_0"/>
      <w:bookmarkStart w:id="33" w:name="_67f532ac_ab19_41ec_9bed_d6e4b7dd558f"/>
      <w:bookmarkStart w:id="34" w:name="Tc_75drUfx3TkCoe5PmBrB6KA_2_0"/>
      <w:bookmarkStart w:id="35" w:name="Tc_vclS4dxiZU-61NP_2jzODQ_1_4"/>
      <w:bookmarkStart w:id="36" w:name="Tc_Fs8IHDcbpkqi_AQaO26JJg_1_2"/>
      <w:bookmarkStart w:id="37" w:name="Tc_p6wgN13cpEuvZd2bNpxaag_1_0"/>
      <w:bookmarkStart w:id="38" w:name="_67f532ac_ab19_41ec_9bed_d6e4b7dd558f"/>
      <w:bookmarkEnd w:id="34"/>
      <w:bookmarkEnd w:id="35"/>
      <w:bookmarkEnd w:id="36"/>
      <w:bookmarkEnd w:id="37"/>
      <w:bookmarkEnd w:id="38"/>
    </w:p>
    <w:tbl>
      <w:tblPr>
        <w:tblW w:w="6926" w:type="dxa"/>
        <w:jc w:val="left"/>
        <w:tblInd w:w="0" w:type="dxa"/>
        <w:tblLayout w:type="fixed"/>
        <w:tblCellMar>
          <w:top w:w="0" w:type="dxa"/>
          <w:left w:w="0" w:type="dxa"/>
          <w:bottom w:w="0" w:type="dxa"/>
          <w:right w:w="0" w:type="dxa"/>
        </w:tblCellMar>
      </w:tblPr>
      <w:tblGrid>
        <w:gridCol w:w="2191"/>
        <w:gridCol w:w="109"/>
        <w:gridCol w:w="1456"/>
        <w:gridCol w:w="109"/>
        <w:gridCol w:w="3061"/>
      </w:tblGrid>
      <w:tr>
        <w:trPr/>
        <w:tc>
          <w:tcPr>
            <w:tcW w:w="219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283"/>
              <w:ind w:left="0" w:right="0" w:hanging="0"/>
              <w:jc w:val="left"/>
              <w:rPr>
                <w:sz w:val="4"/>
                <w:szCs w:val="4"/>
              </w:rPr>
            </w:pPr>
            <w:r>
              <w:rPr>
                <w:sz w:val="4"/>
                <w:szCs w:val="4"/>
              </w:rPr>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24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bottom w:val="single" w:sz="2" w:space="0" w:color="000000"/>
            </w:tcBorders>
            <w:tcMar>
              <w:bottom w:w="28" w:type="dxa"/>
            </w:tcMar>
            <w:vAlign w:val="center"/>
          </w:tcPr>
          <w:p>
            <w:pPr>
              <w:pStyle w:val="TableContents"/>
              <w:bidi w:val="0"/>
              <w:spacing w:before="0" w:after="240"/>
              <w:ind w:left="0" w:right="0" w:hanging="0"/>
              <w:jc w:val="left"/>
              <w:rPr/>
            </w:pPr>
            <w:r>
              <w:rPr/>
              <w:t>​</w:t>
            </w:r>
          </w:p>
        </w:tc>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2191"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109" w:type="dxa"/>
            <w:tcBorders/>
            <w:vAlign w:val="center"/>
          </w:tcPr>
          <w:p>
            <w:pPr>
              <w:pStyle w:val="TableContents"/>
              <w:bidi w:val="0"/>
              <w:spacing w:before="0" w:after="240"/>
              <w:ind w:left="0" w:right="0" w:hanging="0"/>
              <w:jc w:val="left"/>
              <w:rPr/>
            </w:pPr>
            <w:r>
              <w:rPr/>
              <w:t>​</w:t>
            </w:r>
          </w:p>
        </w:tc>
        <w:tc>
          <w:tcPr>
            <w:tcW w:w="1456"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JOE</w:t>
            </w:r>
          </w:p>
        </w:tc>
        <w:tc>
          <w:tcPr>
            <w:tcW w:w="109" w:type="dxa"/>
            <w:tcBorders>
              <w:bottom w:val="single" w:sz="2" w:space="0" w:color="000000"/>
            </w:tcBorders>
            <w:tcMar>
              <w:bottom w:w="28" w:type="dxa"/>
            </w:tcMar>
            <w:vAlign w:val="center"/>
          </w:tcPr>
          <w:p>
            <w:pPr>
              <w:pStyle w:val="TableContents"/>
              <w:bidi w:val="0"/>
              <w:spacing w:before="0" w:after="240"/>
              <w:ind w:left="0" w:right="0" w:hanging="0"/>
              <w:jc w:val="left"/>
              <w:rPr/>
            </w:pPr>
            <w:r>
              <w:rPr/>
              <w:t>​</w:t>
            </w:r>
          </w:p>
        </w:tc>
        <w:tc>
          <w:tcPr>
            <w:tcW w:w="3061"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r>
        <w:trPr/>
        <w:tc>
          <w:tcPr>
            <w:tcW w:w="219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4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3061" w:type="dxa"/>
            <w:tcBorders>
              <w:top w:val="single" w:sz="2" w:space="0" w:color="000000"/>
            </w:tcBorders>
            <w:tcMar>
              <w:top w:w="28" w:type="dxa"/>
            </w:tcMar>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lineRule="atLeast" w:line="142" w:before="0" w:after="24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19"/>
        </w:rPr>
        <w:t>YES</w:t>
      </w:r>
      <w:r>
        <w:rPr>
          <w:rFonts w:ascii="Times New Roman;Times;serif" w:hAnsi="Times New Roman;Times;serif"/>
          <w:sz w:val="20"/>
        </w:rPr>
        <w:t>  ☑    </w:t>
      </w:r>
      <w:r>
        <w:rPr>
          <w:rFonts w:ascii="Times New Roman;Times;serif" w:hAnsi="Times New Roman;Times;serif"/>
          <w:sz w:val="19"/>
        </w:rPr>
        <w:t>NO  </w:t>
      </w:r>
      <w:r>
        <w:rPr>
          <w:rFonts w:ascii="Times New Roman;Times;serif" w:hAnsi="Times New Roman;Times;serif"/>
          <w:sz w:val="20"/>
        </w:rPr>
        <w:t>☐</w:t>
      </w:r>
    </w:p>
    <w:p>
      <w:pPr>
        <w:pStyle w:val="TextBody"/>
        <w:bidi w:val="0"/>
        <w:spacing w:lineRule="atLeast" w:line="142"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serif" w:hAnsi="Times New Roman;Times;serif"/>
          <w:b w:val="false"/>
          <w:i w:val="false"/>
          <w:caps w:val="false"/>
          <w:smallCaps w:val="false"/>
          <w:sz w:val="19"/>
        </w:rPr>
        <w:t>YES</w:t>
      </w:r>
      <w:r>
        <w:rPr>
          <w:rFonts w:ascii="Times New Roman;Times;serif" w:hAnsi="Times New Roman;Times;serif"/>
          <w:sz w:val="20"/>
        </w:rPr>
        <w:t>  ☑    </w:t>
      </w:r>
      <w:r>
        <w:rPr>
          <w:rFonts w:ascii="Times New Roman;Times;serif" w:hAnsi="Times New Roman;Times;serif"/>
          <w:sz w:val="19"/>
        </w:rPr>
        <w:t>NO  </w:t>
      </w:r>
      <w:r>
        <w:rPr>
          <w:rFonts w:ascii="Times New Roman;Times;serif" w:hAnsi="Times New Roman;Times;serif"/>
          <w:sz w:val="20"/>
        </w:rPr>
        <w:t>☐</w:t>
      </w:r>
    </w:p>
    <w:p>
      <w:pPr>
        <w:pStyle w:val="TextBody"/>
        <w:bidi w:val="0"/>
        <w:spacing w:lineRule="atLeast" w:line="142"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19"/>
        </w:rPr>
      </w:pPr>
      <w:r>
        <w:rPr>
          <w:rFonts w:ascii="Times New Roman;Times;serif" w:hAnsi="Times New Roman;Times;serif"/>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42" w:before="0" w:after="240"/>
        <w:ind w:left="0" w:right="0" w:firstLine="360"/>
        <w:jc w:val="left"/>
        <w:rPr/>
      </w:pPr>
      <w:r>
        <w:rPr/>
        <w:t>​</w:t>
      </w:r>
    </w:p>
    <w:p>
      <w:pPr>
        <w:pStyle w:val="Normal"/>
        <w:bidi w:val="0"/>
        <w:spacing w:before="0" w:after="0"/>
        <w:jc w:val="left"/>
        <w:rPr>
          <w:sz w:val="4"/>
          <w:szCs w:val="4"/>
        </w:rPr>
      </w:pPr>
      <w:r>
        <w:rPr>
          <w:sz w:val="4"/>
          <w:szCs w:val="4"/>
        </w:rPr>
      </w:r>
      <w:bookmarkStart w:id="39" w:name="Tc_qaegCzQK60S92pQaxvQAnA_5_2"/>
      <w:bookmarkStart w:id="40" w:name="Tc_XgUWjf4ms0ukO-fwg_9DBw_3_2"/>
      <w:bookmarkStart w:id="41" w:name="Tc_SXr5z0R76UC011wTYrRLaA_3_1"/>
      <w:bookmarkStart w:id="42" w:name="Tc_VNQzIyDFf0eE3amPBLyctg_3_0"/>
      <w:bookmarkStart w:id="43" w:name="Tc_mi76DUCpikOgKgyiu-5drQ_1_3"/>
      <w:bookmarkStart w:id="44" w:name="Tc_A6scuzkWY0i1tBaYgOwDHw_1_2"/>
      <w:bookmarkStart w:id="45" w:name="Tc_i4KeHHpuGEiGwpKTUo24SA_1_1"/>
      <w:bookmarkStart w:id="46" w:name="_120e969a_2099_4731_a2ae_ad879a0aa2d3"/>
      <w:bookmarkStart w:id="47" w:name="Tc_qaegCzQK60S92pQaxvQAnA_5_2"/>
      <w:bookmarkStart w:id="48" w:name="Tc_XgUWjf4ms0ukO-fwg_9DBw_3_2"/>
      <w:bookmarkStart w:id="49" w:name="Tc_SXr5z0R76UC011wTYrRLaA_3_1"/>
      <w:bookmarkStart w:id="50" w:name="Tc_VNQzIyDFf0eE3amPBLyctg_3_0"/>
      <w:bookmarkStart w:id="51" w:name="Tc_mi76DUCpikOgKgyiu-5drQ_1_3"/>
      <w:bookmarkStart w:id="52" w:name="Tc_A6scuzkWY0i1tBaYgOwDHw_1_2"/>
      <w:bookmarkStart w:id="53" w:name="Tc_i4KeHHpuGEiGwpKTUo24SA_1_1"/>
      <w:bookmarkStart w:id="54" w:name="_120e969a_2099_4731_a2ae_ad879a0aa2d3"/>
      <w:bookmarkEnd w:id="47"/>
      <w:bookmarkEnd w:id="48"/>
      <w:bookmarkEnd w:id="49"/>
      <w:bookmarkEnd w:id="50"/>
      <w:bookmarkEnd w:id="51"/>
      <w:bookmarkEnd w:id="52"/>
      <w:bookmarkEnd w:id="53"/>
      <w:bookmarkEnd w:id="54"/>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lineRule="atLeast" w:line="142" w:before="0" w:after="0"/>
              <w:ind w:left="0" w:right="0" w:hanging="0"/>
              <w:jc w:val="left"/>
              <w:rPr/>
            </w:pPr>
            <w:r>
              <w:rPr/>
              <w:t>​</w:t>
            </w:r>
          </w:p>
        </w:tc>
        <w:tc>
          <w:tcPr>
            <w:tcW w:w="316" w:type="dxa"/>
            <w:tcBorders/>
            <w:vAlign w:val="center"/>
          </w:tcPr>
          <w:p>
            <w:pPr>
              <w:pStyle w:val="TableContents"/>
              <w:bidi w:val="0"/>
              <w:spacing w:lineRule="atLeast" w:line="142" w:before="0" w:after="0"/>
              <w:ind w:left="0" w:right="0" w:hanging="0"/>
              <w:jc w:val="left"/>
              <w:rPr/>
            </w:pPr>
            <w:r>
              <w:rPr/>
              <w:t>​</w:t>
            </w:r>
          </w:p>
        </w:tc>
        <w:tc>
          <w:tcPr>
            <w:tcW w:w="2311" w:type="dxa"/>
            <w:tcBorders/>
            <w:vAlign w:val="center"/>
          </w:tcPr>
          <w:p>
            <w:pPr>
              <w:pStyle w:val="TableContents"/>
              <w:bidi w:val="0"/>
              <w:spacing w:lineRule="atLeast" w:line="142" w:before="0" w:after="0"/>
              <w:ind w:left="0" w:right="0" w:hanging="0"/>
              <w:jc w:val="left"/>
              <w:rPr/>
            </w:pPr>
            <w:r>
              <w:rPr/>
              <w:t>​</w:t>
            </w:r>
          </w:p>
        </w:tc>
        <w:tc>
          <w:tcPr>
            <w:tcW w:w="361" w:type="dxa"/>
            <w:tcBorders/>
            <w:vAlign w:val="center"/>
          </w:tcPr>
          <w:p>
            <w:pPr>
              <w:pStyle w:val="TableContents"/>
              <w:bidi w:val="0"/>
              <w:spacing w:lineRule="atLeast" w:line="142"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lineRule="atLeast" w:line="142" w:before="0" w:after="240"/>
              <w:ind w:left="0" w:right="0" w:hanging="0"/>
              <w:jc w:val="left"/>
              <w:rPr/>
            </w:pPr>
            <w:r>
              <w:rPr/>
              <w:t>​</w:t>
            </w:r>
          </w:p>
        </w:tc>
        <w:tc>
          <w:tcPr>
            <w:tcW w:w="316" w:type="dxa"/>
            <w:tcBorders/>
            <w:vAlign w:val="center"/>
          </w:tcPr>
          <w:p>
            <w:pPr>
              <w:pStyle w:val="TableContents"/>
              <w:bidi w:val="0"/>
              <w:spacing w:lineRule="atLeast" w:line="142" w:before="0" w:after="240"/>
              <w:ind w:left="0" w:right="0" w:hanging="0"/>
              <w:jc w:val="left"/>
              <w:rPr/>
            </w:pPr>
            <w:r>
              <w:rPr/>
              <w:t>​</w:t>
            </w:r>
          </w:p>
        </w:tc>
        <w:tc>
          <w:tcPr>
            <w:tcW w:w="2311" w:type="dxa"/>
            <w:tcBorders/>
            <w:vAlign w:val="center"/>
          </w:tcPr>
          <w:p>
            <w:pPr>
              <w:pStyle w:val="TableContents"/>
              <w:bidi w:val="0"/>
              <w:spacing w:lineRule="atLeast" w:line="142" w:before="0" w:after="240"/>
              <w:ind w:left="0" w:right="0" w:hanging="0"/>
              <w:jc w:val="left"/>
              <w:rPr/>
            </w:pPr>
            <w:r>
              <w:rPr/>
              <w:t>​</w:t>
            </w:r>
          </w:p>
        </w:tc>
        <w:tc>
          <w:tcPr>
            <w:tcW w:w="361" w:type="dxa"/>
            <w:tcBorders/>
            <w:vAlign w:val="center"/>
          </w:tcPr>
          <w:p>
            <w:pPr>
              <w:pStyle w:val="TableContents"/>
              <w:bidi w:val="0"/>
              <w:spacing w:lineRule="atLeast" w:line="142" w:before="0" w:after="24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lineRule="atLeast" w:line="142"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lineRule="atLeast" w:line="142"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9"/>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9"/>
        </w:rPr>
        <w:t>NO  </w:t>
      </w:r>
      <w:r>
        <w:rPr>
          <w:rFonts w:ascii="Times New Roman;Times;serif" w:hAnsi="Times New Roman;Times;serif"/>
          <w:sz w:val="20"/>
        </w:rPr>
        <w:t>☑</w:t>
      </w:r>
    </w:p>
    <w:p>
      <w:pPr>
        <w:pStyle w:val="TextBody"/>
        <w:bidi w:val="0"/>
        <w:spacing w:lineRule="atLeast" w:line="142"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9"/>
        </w:rPr>
        <w:t>As of July 27, 2026, there were 56,930,451</w:t>
      </w:r>
      <w:r>
        <w:rPr>
          <w:rFonts w:ascii="Times New Roman;Times;serif" w:hAnsi="Times New Roman;Times;serif"/>
          <w:sz w:val="18"/>
        </w:rPr>
        <w:t xml:space="preserve"> </w:t>
      </w:r>
      <w:r>
        <w:rPr>
          <w:rFonts w:ascii="Times New Roman;Times;serif" w:hAnsi="Times New Roman;Times;serif"/>
          <w:sz w:val="19"/>
        </w:rPr>
        <w:t>shares of common stock, no par value, outstanding.</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5" w:name="_3978059e_6831_437f_8ec5_178209988763"/>
      <w:bookmarkEnd w:id="55"/>
      <w:r>
        <w:rPr>
          <w:rFonts w:ascii="Times New Roman;Times;serif" w:hAnsi="Times New Roman;Times;serif"/>
          <w:b/>
          <w:sz w:val="20"/>
        </w:rPr>
        <w:t>THE ST. JOE COMPANY</w:t>
      </w:r>
    </w:p>
    <w:p>
      <w:pPr>
        <w:pStyle w:val="TextBody"/>
        <w:bidi w:val="0"/>
        <w:spacing w:before="0" w:after="240"/>
        <w:ind w:left="0" w:right="0" w:hanging="0"/>
        <w:jc w:val="center"/>
        <w:rPr>
          <w:rFonts w:ascii="Times New Roman;Times;serif" w:hAnsi="Times New Roman;Times;serif"/>
          <w:b/>
          <w:sz w:val="20"/>
        </w:rPr>
      </w:pPr>
      <w:bookmarkStart w:id="56" w:name="TOC"/>
      <w:bookmarkEnd w:id="56"/>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394"/>
        <w:gridCol w:w="811"/>
      </w:tblGrid>
      <w:tr>
        <w:trPr/>
        <w:tc>
          <w:tcPr>
            <w:tcW w:w="9394" w:type="dxa"/>
            <w:tcBorders/>
            <w:vAlign w:val="center"/>
          </w:tcPr>
          <w:p>
            <w:pPr>
              <w:pStyle w:val="TableContents"/>
              <w:bidi w:val="0"/>
              <w:spacing w:lineRule="atLeast" w:line="142" w:before="0" w:after="0"/>
              <w:ind w:left="0" w:right="0" w:hanging="0"/>
              <w:jc w:val="left"/>
              <w:rPr/>
            </w:pPr>
            <w:r>
              <w:rPr/>
              <w:t>​</w: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tLeast" w:line="142"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42" w:before="0" w:after="0"/>
                              <w:ind w:left="0" w:right="0" w:hanging="0"/>
                              <w:jc w:val="left"/>
                              <w:rPr/>
                            </w:pPr>
                            <w:r>
                              <w:rPr/>
                              <w:t>​</w:t>
                            </w:r>
                          </w:p>
                        </w:txbxContent>
                      </v:textbox>
                      <w10:wrap type="none"/>
                    </v:rect>
                  </w:pict>
                </mc:Fallback>
              </mc:AlternateContent>
            </w:r>
          </w:p>
        </w:tc>
      </w:tr>
      <w:tr>
        <w:trPr/>
        <w:tc>
          <w:tcPr>
            <w:tcW w:w="9394"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 No.</w:t>
            </w:r>
          </w:p>
        </w:tc>
      </w:tr>
      <w:tr>
        <w:trPr/>
        <w:tc>
          <w:tcPr>
            <w:tcW w:w="9394" w:type="dxa"/>
            <w:tcBorders/>
            <w:vAlign w:val="center"/>
          </w:tcPr>
          <w:p>
            <w:pPr>
              <w:pStyle w:val="TableContents"/>
              <w:bidi w:val="0"/>
              <w:spacing w:before="40" w:after="40"/>
              <w:ind w:left="0" w:right="0" w:hanging="0"/>
              <w:jc w:val="left"/>
              <w:rPr/>
            </w:pPr>
            <w:hyperlink w:anchor="PARTIFINANCIALINFORMATION_187217">
              <w:r>
                <w:rPr>
                  <w:rStyle w:val="InternetLink"/>
                  <w:rFonts w:ascii="Times New Roman;Times;serif" w:hAnsi="Times New Roman;Times;serif"/>
                  <w:b/>
                  <w:i w:val="false"/>
                  <w:caps w:val="false"/>
                  <w:smallCaps w:val="false"/>
                  <w:sz w:val="20"/>
                </w:rPr>
                <w:t>PART I - FINANCIAL INFORMATION</w:t>
              </w:r>
            </w:hyperlink>
          </w:p>
        </w:tc>
        <w:tc>
          <w:tcPr>
            <w:tcW w:w="811" w:type="dxa"/>
            <w:tcBorders>
              <w:top w:val="single" w:sz="2" w:space="0" w:color="000000"/>
            </w:tcBorders>
            <w:tcMar>
              <w:top w:w="28" w:type="dxa"/>
            </w:tcMar>
            <w:vAlign w:val="center"/>
          </w:tcPr>
          <w:p>
            <w:pPr>
              <w:pStyle w:val="TableContents"/>
              <w:bidi w:val="0"/>
              <w:spacing w:before="40" w:after="40"/>
              <w:ind w:left="0" w:right="0" w:hanging="0"/>
              <w:jc w:val="center"/>
              <w:rPr/>
            </w:pPr>
            <w:r>
              <w:rPr/>
              <w:t>​</w:t>
            </w:r>
          </w:p>
        </w:tc>
      </w:tr>
      <w:tr>
        <w:trPr/>
        <w:tc>
          <w:tcPr>
            <w:tcW w:w="9394" w:type="dxa"/>
            <w:tcBorders/>
            <w:vAlign w:val="center"/>
          </w:tcPr>
          <w:p>
            <w:pPr>
              <w:pStyle w:val="TableContents"/>
              <w:bidi w:val="0"/>
              <w:spacing w:before="40" w:after="40"/>
              <w:ind w:left="0" w:right="0" w:hanging="0"/>
              <w:jc w:val="left"/>
              <w:rPr/>
            </w:pPr>
            <w:hyperlink w:anchor="Item1FinancialStatements_514348">
              <w:r>
                <w:rPr>
                  <w:rStyle w:val="InternetLink"/>
                  <w:rFonts w:ascii="Times New Roman;Times;serif" w:hAnsi="Times New Roman;Times;serif"/>
                  <w:b w:val="false"/>
                  <w:i w:val="false"/>
                  <w:caps w:val="false"/>
                  <w:smallCaps w:val="false"/>
                  <w:sz w:val="20"/>
                </w:rPr>
                <w:t>Item 1. Financial Statements (Unaudited)</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394" w:type="dxa"/>
            <w:tcBorders/>
            <w:vAlign w:val="center"/>
          </w:tcPr>
          <w:p>
            <w:pPr>
              <w:pStyle w:val="TableContents"/>
              <w:bidi w:val="0"/>
              <w:spacing w:before="40" w:after="40"/>
              <w:ind w:left="0" w:right="0" w:hanging="0"/>
              <w:jc w:val="left"/>
              <w:rPr/>
            </w:pPr>
            <w:hyperlink w:anchor="CONDENSEDCONSOLIDATEDBALANCESHEETS_38440">
              <w:r>
                <w:rPr>
                  <w:rStyle w:val="InternetLink"/>
                  <w:rFonts w:ascii="Times New Roman;Times;serif" w:hAnsi="Times New Roman;Times;serif"/>
                  <w:b w:val="false"/>
                  <w:i w:val="false"/>
                  <w:caps w:val="false"/>
                  <w:smallCaps w:val="false"/>
                  <w:sz w:val="20"/>
                </w:rPr>
                <w:t>Condensed Consolidated Balance Sheets - June 30, 2026 and December 31, 2025</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394" w:type="dxa"/>
            <w:tcBorders/>
            <w:vAlign w:val="center"/>
          </w:tcPr>
          <w:p>
            <w:pPr>
              <w:pStyle w:val="TableContents"/>
              <w:bidi w:val="0"/>
              <w:spacing w:before="40" w:after="4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Condensed Consolidated Statements of Income - Three and Six Months Ended June 30, 2026 and 2025</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394" w:type="dxa"/>
            <w:tcBorders/>
            <w:vAlign w:val="center"/>
          </w:tcPr>
          <w:p>
            <w:pPr>
              <w:pStyle w:val="TableContents"/>
              <w:bidi w:val="0"/>
              <w:spacing w:before="40" w:after="4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 Three and Six Months Ended June 30, 2026 and 2025</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394" w:type="dxa"/>
            <w:tcBorders/>
            <w:vAlign w:val="center"/>
          </w:tcPr>
          <w:p>
            <w:pPr>
              <w:pStyle w:val="TableContents"/>
              <w:bidi w:val="0"/>
              <w:spacing w:before="40" w:after="40"/>
              <w:ind w:left="0" w:right="0" w:hanging="0"/>
              <w:jc w:val="left"/>
              <w:rPr/>
            </w:pPr>
            <w:hyperlink w:anchor="Equity_Statement">
              <w:r>
                <w:rPr>
                  <w:rStyle w:val="InternetLink"/>
                  <w:rFonts w:ascii="Times New Roman;Times;serif" w:hAnsi="Times New Roman;Times;serif"/>
                  <w:b w:val="false"/>
                  <w:i w:val="false"/>
                  <w:caps w:val="false"/>
                  <w:smallCaps w:val="false"/>
                  <w:sz w:val="20"/>
                </w:rPr>
                <w:t>Condensed Consolidated Statements of Equity - Three and Six Months Ended June 30, 2026 and 2025</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394" w:type="dxa"/>
            <w:tcBorders/>
            <w:vAlign w:val="center"/>
          </w:tcPr>
          <w:p>
            <w:pPr>
              <w:pStyle w:val="TableContents"/>
              <w:bidi w:val="0"/>
              <w:spacing w:before="40" w:after="4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 Six Months Ended June 30, 2026 and 2025</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9394" w:type="dxa"/>
            <w:tcBorders/>
            <w:vAlign w:val="center"/>
          </w:tcPr>
          <w:p>
            <w:pPr>
              <w:pStyle w:val="TableContents"/>
              <w:bidi w:val="0"/>
              <w:spacing w:before="40" w:after="40"/>
              <w:ind w:left="0" w:right="0" w:hanging="0"/>
              <w:jc w:val="left"/>
              <w:rPr/>
            </w:pPr>
            <w:hyperlink w:anchor="NOTESTOTHECONDENSEDCONSOLIDATEDFINANCIAL">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9394" w:type="dxa"/>
            <w:tcBorders/>
            <w:vAlign w:val="center"/>
          </w:tcPr>
          <w:p>
            <w:pPr>
              <w:pStyle w:val="TableContents"/>
              <w:bidi w:val="0"/>
              <w:spacing w:before="40" w:after="4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9394" w:type="dxa"/>
            <w:tcBorders/>
            <w:vAlign w:val="center"/>
          </w:tcPr>
          <w:p>
            <w:pPr>
              <w:pStyle w:val="TableContents"/>
              <w:bidi w:val="0"/>
              <w:spacing w:before="40" w:after="4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9394" w:type="dxa"/>
            <w:tcBorders/>
            <w:vAlign w:val="center"/>
          </w:tcPr>
          <w:p>
            <w:pPr>
              <w:pStyle w:val="TableContents"/>
              <w:bidi w:val="0"/>
              <w:spacing w:before="40" w:after="40"/>
              <w:ind w:left="0" w:right="0" w:hanging="0"/>
              <w:jc w:val="left"/>
              <w:rPr/>
            </w:pPr>
            <w:hyperlink w:anchor="Item4ControlsandProcedures_887098">
              <w:r>
                <w:rPr>
                  <w:rStyle w:val="InternetLink"/>
                  <w:rFonts w:ascii="Times New Roman;Times;serif" w:hAnsi="Times New Roman;Times;serif"/>
                  <w:b w:val="false"/>
                  <w:i w:val="false"/>
                  <w:caps w:val="false"/>
                  <w:smallCaps w:val="false"/>
                  <w:sz w:val="20"/>
                </w:rPr>
                <w:t>Item 4. Controls and Procedures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9394" w:type="dxa"/>
            <w:tcBorders/>
            <w:vAlign w:val="center"/>
          </w:tcPr>
          <w:p>
            <w:pPr>
              <w:pStyle w:val="TableContents"/>
              <w:bidi w:val="0"/>
              <w:spacing w:before="40" w:after="40"/>
              <w:ind w:left="0" w:right="0" w:hanging="0"/>
              <w:jc w:val="left"/>
              <w:rPr/>
            </w:pPr>
            <w:hyperlink w:anchor="PARTIIOTHERINFORMATION_895295">
              <w:r>
                <w:rPr>
                  <w:rStyle w:val="InternetLink"/>
                  <w:rFonts w:ascii="Times New Roman;Times;serif" w:hAnsi="Times New Roman;Times;serif"/>
                  <w:b/>
                  <w:i w:val="false"/>
                  <w:caps w:val="false"/>
                  <w:smallCaps w:val="false"/>
                  <w:sz w:val="20"/>
                </w:rPr>
                <w:t>PART II - OTHER INFORMATION</w:t>
              </w:r>
            </w:hyperlink>
          </w:p>
        </w:tc>
        <w:tc>
          <w:tcPr>
            <w:tcW w:w="811" w:type="dxa"/>
            <w:tcBorders/>
            <w:vAlign w:val="center"/>
          </w:tcPr>
          <w:p>
            <w:pPr>
              <w:pStyle w:val="TableContents"/>
              <w:bidi w:val="0"/>
              <w:spacing w:before="40" w:after="40"/>
              <w:ind w:left="0" w:right="0" w:hanging="0"/>
              <w:jc w:val="center"/>
              <w:rPr/>
            </w:pPr>
            <w:r>
              <w:rPr/>
              <w:t>​</w:t>
            </w:r>
          </w:p>
        </w:tc>
      </w:tr>
      <w:tr>
        <w:trPr/>
        <w:tc>
          <w:tcPr>
            <w:tcW w:w="9394" w:type="dxa"/>
            <w:tcBorders/>
            <w:vAlign w:val="center"/>
          </w:tcPr>
          <w:p>
            <w:pPr>
              <w:pStyle w:val="TableContents"/>
              <w:bidi w:val="0"/>
              <w:spacing w:before="40" w:after="40"/>
              <w:ind w:left="0" w:right="0" w:hanging="0"/>
              <w:jc w:val="left"/>
              <w:rPr/>
            </w:pPr>
            <w:hyperlink w:anchor="Item1LegalProceedings_52834">
              <w:r>
                <w:rPr>
                  <w:rStyle w:val="InternetLink"/>
                  <w:rFonts w:ascii="Times New Roman;Times;serif" w:hAnsi="Times New Roman;Times;serif"/>
                  <w:b w:val="false"/>
                  <w:i w:val="false"/>
                  <w:caps w:val="false"/>
                  <w:smallCaps w:val="false"/>
                  <w:sz w:val="20"/>
                </w:rPr>
                <w:t>Item 1. Legal Proceedings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9394" w:type="dxa"/>
            <w:tcBorders/>
            <w:vAlign w:val="center"/>
          </w:tcPr>
          <w:p>
            <w:pPr>
              <w:pStyle w:val="TableContents"/>
              <w:bidi w:val="0"/>
              <w:spacing w:before="40" w:after="40"/>
              <w:ind w:left="0" w:right="0" w:hanging="0"/>
              <w:jc w:val="left"/>
              <w:rPr/>
            </w:pPr>
            <w:hyperlink w:anchor="Item1ARiskFactors_980256">
              <w:r>
                <w:rPr>
                  <w:rStyle w:val="InternetLink"/>
                  <w:rFonts w:ascii="Times New Roman;Times;serif" w:hAnsi="Times New Roman;Times;serif"/>
                  <w:b w:val="false"/>
                  <w:i w:val="false"/>
                  <w:caps w:val="false"/>
                  <w:smallCaps w:val="false"/>
                  <w:sz w:val="20"/>
                </w:rPr>
                <w:t>Item 1A. Risk Factors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9394" w:type="dxa"/>
            <w:tcBorders/>
            <w:vAlign w:val="center"/>
          </w:tcPr>
          <w:p>
            <w:pPr>
              <w:pStyle w:val="TableContents"/>
              <w:bidi w:val="0"/>
              <w:spacing w:before="40" w:after="4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9394" w:type="dxa"/>
            <w:tcBorders/>
            <w:vAlign w:val="center"/>
          </w:tcPr>
          <w:p>
            <w:pPr>
              <w:pStyle w:val="TableContents"/>
              <w:bidi w:val="0"/>
              <w:spacing w:before="40" w:after="40"/>
              <w:ind w:left="0" w:right="0" w:hanging="0"/>
              <w:jc w:val="left"/>
              <w:rPr/>
            </w:pPr>
            <w:hyperlink w:anchor="Item3DefaultsuponSeniorSecurities_741045">
              <w:r>
                <w:rPr>
                  <w:rStyle w:val="InternetLink"/>
                  <w:rFonts w:ascii="Times New Roman;Times;serif" w:hAnsi="Times New Roman;Times;serif"/>
                  <w:b w:val="false"/>
                  <w:i w:val="false"/>
                  <w:caps w:val="false"/>
                  <w:smallCaps w:val="false"/>
                  <w:sz w:val="20"/>
                </w:rPr>
                <w:t>Item 3. Defaults Upon Senior Securities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9394" w:type="dxa"/>
            <w:tcBorders/>
            <w:vAlign w:val="center"/>
          </w:tcPr>
          <w:p>
            <w:pPr>
              <w:pStyle w:val="TableContents"/>
              <w:bidi w:val="0"/>
              <w:spacing w:before="40" w:after="40"/>
              <w:ind w:left="0" w:right="0" w:hanging="0"/>
              <w:jc w:val="left"/>
              <w:rPr/>
            </w:pPr>
            <w:hyperlink w:anchor="Item4MineSafetyDisclosures_49809">
              <w:r>
                <w:rPr>
                  <w:rStyle w:val="InternetLink"/>
                  <w:rFonts w:ascii="Times New Roman;Times;serif" w:hAnsi="Times New Roman;Times;serif"/>
                  <w:b w:val="false"/>
                  <w:i w:val="false"/>
                  <w:caps w:val="false"/>
                  <w:smallCaps w:val="false"/>
                  <w:sz w:val="20"/>
                </w:rPr>
                <w:t>Item 4. Mine Safety Disclosures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9394" w:type="dxa"/>
            <w:tcBorders/>
            <w:vAlign w:val="center"/>
          </w:tcPr>
          <w:p>
            <w:pPr>
              <w:pStyle w:val="TableContents"/>
              <w:bidi w:val="0"/>
              <w:spacing w:before="40" w:after="40"/>
              <w:ind w:left="0" w:right="0" w:hanging="0"/>
              <w:jc w:val="left"/>
              <w:rPr/>
            </w:pPr>
            <w:hyperlink w:anchor="Item5OtherInformation_321484">
              <w:r>
                <w:rPr>
                  <w:rStyle w:val="InternetLink"/>
                  <w:rFonts w:ascii="Times New Roman;Times;serif" w:hAnsi="Times New Roman;Times;serif"/>
                  <w:b w:val="false"/>
                  <w:i w:val="false"/>
                  <w:caps w:val="false"/>
                  <w:smallCaps w:val="false"/>
                  <w:sz w:val="20"/>
                </w:rPr>
                <w:t>Item 5. Other Information</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9394" w:type="dxa"/>
            <w:tcBorders/>
            <w:vAlign w:val="center"/>
          </w:tcPr>
          <w:p>
            <w:pPr>
              <w:pStyle w:val="TableContents"/>
              <w:bidi w:val="0"/>
              <w:spacing w:before="40" w:after="40"/>
              <w:ind w:left="0" w:right="0" w:hanging="0"/>
              <w:jc w:val="left"/>
              <w:rPr/>
            </w:pPr>
            <w:hyperlink w:anchor="Item6Exhibits_42059">
              <w:r>
                <w:rPr>
                  <w:rStyle w:val="InternetLink"/>
                  <w:rFonts w:ascii="Times New Roman;Times;serif" w:hAnsi="Times New Roman;Times;serif"/>
                  <w:b w:val="false"/>
                  <w:i w:val="false"/>
                  <w:caps w:val="false"/>
                  <w:smallCaps w:val="false"/>
                  <w:sz w:val="20"/>
                </w:rPr>
                <w:t>Item 6. Exhibits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9394" w:type="dxa"/>
            <w:tcBorders/>
            <w:vAlign w:val="center"/>
          </w:tcPr>
          <w:p>
            <w:pPr>
              <w:pStyle w:val="TableContents"/>
              <w:bidi w:val="0"/>
              <w:spacing w:before="40" w:after="40"/>
              <w:ind w:left="0" w:right="0" w:hanging="0"/>
              <w:jc w:val="left"/>
              <w:rPr/>
            </w:pPr>
            <w:hyperlink w:anchor="SIGNATURES_149802">
              <w:r>
                <w:rPr>
                  <w:rStyle w:val="InternetLink"/>
                  <w:rFonts w:ascii="Times New Roman;Times;serif" w:hAnsi="Times New Roman;Times;serif"/>
                  <w:b/>
                  <w:i w:val="false"/>
                  <w:caps w:val="false"/>
                  <w:smallCaps w:val="false"/>
                  <w:sz w:val="20"/>
                </w:rPr>
                <w:t>SIGNATURES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7" w:name="PARTIFINANCIALINFORMATION_187217"/>
      <w:bookmarkStart w:id="58" w:name="_364299"/>
      <w:bookmarkStart w:id="59" w:name="_364e455d_efe7_45c3_9f90_50c2c86cdab3"/>
      <w:bookmarkEnd w:id="57"/>
      <w:bookmarkEnd w:id="58"/>
      <w:bookmarkEnd w:id="59"/>
      <w:r>
        <w:rPr>
          <w:rFonts w:ascii="Times New Roman;Times;serif" w:hAnsi="Times New Roman;Times;serif"/>
          <w:b/>
          <w:sz w:val="20"/>
        </w:rPr>
        <w:t>PART I - FINANCIAL INFORMATION</w:t>
      </w:r>
    </w:p>
    <w:p>
      <w:pPr>
        <w:pStyle w:val="TextBody"/>
        <w:pBdr/>
        <w:bidi w:val="0"/>
        <w:spacing w:before="0" w:after="240"/>
        <w:ind w:left="0" w:right="0" w:hanging="720"/>
        <w:jc w:val="left"/>
        <w:rPr>
          <w:rFonts w:ascii="Times New Roman;Times;serif" w:hAnsi="Times New Roman;Times;serif"/>
          <w:b/>
          <w:sz w:val="20"/>
        </w:rPr>
      </w:pPr>
      <w:bookmarkStart w:id="60" w:name="Item1FinancialStatements_514348"/>
      <w:bookmarkEnd w:id="60"/>
      <w:r>
        <w:rPr>
          <w:rFonts w:ascii="Times New Roman;Times;serif" w:hAnsi="Times New Roman;Times;serif"/>
          <w:b/>
          <w:sz w:val="20"/>
        </w:rPr>
        <w:t>Item 1.         </w:t>
      </w:r>
      <w:r>
        <w:rPr>
          <w:rFonts w:ascii="Times New Roman;Times;serif" w:hAnsi="Times New Roman;Times;serif"/>
          <w:b/>
          <w:i/>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61" w:name="CONDENSEDCONSOLIDATEDBALANCESHEETS_38440"/>
      <w:bookmarkEnd w:id="61"/>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62" w:name="Tc_Q9vCaBXuc02mrDF1f1AlOg_30_5"/>
      <w:bookmarkStart w:id="63" w:name="Tc_ODEPWU_ut0KYTgrzxFU7yw_30_2"/>
      <w:bookmarkStart w:id="64" w:name="Tc_-ynVAOfzkUKFuaqKODqZxg_30_0"/>
      <w:bookmarkStart w:id="65" w:name="Tc_u2YPmIw9o0mAN19y3A6x4Q_29_0"/>
      <w:bookmarkStart w:id="66" w:name="Tc_walggUoBYUeqCW3I-N9OVw_28_0"/>
      <w:bookmarkStart w:id="67" w:name="Tc_kL6Nso_T-kq3-Fn-7ZAxlQ_27_0"/>
      <w:bookmarkStart w:id="68" w:name="Tc_X8_UZIgKzEGy6-kKxr6rLQ_26_6"/>
      <w:bookmarkStart w:id="69" w:name="Tc_03-KXwNdi0a8P_PB_ARPbA_26_0"/>
      <w:bookmarkStart w:id="70" w:name="Tc_uE7DAnWGmEWaPdEEC-_tsw_25_0"/>
      <w:bookmarkStart w:id="71" w:name="Tc_RuK1dmrgNEiObe2cKe7U_A_24_0"/>
      <w:bookmarkStart w:id="72" w:name="Tc_ZIKs_HR2JU-aGP83ZCTpVQ_23_0"/>
      <w:bookmarkStart w:id="73" w:name="Tc_BQ8qffzE7k6g5Pfh0vPSzQ_22_0"/>
      <w:bookmarkStart w:id="74" w:name="Tc_VK760wnBokehPuG2hBcRJw_20_0"/>
      <w:bookmarkStart w:id="75" w:name="Tc_n3TrdgS1yk6276qGr0QgOQ_18_0"/>
      <w:bookmarkStart w:id="76" w:name="Tc_Nqw8yABpg0CsYKRtGPKtgA_17_0"/>
      <w:bookmarkStart w:id="77" w:name="Tc_hWL-hWQDz0OdGV-6fuZrXg_16_0"/>
      <w:bookmarkStart w:id="78" w:name="Tc_9U8pm1149Ummh2yUzdzsuw_15_0"/>
      <w:bookmarkStart w:id="79" w:name="Tc__BBLfJoBbk-0IsCrdE_4mA_14_0"/>
      <w:bookmarkStart w:id="80" w:name="Tc_NvZZai59KkarDD6dChsoBw_13_5"/>
      <w:bookmarkStart w:id="81" w:name="Tc_Q6fBOetcFEGb3gg_QsULnw_13_2"/>
      <w:bookmarkStart w:id="82" w:name="Tc_HBfy4WfIykeXR-nT776DVg_13_0"/>
      <w:bookmarkStart w:id="83" w:name="Tc_Jo36aWgMtEKkWEA8gGKf4A_12_0"/>
      <w:bookmarkStart w:id="84" w:name="Tc_Kec2X-mNpkeQqYv-VA5MOg_11_0"/>
      <w:bookmarkStart w:id="85" w:name="Tc_s5P16I4WX0SpNkujMKGdTw_10_5"/>
      <w:bookmarkStart w:id="86" w:name="Tc_gEm1WU5L6Ua97YyxTnpp0Q_10_2"/>
      <w:bookmarkStart w:id="87" w:name="Tc_YgltIhCc9EqLGPoe2w_KcQ_10_0"/>
      <w:bookmarkStart w:id="88" w:name="Tc_EG_g2v2XKUa3H_Uhp1hUiQ_9_0"/>
      <w:bookmarkStart w:id="89" w:name="Tc_qOH1b_s-kU2ghnlVt3AReg_8_0"/>
      <w:bookmarkStart w:id="90" w:name="Tc_EH9ig6hLVE67BY4HpQXIgA_7_0"/>
      <w:bookmarkStart w:id="91" w:name="Tc_DryaQCpgsESGyITcdadxvg_6_0"/>
      <w:bookmarkStart w:id="92" w:name="Tc_DYY6H3jlcUqbV1WwaiW5vw_5_0"/>
      <w:bookmarkStart w:id="93" w:name="Tc_eZQ3obXQEkaa13i5I1g3PA_4_5"/>
      <w:bookmarkStart w:id="94" w:name="Tc_hbFDeM21c0WZcAweGWWNmg_4_2"/>
      <w:bookmarkStart w:id="95" w:name="Tc_I49eL2d64UOXCtdGuTXG3w_4_0"/>
      <w:bookmarkStart w:id="96" w:name="Tc_qM81s1GuMEWoZEbpMakzmw_3_0"/>
      <w:bookmarkStart w:id="97" w:name="Tc_do9vqFkoj0qc45KVfxhXgA_2_5"/>
      <w:bookmarkStart w:id="98" w:name="Tc_QKVOVlCM4EmD6u5mNSOmPw_2_2"/>
      <w:bookmarkStart w:id="99" w:name="Tc_-_HwejpA4Ee27IUtNT60Jw_1_5"/>
      <w:bookmarkStart w:id="100" w:name="Tc_nhsMpQI9xk6-s4vt6LrxaA_1_2"/>
      <w:bookmarkStart w:id="101" w:name="_d58c755d_5701_4fb6_9e9e_e930e7efbd82"/>
      <w:bookmarkStart w:id="102" w:name="Tc_Q9vCaBXuc02mrDF1f1AlOg_30_5"/>
      <w:bookmarkStart w:id="103" w:name="Tc_ODEPWU_ut0KYTgrzxFU7yw_30_2"/>
      <w:bookmarkStart w:id="104" w:name="Tc_-ynVAOfzkUKFuaqKODqZxg_30_0"/>
      <w:bookmarkStart w:id="105" w:name="Tc_u2YPmIw9o0mAN19y3A6x4Q_29_0"/>
      <w:bookmarkStart w:id="106" w:name="Tc_walggUoBYUeqCW3I-N9OVw_28_0"/>
      <w:bookmarkStart w:id="107" w:name="Tc_kL6Nso_T-kq3-Fn-7ZAxlQ_27_0"/>
      <w:bookmarkStart w:id="108" w:name="Tc_X8_UZIgKzEGy6-kKxr6rLQ_26_6"/>
      <w:bookmarkStart w:id="109" w:name="Tc_03-KXwNdi0a8P_PB_ARPbA_26_0"/>
      <w:bookmarkStart w:id="110" w:name="Tc_uE7DAnWGmEWaPdEEC-_tsw_25_0"/>
      <w:bookmarkStart w:id="111" w:name="Tc_RuK1dmrgNEiObe2cKe7U_A_24_0"/>
      <w:bookmarkStart w:id="112" w:name="Tc_ZIKs_HR2JU-aGP83ZCTpVQ_23_0"/>
      <w:bookmarkStart w:id="113" w:name="Tc_BQ8qffzE7k6g5Pfh0vPSzQ_22_0"/>
      <w:bookmarkStart w:id="114" w:name="Tc_VK760wnBokehPuG2hBcRJw_20_0"/>
      <w:bookmarkStart w:id="115" w:name="Tc_n3TrdgS1yk6276qGr0QgOQ_18_0"/>
      <w:bookmarkStart w:id="116" w:name="Tc_Nqw8yABpg0CsYKRtGPKtgA_17_0"/>
      <w:bookmarkStart w:id="117" w:name="Tc_hWL-hWQDz0OdGV-6fuZrXg_16_0"/>
      <w:bookmarkStart w:id="118" w:name="Tc_9U8pm1149Ummh2yUzdzsuw_15_0"/>
      <w:bookmarkStart w:id="119" w:name="Tc__BBLfJoBbk-0IsCrdE_4mA_14_0"/>
      <w:bookmarkStart w:id="120" w:name="Tc_NvZZai59KkarDD6dChsoBw_13_5"/>
      <w:bookmarkStart w:id="121" w:name="Tc_Q6fBOetcFEGb3gg_QsULnw_13_2"/>
      <w:bookmarkStart w:id="122" w:name="Tc_HBfy4WfIykeXR-nT776DVg_13_0"/>
      <w:bookmarkStart w:id="123" w:name="Tc_Jo36aWgMtEKkWEA8gGKf4A_12_0"/>
      <w:bookmarkStart w:id="124" w:name="Tc_Kec2X-mNpkeQqYv-VA5MOg_11_0"/>
      <w:bookmarkStart w:id="125" w:name="Tc_s5P16I4WX0SpNkujMKGdTw_10_5"/>
      <w:bookmarkStart w:id="126" w:name="Tc_gEm1WU5L6Ua97YyxTnpp0Q_10_2"/>
      <w:bookmarkStart w:id="127" w:name="Tc_YgltIhCc9EqLGPoe2w_KcQ_10_0"/>
      <w:bookmarkStart w:id="128" w:name="Tc_EG_g2v2XKUa3H_Uhp1hUiQ_9_0"/>
      <w:bookmarkStart w:id="129" w:name="Tc_qOH1b_s-kU2ghnlVt3AReg_8_0"/>
      <w:bookmarkStart w:id="130" w:name="Tc_EH9ig6hLVE67BY4HpQXIgA_7_0"/>
      <w:bookmarkStart w:id="131" w:name="Tc_DryaQCpgsESGyITcdadxvg_6_0"/>
      <w:bookmarkStart w:id="132" w:name="Tc_DYY6H3jlcUqbV1WwaiW5vw_5_0"/>
      <w:bookmarkStart w:id="133" w:name="Tc_eZQ3obXQEkaa13i5I1g3PA_4_5"/>
      <w:bookmarkStart w:id="134" w:name="Tc_hbFDeM21c0WZcAweGWWNmg_4_2"/>
      <w:bookmarkStart w:id="135" w:name="Tc_I49eL2d64UOXCtdGuTXG3w_4_0"/>
      <w:bookmarkStart w:id="136" w:name="Tc_qM81s1GuMEWoZEbpMakzmw_3_0"/>
      <w:bookmarkStart w:id="137" w:name="Tc_do9vqFkoj0qc45KVfxhXgA_2_5"/>
      <w:bookmarkStart w:id="138" w:name="Tc_QKVOVlCM4EmD6u5mNSOmPw_2_2"/>
      <w:bookmarkStart w:id="139" w:name="Tc_-_HwejpA4Ee27IUtNT60Jw_1_5"/>
      <w:bookmarkStart w:id="140" w:name="Tc_nhsMpQI9xk6-s4vt6LrxaA_1_2"/>
      <w:bookmarkStart w:id="141" w:name="_d58c755d_5701_4fb6_9e9e_e930e7efbd82"/>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523740" cy="175260"/>
                      <wp:effectExtent l="0" t="0" r="0" b="0"/>
                      <wp:wrapNone/>
                      <wp:docPr id="2" name="Frame2"/>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91185" cy="175260"/>
                      <wp:effectExtent l="0" t="0" r="0" b="0"/>
                      <wp:wrapNone/>
                      <wp:docPr id="5" name="Frame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57860" cy="175260"/>
                      <wp:effectExtent l="0" t="0" r="0" b="0"/>
                      <wp:wrapNone/>
                      <wp:docPr id="8" name="Frame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4"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real estate,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990,775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1,004,858</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66,052</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129,614</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73,782</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of accumulated depreciation of $112,969 and $105,175 as of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41,314</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special purpose entities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1,508,347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1,518,426</w:t>
            </w:r>
          </w:p>
        </w:tc>
      </w:tr>
      <w:tr>
        <w:trPr/>
        <w:tc>
          <w:tcPr>
            <w:tcW w:w="7124"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391,159</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48,297</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58,663</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65,861</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held by special purpose entity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178,821</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735,380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742,801</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no par value; 180,000,000 shares authorized; 57,572,323 and 57,547,307 issued at June 30, 2026 and December 31, 2025, respectively; and 56,991,651 and 57,547,307 outstanding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229,506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572,259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536,190</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580,672 shares held at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764,461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766,290</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9,335</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775,625</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1,508,347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1,518,426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presents the portion of the condensed consolidated balances attributable to the Company’s consolidated joint ventures (“JV”), which as of June 30, 2026 and December 31, 2025, include the Pier Park North JV (“Pier Park North JV”), Pier Park Crossings LLC (“Pier Park Crossings JV”), Origins Crossings, LLC (“Watersound Origins Crossings JV”), Pier Park Crossings Phase II LLC (“Pier Park Crossings Phase II JV”), Mexico Beach Crossings, LLC (“Mexico Beach Crossings JV”), Pier Park Resort Hotel, LLC (“Pier Park Resort Hotel JV”), the 30A Greenway Hotel, LLC (“The Lodge 30A JV”), Panama City Timber Finance Company, LLC and Northwest Florida Timber Finance, LLC. As of December 31, 2025, condensed consolidated balances attributable to the Company’s JVs also include SJWCSL, LLC (“Watercrest JV”). See Note 2. </w:t>
      </w:r>
      <w:r>
        <w:rPr>
          <w:rFonts w:ascii="Times New Roman;Times;serif" w:hAnsi="Times New Roman;Times;serif"/>
          <w:i/>
          <w:sz w:val="20"/>
        </w:rPr>
        <w:t>Summary of Significant Accounting Policies. Basis of Presentation and Principles of Consolidation</w:t>
      </w:r>
      <w:r>
        <w:rPr>
          <w:rFonts w:ascii="Times New Roman;Times;serif" w:hAnsi="Times New Roman;Times;serif"/>
          <w:sz w:val="20"/>
        </w:rPr>
        <w:t xml:space="preserve"> and Note 4. </w:t>
      </w:r>
      <w:r>
        <w:rPr>
          <w:rFonts w:ascii="Times New Roman;Times;serif" w:hAnsi="Times New Roman;Times;serif"/>
          <w:i/>
          <w:sz w:val="20"/>
        </w:rPr>
        <w:t>Joint Ventures</w:t>
      </w:r>
      <w:r>
        <w:rPr>
          <w:rFonts w:ascii="Times New Roman;Times;serif" w:hAnsi="Times New Roman;Times;serif"/>
          <w:sz w:val="20"/>
        </w:rPr>
        <w:t xml:space="preserve"> for additional information. The following assets may only be used to settle obligations of the consolidated JVs and the following liabilities are only obligations of the consolidated JVs and do not have recourse to the general credit of the Company, except for covenants and guarantees discussed in Note 8. </w:t>
      </w:r>
      <w:r>
        <w:rPr>
          <w:rFonts w:ascii="Times New Roman;Times;serif" w:hAnsi="Times New Roman;Times;serif"/>
          <w:i/>
          <w:sz w:val="20"/>
        </w:rPr>
        <w:t>Debt, Net</w:t>
      </w:r>
      <w:r>
        <w:rPr>
          <w:rFonts w:ascii="Times New Roman;Times;serif" w:hAnsi="Times New Roman;Times;serif"/>
          <w:sz w:val="20"/>
        </w:rPr>
        <w:t>.</w:t>
      </w:r>
    </w:p>
    <w:p>
      <w:pPr>
        <w:pStyle w:val="Normal"/>
        <w:bidi w:val="0"/>
        <w:spacing w:before="0" w:after="0"/>
        <w:jc w:val="left"/>
        <w:rPr>
          <w:sz w:val="4"/>
          <w:szCs w:val="4"/>
        </w:rPr>
      </w:pPr>
      <w:r>
        <w:rPr>
          <w:sz w:val="4"/>
          <w:szCs w:val="4"/>
        </w:rPr>
      </w:r>
      <w:bookmarkStart w:id="142" w:name="Tc_7hFjXzuKN0GItHvgBkeGxg_15_5"/>
      <w:bookmarkStart w:id="143" w:name="Tc_Bckgq6xRX0i8wajAA-KuOg_15_2"/>
      <w:bookmarkStart w:id="144" w:name="Tc_713PLT8FgU-YoAbeS4xdzQ_15_0"/>
      <w:bookmarkStart w:id="145" w:name="Tc_Zc2VzyJ6YkWYpiCs3NSJBA_14_0"/>
      <w:bookmarkStart w:id="146" w:name="Tc_YMqSGQRoZEaB2iwvN7llhA_13_0"/>
      <w:bookmarkStart w:id="147" w:name="Tc_St7ve4ZDq0-v9-QLM0lbhQ_12_0"/>
      <w:bookmarkStart w:id="148" w:name="Tc_zYTz3JShXEmZ8dIlmwvD7w_11_5"/>
      <w:bookmarkStart w:id="149" w:name="Tc_0YCrtXwCDUyrN2jEj-mpLg_11_2"/>
      <w:bookmarkStart w:id="150" w:name="Tc_BRwvooDlxkC0BxF49MH39A_11_0"/>
      <w:bookmarkStart w:id="151" w:name="Tc_Zypj1XdI80OC2mtxjni3Dw_10_0"/>
      <w:bookmarkStart w:id="152" w:name="Tc_84vXDjLR4kqsxzW8tHubHw_9_5"/>
      <w:bookmarkStart w:id="153" w:name="Tc_WT2ykic2hUCfyOjdGt9rjg_9_2"/>
      <w:bookmarkStart w:id="154" w:name="Tc_nzLrQKn16UmQWUwQgNpoqg_9_0"/>
      <w:bookmarkStart w:id="155" w:name="Tc_CBSmHWjC_kiLH1f_Pd2V_Q_8_0"/>
      <w:bookmarkStart w:id="156" w:name="Tc_uGfUislB9E2cEUVsjGJosA_7_0"/>
      <w:bookmarkStart w:id="157" w:name="Tc_AYPOz6AJCUWlG_vd_xY0tw_6_0"/>
      <w:bookmarkStart w:id="158" w:name="Tc_mjdE8eUTQUmVu1g6hLcJZg_5_0"/>
      <w:bookmarkStart w:id="159" w:name="Tc_jc70CAnUH0GgDyCVHdcN2Q_4_5"/>
      <w:bookmarkStart w:id="160" w:name="Tc_OxrHATgEAUeVOJiOoT8D2Q_4_2"/>
      <w:bookmarkStart w:id="161" w:name="Tc_rhioaGce4ku8U_GTi1ThpA_4_0"/>
      <w:bookmarkStart w:id="162" w:name="Tc_HZaEDKc8xkqxGn7m6gu0uQ_3_0"/>
      <w:bookmarkStart w:id="163" w:name="Tc_ZEm5bTPu50qk5U7U6QrRag_2_5"/>
      <w:bookmarkStart w:id="164" w:name="Tc_7hadMDJYzkuxY0SM8ycfLg_2_2"/>
      <w:bookmarkStart w:id="165" w:name="Tc__kJbC7ABpUGK_PKqVKDzqA_1_5"/>
      <w:bookmarkStart w:id="166" w:name="Tc_Qe8ARCGNE0KGjFew1Mn8GQ_1_2"/>
      <w:bookmarkStart w:id="167" w:name="_4e724c21_d012_4afa_a9c3_3fa68bfabe11"/>
      <w:bookmarkStart w:id="168" w:name="Tc_7hFjXzuKN0GItHvgBkeGxg_15_5"/>
      <w:bookmarkStart w:id="169" w:name="Tc_Bckgq6xRX0i8wajAA-KuOg_15_2"/>
      <w:bookmarkStart w:id="170" w:name="Tc_713PLT8FgU-YoAbeS4xdzQ_15_0"/>
      <w:bookmarkStart w:id="171" w:name="Tc_Zc2VzyJ6YkWYpiCs3NSJBA_14_0"/>
      <w:bookmarkStart w:id="172" w:name="Tc_YMqSGQRoZEaB2iwvN7llhA_13_0"/>
      <w:bookmarkStart w:id="173" w:name="Tc_St7ve4ZDq0-v9-QLM0lbhQ_12_0"/>
      <w:bookmarkStart w:id="174" w:name="Tc_zYTz3JShXEmZ8dIlmwvD7w_11_5"/>
      <w:bookmarkStart w:id="175" w:name="Tc_0YCrtXwCDUyrN2jEj-mpLg_11_2"/>
      <w:bookmarkStart w:id="176" w:name="Tc_BRwvooDlxkC0BxF49MH39A_11_0"/>
      <w:bookmarkStart w:id="177" w:name="Tc_Zypj1XdI80OC2mtxjni3Dw_10_0"/>
      <w:bookmarkStart w:id="178" w:name="Tc_84vXDjLR4kqsxzW8tHubHw_9_5"/>
      <w:bookmarkStart w:id="179" w:name="Tc_WT2ykic2hUCfyOjdGt9rjg_9_2"/>
      <w:bookmarkStart w:id="180" w:name="Tc_nzLrQKn16UmQWUwQgNpoqg_9_0"/>
      <w:bookmarkStart w:id="181" w:name="Tc_CBSmHWjC_kiLH1f_Pd2V_Q_8_0"/>
      <w:bookmarkStart w:id="182" w:name="Tc_uGfUislB9E2cEUVsjGJosA_7_0"/>
      <w:bookmarkStart w:id="183" w:name="Tc_AYPOz6AJCUWlG_vd_xY0tw_6_0"/>
      <w:bookmarkStart w:id="184" w:name="Tc_mjdE8eUTQUmVu1g6hLcJZg_5_0"/>
      <w:bookmarkStart w:id="185" w:name="Tc_jc70CAnUH0GgDyCVHdcN2Q_4_5"/>
      <w:bookmarkStart w:id="186" w:name="Tc_OxrHATgEAUeVOJiOoT8D2Q_4_2"/>
      <w:bookmarkStart w:id="187" w:name="Tc_rhioaGce4ku8U_GTi1ThpA_4_0"/>
      <w:bookmarkStart w:id="188" w:name="Tc_HZaEDKc8xkqxGn7m6gu0uQ_3_0"/>
      <w:bookmarkStart w:id="189" w:name="Tc_ZEm5bTPu50qk5U7U6QrRag_2_5"/>
      <w:bookmarkStart w:id="190" w:name="Tc_7hadMDJYzkuxY0SM8ycfLg_2_2"/>
      <w:bookmarkStart w:id="191" w:name="Tc__kJbC7ABpUGK_PKqVKDzqA_1_5"/>
      <w:bookmarkStart w:id="192" w:name="Tc_Qe8ARCGNE0KGjFew1Mn8GQ_1_2"/>
      <w:bookmarkStart w:id="193" w:name="_4e724c21_d012_4afa_a9c3_3fa68bfabe11"/>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W w:w="6575" w:type="dxa"/>
        <w:jc w:val="left"/>
        <w:tblInd w:w="0" w:type="dxa"/>
        <w:tblLayout w:type="fixed"/>
        <w:tblCellMar>
          <w:top w:w="0" w:type="dxa"/>
          <w:left w:w="0" w:type="dxa"/>
          <w:bottom w:w="0" w:type="dxa"/>
          <w:right w:w="0" w:type="dxa"/>
        </w:tblCellMar>
      </w:tblPr>
      <w:tblGrid>
        <w:gridCol w:w="3706"/>
        <w:gridCol w:w="346"/>
        <w:gridCol w:w="211"/>
        <w:gridCol w:w="781"/>
        <w:gridCol w:w="346"/>
        <w:gridCol w:w="228"/>
        <w:gridCol w:w="957"/>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53310" cy="175260"/>
                      <wp:effectExtent l="0" t="0" r="0" b="0"/>
                      <wp:wrapNone/>
                      <wp:docPr id="9" name="Frame9"/>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4780" cy="175260"/>
                      <wp:effectExtent l="0" t="0" r="0" b="0"/>
                      <wp:wrapNone/>
                      <wp:docPr id="14" name="Frame1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07695" cy="175260"/>
                      <wp:effectExtent l="0" t="0" r="0" b="0"/>
                      <wp:wrapNone/>
                      <wp:docPr id="15" name="Frame15"/>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real estate,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226,264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230,380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11,195</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8,038</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10,219</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special purpose entities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202,421</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453,919</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459,123</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  ​</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246,678</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248,713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7,401</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held by special purpose entity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178,996</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433,239</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434,184</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4" w:name="_5863670a_6b94_444c_82ff_d6d36959f3c3"/>
      <w:bookmarkEnd w:id="194"/>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195" w:name="CONDENSEDCONSOLIDATEDSTATEMENTSOFINCOME_"/>
      <w:bookmarkEnd w:id="195"/>
      <w:r>
        <w:rPr>
          <w:rFonts w:ascii="Times New Roman;Times;serif" w:hAnsi="Times New Roman;Times;serif"/>
          <w:b/>
          <w:sz w:val="20"/>
        </w:rPr>
        <w:t>CONDENSED CONSOLIDATED STATEMENTS OF INCOME</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 except per share amounts)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196" w:name="Tc_4Bxx2NP08Eucpi-k2iFO-g_35_0"/>
      <w:bookmarkStart w:id="197" w:name="Tc_IGl_m8Y2WEW3C69o0jrhAA_34_0"/>
      <w:bookmarkStart w:id="198" w:name="Tc_chUsWuim70-i1OT2zXcEWw_33_0"/>
      <w:bookmarkStart w:id="199" w:name="Tc_iRUI9KSE1kGgjj7x4ZeGXQ_31_11"/>
      <w:bookmarkStart w:id="200" w:name="Tc_NinIbi2XY06RDzhLwc9cww_31_8"/>
      <w:bookmarkStart w:id="201" w:name="Tc_59VOFlA_oU-YuqfUtUmXiQ_31_5"/>
      <w:bookmarkStart w:id="202" w:name="Tc_M9-d8wPW90G0xWvkdvwRrw_31_2"/>
      <w:bookmarkStart w:id="203" w:name="Tc_fVbYANvZZk2BGwMncA1BDA_31_0"/>
      <w:bookmarkStart w:id="204" w:name="Tc_CCR0XWasC0mWu29lcyZdDg_30_11"/>
      <w:bookmarkStart w:id="205" w:name="Tc_NYCf0OsK4ECTw0fwtyn2rQ_30_8"/>
      <w:bookmarkStart w:id="206" w:name="Tc_4lnGB9srnEWPAZ7qqOv5YA_30_5"/>
      <w:bookmarkStart w:id="207" w:name="Tc_PuNp0DKv_kGosnIYcDYqfQ_30_2"/>
      <w:bookmarkStart w:id="208" w:name="Tc_EDeg5VV1mEepBRLiuR1W2w_30_0"/>
      <w:bookmarkStart w:id="209" w:name="Tc_ArgjmkwaVU25lW-9mAoBIQ_29_0"/>
      <w:bookmarkStart w:id="210" w:name="Tc_l4HQa3gSikqKuyfrWBNaAA_27_11"/>
      <w:bookmarkStart w:id="211" w:name="Tc_jWuYLYsMVka0W4aOReI8NQ_27_8"/>
      <w:bookmarkStart w:id="212" w:name="Tc_GXZko28ikUam1BYJ59D2bw_27_5"/>
      <w:bookmarkStart w:id="213" w:name="Tc_6Ba8u-a4nECWVkWmvsTkdA_27_2"/>
      <w:bookmarkStart w:id="214" w:name="Tc_CPZ-1DP9z0y14I3JJMbQJg_27_0"/>
      <w:bookmarkStart w:id="215" w:name="Tc_6MxEvQUNRUucKCoQefpXBg_26_0"/>
      <w:bookmarkStart w:id="216" w:name="Tc_TwdalScDq0mZRU4PUBKC3Q_25_0"/>
      <w:bookmarkStart w:id="217" w:name="Tc_DzhhnE7pFEuizPRmAmwBsQ_24_0"/>
      <w:bookmarkStart w:id="218" w:name="Tc_GFuvfUx9eEesILJD2BVODQ_23_0"/>
      <w:bookmarkStart w:id="219" w:name="Tc_xDsYNXp6k0uPnRZa53Lwqg_22_0"/>
      <w:bookmarkStart w:id="220" w:name="Tc_r-IekSOpcEqQNTHA3AZKlQ_21_0"/>
      <w:bookmarkStart w:id="221" w:name="Tc_ucXMMdFX_0-WUJIhiXwGfA_20_0"/>
      <w:bookmarkStart w:id="222" w:name="Tc_P6og3hXa2kCI-Io_DlC0Sg_19_0"/>
      <w:bookmarkStart w:id="223" w:name="Tc_Vk_D2Fba80W91Ifs5TY9lQ_18_0"/>
      <w:bookmarkStart w:id="224" w:name="Tc_8N4tVi7vfUqZNTkpCtsEcg_17_0"/>
      <w:bookmarkStart w:id="225" w:name="Tc_pChvTc4qDkOLH8gUb-W8rA_16_0"/>
      <w:bookmarkStart w:id="226" w:name="Tc_pbGGECoJnEWsQkV6YPLzKg_15_0"/>
      <w:bookmarkStart w:id="227" w:name="Tc_Ei8Vz82v2kmyRUPjjZR_Ow_14_0"/>
      <w:bookmarkStart w:id="228" w:name="Tc_CY2SHoym7kylDjl-V52Kyg_13_0"/>
      <w:bookmarkStart w:id="229" w:name="Tc_ak6oKTl0kEKZ0PqYmxY0fA_12_0"/>
      <w:bookmarkStart w:id="230" w:name="Tc_d7FpG7JcU0CP8EoemsyyAQ_11_0"/>
      <w:bookmarkStart w:id="231" w:name="Tc_kd6yh9F9YEC5WpXBPSJjug_10_0"/>
      <w:bookmarkStart w:id="232" w:name="Tc_Kv8Fs1oMDUKeHYvUOn8XcQ_9_0"/>
      <w:bookmarkStart w:id="233" w:name="Tc_expF7Rgq2ESYKp2FnnZVbw_8_0"/>
      <w:bookmarkStart w:id="234" w:name="Tc_mySGyIZFv0S5T46hBhwJcw_7_0"/>
      <w:bookmarkStart w:id="235" w:name="Tc_Pua6f6DGpkCr32Uk1pdq9A_6_0"/>
      <w:bookmarkStart w:id="236" w:name="Tc_a73x5CRJEku--Z2J6xOFVQ_5_11"/>
      <w:bookmarkStart w:id="237" w:name="Tc_JSzc---2v0GImKCX7gO8mw_5_8"/>
      <w:bookmarkStart w:id="238" w:name="Tc_4vt8-4tDi02md5RbcBmfyg_5_5"/>
      <w:bookmarkStart w:id="239" w:name="Tc_HfDHv2zUtEeOzeu198nJQg_5_2"/>
      <w:bookmarkStart w:id="240" w:name="Tc_1D5smf7YMU6EFlZZSzcLOw_5_0"/>
      <w:bookmarkStart w:id="241" w:name="Tc_bexIjOvQp0Gl_bHz06P9Ww_4_0"/>
      <w:bookmarkStart w:id="242" w:name="Tc_hzinxLiUPEuedWE4PrEaCg_3_11"/>
      <w:bookmarkStart w:id="243" w:name="Tc_NzA4nnJpT0mG_peg3New2A_3_8"/>
      <w:bookmarkStart w:id="244" w:name="Tc_kde3OwHtCUizMZLovhWeyA_3_5"/>
      <w:bookmarkStart w:id="245" w:name="Tc_AxXvrGVOHEK2rTfnVoUasQ_3_2"/>
      <w:bookmarkStart w:id="246" w:name="Tc_dbF5Sx83c0u5rwGEeF_Dyw_2_8"/>
      <w:bookmarkStart w:id="247" w:name="Tc_5Tfk3kJ6S0ag-N6BzedQbQ_2_2"/>
      <w:bookmarkStart w:id="248" w:name="Tc_YeNeDErScESnJsYHG6YlYw_1_8"/>
      <w:bookmarkStart w:id="249" w:name="Tc_yCdqVY01BESGnKZbZya4tA_1_2"/>
      <w:bookmarkStart w:id="250" w:name="_185a36df_19dd_485d_b828_f81a83194a17"/>
      <w:bookmarkStart w:id="251" w:name="Tc_4Bxx2NP08Eucpi-k2iFO-g_35_0"/>
      <w:bookmarkStart w:id="252" w:name="Tc_IGl_m8Y2WEW3C69o0jrhAA_34_0"/>
      <w:bookmarkStart w:id="253" w:name="Tc_chUsWuim70-i1OT2zXcEWw_33_0"/>
      <w:bookmarkStart w:id="254" w:name="Tc_iRUI9KSE1kGgjj7x4ZeGXQ_31_11"/>
      <w:bookmarkStart w:id="255" w:name="Tc_NinIbi2XY06RDzhLwc9cww_31_8"/>
      <w:bookmarkStart w:id="256" w:name="Tc_59VOFlA_oU-YuqfUtUmXiQ_31_5"/>
      <w:bookmarkStart w:id="257" w:name="Tc_M9-d8wPW90G0xWvkdvwRrw_31_2"/>
      <w:bookmarkStart w:id="258" w:name="Tc_fVbYANvZZk2BGwMncA1BDA_31_0"/>
      <w:bookmarkStart w:id="259" w:name="Tc_CCR0XWasC0mWu29lcyZdDg_30_11"/>
      <w:bookmarkStart w:id="260" w:name="Tc_NYCf0OsK4ECTw0fwtyn2rQ_30_8"/>
      <w:bookmarkStart w:id="261" w:name="Tc_4lnGB9srnEWPAZ7qqOv5YA_30_5"/>
      <w:bookmarkStart w:id="262" w:name="Tc_PuNp0DKv_kGosnIYcDYqfQ_30_2"/>
      <w:bookmarkStart w:id="263" w:name="Tc_EDeg5VV1mEepBRLiuR1W2w_30_0"/>
      <w:bookmarkStart w:id="264" w:name="Tc_ArgjmkwaVU25lW-9mAoBIQ_29_0"/>
      <w:bookmarkStart w:id="265" w:name="Tc_l4HQa3gSikqKuyfrWBNaAA_27_11"/>
      <w:bookmarkStart w:id="266" w:name="Tc_jWuYLYsMVka0W4aOReI8NQ_27_8"/>
      <w:bookmarkStart w:id="267" w:name="Tc_GXZko28ikUam1BYJ59D2bw_27_5"/>
      <w:bookmarkStart w:id="268" w:name="Tc_6Ba8u-a4nECWVkWmvsTkdA_27_2"/>
      <w:bookmarkStart w:id="269" w:name="Tc_CPZ-1DP9z0y14I3JJMbQJg_27_0"/>
      <w:bookmarkStart w:id="270" w:name="Tc_6MxEvQUNRUucKCoQefpXBg_26_0"/>
      <w:bookmarkStart w:id="271" w:name="Tc_TwdalScDq0mZRU4PUBKC3Q_25_0"/>
      <w:bookmarkStart w:id="272" w:name="Tc_DzhhnE7pFEuizPRmAmwBsQ_24_0"/>
      <w:bookmarkStart w:id="273" w:name="Tc_GFuvfUx9eEesILJD2BVODQ_23_0"/>
      <w:bookmarkStart w:id="274" w:name="Tc_xDsYNXp6k0uPnRZa53Lwqg_22_0"/>
      <w:bookmarkStart w:id="275" w:name="Tc_r-IekSOpcEqQNTHA3AZKlQ_21_0"/>
      <w:bookmarkStart w:id="276" w:name="Tc_ucXMMdFX_0-WUJIhiXwGfA_20_0"/>
      <w:bookmarkStart w:id="277" w:name="Tc_P6og3hXa2kCI-Io_DlC0Sg_19_0"/>
      <w:bookmarkStart w:id="278" w:name="Tc_Vk_D2Fba80W91Ifs5TY9lQ_18_0"/>
      <w:bookmarkStart w:id="279" w:name="Tc_8N4tVi7vfUqZNTkpCtsEcg_17_0"/>
      <w:bookmarkStart w:id="280" w:name="Tc_pChvTc4qDkOLH8gUb-W8rA_16_0"/>
      <w:bookmarkStart w:id="281" w:name="Tc_pbGGECoJnEWsQkV6YPLzKg_15_0"/>
      <w:bookmarkStart w:id="282" w:name="Tc_Ei8Vz82v2kmyRUPjjZR_Ow_14_0"/>
      <w:bookmarkStart w:id="283" w:name="Tc_CY2SHoym7kylDjl-V52Kyg_13_0"/>
      <w:bookmarkStart w:id="284" w:name="Tc_ak6oKTl0kEKZ0PqYmxY0fA_12_0"/>
      <w:bookmarkStart w:id="285" w:name="Tc_d7FpG7JcU0CP8EoemsyyAQ_11_0"/>
      <w:bookmarkStart w:id="286" w:name="Tc_kd6yh9F9YEC5WpXBPSJjug_10_0"/>
      <w:bookmarkStart w:id="287" w:name="Tc_Kv8Fs1oMDUKeHYvUOn8XcQ_9_0"/>
      <w:bookmarkStart w:id="288" w:name="Tc_expF7Rgq2ESYKp2FnnZVbw_8_0"/>
      <w:bookmarkStart w:id="289" w:name="Tc_mySGyIZFv0S5T46hBhwJcw_7_0"/>
      <w:bookmarkStart w:id="290" w:name="Tc_Pua6f6DGpkCr32Uk1pdq9A_6_0"/>
      <w:bookmarkStart w:id="291" w:name="Tc_a73x5CRJEku--Z2J6xOFVQ_5_11"/>
      <w:bookmarkStart w:id="292" w:name="Tc_JSzc---2v0GImKCX7gO8mw_5_8"/>
      <w:bookmarkStart w:id="293" w:name="Tc_4vt8-4tDi02md5RbcBmfyg_5_5"/>
      <w:bookmarkStart w:id="294" w:name="Tc_HfDHv2zUtEeOzeu198nJQg_5_2"/>
      <w:bookmarkStart w:id="295" w:name="Tc_1D5smf7YMU6EFlZZSzcLOw_5_0"/>
      <w:bookmarkStart w:id="296" w:name="Tc_bexIjOvQp0Gl_bHz06P9Ww_4_0"/>
      <w:bookmarkStart w:id="297" w:name="Tc_hzinxLiUPEuedWE4PrEaCg_3_11"/>
      <w:bookmarkStart w:id="298" w:name="Tc_NzA4nnJpT0mG_peg3New2A_3_8"/>
      <w:bookmarkStart w:id="299" w:name="Tc_kde3OwHtCUizMZLovhWeyA_3_5"/>
      <w:bookmarkStart w:id="300" w:name="Tc_AxXvrGVOHEK2rTfnVoUasQ_3_2"/>
      <w:bookmarkStart w:id="301" w:name="Tc_dbF5Sx83c0u5rwGEeF_Dyw_2_8"/>
      <w:bookmarkStart w:id="302" w:name="Tc_5Tfk3kJ6S0ag-N6BzedQbQ_2_2"/>
      <w:bookmarkStart w:id="303" w:name="Tc_YeNeDErScESnJsYHG6YlYw_1_8"/>
      <w:bookmarkStart w:id="304" w:name="Tc_yCdqVY01BESGnKZbZya4tA_1_2"/>
      <w:bookmarkStart w:id="305" w:name="_185a36df_19dd_485d_b828_f81a83194a17"/>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tbl>
      <w:tblPr>
        <w:tblW w:w="10205" w:type="dxa"/>
        <w:jc w:val="left"/>
        <w:tblInd w:w="0" w:type="dxa"/>
        <w:tblLayout w:type="fixed"/>
        <w:tblCellMar>
          <w:top w:w="0" w:type="dxa"/>
          <w:left w:w="0" w:type="dxa"/>
          <w:bottom w:w="0" w:type="dxa"/>
          <w:right w:w="0" w:type="dxa"/>
        </w:tblCellMar>
      </w:tblPr>
      <w:tblGrid>
        <w:gridCol w:w="3728"/>
        <w:gridCol w:w="346"/>
        <w:gridCol w:w="211"/>
        <w:gridCol w:w="1036"/>
        <w:gridCol w:w="346"/>
        <w:gridCol w:w="211"/>
        <w:gridCol w:w="1036"/>
        <w:gridCol w:w="346"/>
        <w:gridCol w:w="211"/>
        <w:gridCol w:w="1036"/>
        <w:gridCol w:w="346"/>
        <w:gridCol w:w="211"/>
        <w:gridCol w:w="1141"/>
      </w:tblGrid>
      <w:tr>
        <w:trPr/>
        <w:tc>
          <w:tcPr>
            <w:tcW w:w="3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367280" cy="175260"/>
                      <wp:effectExtent l="0" t="0" r="0" b="0"/>
                      <wp:wrapNone/>
                      <wp:docPr id="16" name="Frame16"/>
                      <a:graphic xmlns:a="http://schemas.openxmlformats.org/drawingml/2006/main">
                        <a:graphicData uri="http://schemas.microsoft.com/office/word/2010/wordprocessingShape">
                          <wps:wsp>
                            <wps:cNvSpPr txBox="1"/>
                            <wps:spPr>
                              <a:xfrm>
                                <a:off x="0" y="0"/>
                                <a:ext cx="2367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57860" cy="175260"/>
                      <wp:effectExtent l="0" t="0" r="0" b="0"/>
                      <wp:wrapNone/>
                      <wp:docPr id="19" name="Frame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57860" cy="175260"/>
                      <wp:effectExtent l="0" t="0" r="0" b="0"/>
                      <wp:wrapNone/>
                      <wp:docPr id="22" name="Frame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57860" cy="175260"/>
                      <wp:effectExtent l="0" t="0" r="0" b="0"/>
                      <wp:wrapNone/>
                      <wp:docPr id="25" name="Frame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724535" cy="175260"/>
                      <wp:effectExtent l="0" t="0" r="0" b="0"/>
                      <wp:wrapNone/>
                      <wp:docPr id="28" name="Frame2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9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82,147</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108,382</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32,750</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223,279</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r>
      <w:tr>
        <w:trPr/>
        <w:tc>
          <w:tcPr>
            <w:tcW w:w="372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revenue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42,643</w:t>
            </w:r>
          </w:p>
        </w:tc>
      </w:tr>
      <w:tr>
        <w:trPr/>
        <w:tc>
          <w:tcPr>
            <w:tcW w:w="372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hospitality revenue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74,655</w:t>
            </w:r>
          </w:p>
        </w:tc>
      </w:tr>
      <w:tr>
        <w:trPr/>
        <w:tc>
          <w:tcPr>
            <w:tcW w:w="372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leasing revenue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14,989</w:t>
            </w:r>
          </w:p>
        </w:tc>
      </w:tr>
      <w:tr>
        <w:trPr/>
        <w:tc>
          <w:tcPr>
            <w:tcW w:w="372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and other operating expenses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13,022</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24,117</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169,426</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53,853</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6,630</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(15,535)</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from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17,705</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8,346</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62,199</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(15,757)</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46,442</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46,985</w:t>
            </w:r>
          </w:p>
        </w:tc>
      </w:tr>
      <w:tr>
        <w:trPr/>
        <w:tc>
          <w:tcPr>
            <w:tcW w:w="37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 ATTRIBUTABLE TO THE COMPANY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r>
      <w:tr>
        <w:trPr/>
        <w:tc>
          <w:tcPr>
            <w:tcW w:w="37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37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57,157,550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58,057,268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57,320,392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58,150,138</w:t>
            </w:r>
          </w:p>
        </w:tc>
      </w:tr>
      <w:tr>
        <w:trPr/>
        <w:tc>
          <w:tcPr>
            <w:tcW w:w="37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57,173,162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58,062,291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57,339,624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58,159,589</w:t>
            </w:r>
          </w:p>
        </w:tc>
      </w:tr>
    </w:tbl>
    <w:tbl>
      <w:tblPr>
        <w:tblW w:w="5882" w:type="dxa"/>
        <w:jc w:val="left"/>
        <w:tblInd w:w="0" w:type="dxa"/>
        <w:tblLayout w:type="fixed"/>
        <w:tblCellMar>
          <w:top w:w="0" w:type="dxa"/>
          <w:left w:w="0" w:type="dxa"/>
          <w:bottom w:w="0" w:type="dxa"/>
          <w:right w:w="0" w:type="dxa"/>
        </w:tblCellMar>
      </w:tblPr>
      <w:tblGrid>
        <w:gridCol w:w="331"/>
        <w:gridCol w:w="555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6" w:name="_701d5fb8_2590_490d_853e_309702c793fb"/>
      <w:bookmarkEnd w:id="306"/>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307" w:name="CONDENSEDCONSOLIDATEDSTATEMENTSOFCOMPREH"/>
      <w:bookmarkEnd w:id="307"/>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308" w:name="Tc_fnhrqCnO9EqfTUaVQCp4yg_14_11"/>
      <w:bookmarkStart w:id="309" w:name="Tc__73JxrhiEU-XpTztJn9plA_14_8"/>
      <w:bookmarkStart w:id="310" w:name="Tc_nr3cUEGzMEKN135o-fS9cg_14_5"/>
      <w:bookmarkStart w:id="311" w:name="Tc_-8sv55G3TE6V449AyaW6ag_14_2"/>
      <w:bookmarkStart w:id="312" w:name="Tc_uaBaokhR9EqBnmLEoyKfiw_14_0"/>
      <w:bookmarkStart w:id="313" w:name="Tc_pClPwI3eaUu72iPY_dpBGA_13_0"/>
      <w:bookmarkStart w:id="314" w:name="Tc_nB3bGbozBEKzGmUxuPNp0A_12_0"/>
      <w:bookmarkStart w:id="315" w:name="Tc_iso1DeSB-0ODTh05X1gwJQ_11_0"/>
      <w:bookmarkStart w:id="316" w:name="Tc_vIRJOPokvEOd8p_KjvAg7w_10_0"/>
      <w:bookmarkStart w:id="317" w:name="Tc_7J-Nn6xw_EGN1u18b_bD9g_9_0"/>
      <w:bookmarkStart w:id="318" w:name="Tc_8cJzQ9Y_Fkyzw1OzYb69dA_8_0"/>
      <w:bookmarkStart w:id="319" w:name="Tc_-2rN0Tb0WUm4Kp5h8G--UA_7_9"/>
      <w:bookmarkStart w:id="320" w:name="Tc_Nx-RxW_gG0uoJxfDJDbZsw_7_3"/>
      <w:bookmarkStart w:id="321" w:name="Tc_x65i7zqc8k2vPAhCQ7eVVQ_7_0"/>
      <w:bookmarkStart w:id="322" w:name="Tc_hdHx_PkJMUijWhtdM3-jCw_6_0"/>
      <w:bookmarkStart w:id="323" w:name="Tc_2bi-vMjCTkOq645rsvCYOQ_5_0"/>
      <w:bookmarkStart w:id="324" w:name="Tc_ZKzRhGBNXU-XdX5TvylSYg_4_11"/>
      <w:bookmarkStart w:id="325" w:name="Tc_uZft0JnpyUuTY6oFxr3V1Q_4_8"/>
      <w:bookmarkStart w:id="326" w:name="Tc_-q4GR2OsMUavLuuQ7K-gsw_4_5"/>
      <w:bookmarkStart w:id="327" w:name="Tc_rNh98aZQ9k60OhBH6U7kWg_4_2"/>
      <w:bookmarkStart w:id="328" w:name="Tc_QnlBhb8JFECq04MxA1WnDA_4_0"/>
      <w:bookmarkStart w:id="329" w:name="Tc_0JrvGVT_kEed9Ud0uSx_Tg_3_11"/>
      <w:bookmarkStart w:id="330" w:name="Tc_0VS4_lTtQ0qVGXendgFO3Q_3_8"/>
      <w:bookmarkStart w:id="331" w:name="Tc_jYta8AQc20-TiaVQtWqRyQ_3_5"/>
      <w:bookmarkStart w:id="332" w:name="Tc_eiepRlwdn0m5mtN1G7x9JA_3_2"/>
      <w:bookmarkStart w:id="333" w:name="Tc_Cflf-wb7c0iv02nydBfH3g_2_8"/>
      <w:bookmarkStart w:id="334" w:name="Tc_FOvA2s9wZEeqLilLlyrc4Q_2_2"/>
      <w:bookmarkStart w:id="335" w:name="Tc_hhJhTgzn2k2j1oQn5npZ2g_1_8"/>
      <w:bookmarkStart w:id="336" w:name="Tc_oaS2xLkkd0OjznfGjm6Ryg_1_2"/>
      <w:bookmarkStart w:id="337" w:name="_28c5e4e5_6d93_4c6d_bcab_f1a712b3720a"/>
      <w:bookmarkStart w:id="338" w:name="Tc_fnhrqCnO9EqfTUaVQCp4yg_14_11"/>
      <w:bookmarkStart w:id="339" w:name="Tc__73JxrhiEU-XpTztJn9plA_14_8"/>
      <w:bookmarkStart w:id="340" w:name="Tc_nr3cUEGzMEKN135o-fS9cg_14_5"/>
      <w:bookmarkStart w:id="341" w:name="Tc_-8sv55G3TE6V449AyaW6ag_14_2"/>
      <w:bookmarkStart w:id="342" w:name="Tc_uaBaokhR9EqBnmLEoyKfiw_14_0"/>
      <w:bookmarkStart w:id="343" w:name="Tc_pClPwI3eaUu72iPY_dpBGA_13_0"/>
      <w:bookmarkStart w:id="344" w:name="Tc_nB3bGbozBEKzGmUxuPNp0A_12_0"/>
      <w:bookmarkStart w:id="345" w:name="Tc_iso1DeSB-0ODTh05X1gwJQ_11_0"/>
      <w:bookmarkStart w:id="346" w:name="Tc_vIRJOPokvEOd8p_KjvAg7w_10_0"/>
      <w:bookmarkStart w:id="347" w:name="Tc_7J-Nn6xw_EGN1u18b_bD9g_9_0"/>
      <w:bookmarkStart w:id="348" w:name="Tc_8cJzQ9Y_Fkyzw1OzYb69dA_8_0"/>
      <w:bookmarkStart w:id="349" w:name="Tc_-2rN0Tb0WUm4Kp5h8G--UA_7_9"/>
      <w:bookmarkStart w:id="350" w:name="Tc_Nx-RxW_gG0uoJxfDJDbZsw_7_3"/>
      <w:bookmarkStart w:id="351" w:name="Tc_x65i7zqc8k2vPAhCQ7eVVQ_7_0"/>
      <w:bookmarkStart w:id="352" w:name="Tc_hdHx_PkJMUijWhtdM3-jCw_6_0"/>
      <w:bookmarkStart w:id="353" w:name="Tc_2bi-vMjCTkOq645rsvCYOQ_5_0"/>
      <w:bookmarkStart w:id="354" w:name="Tc_ZKzRhGBNXU-XdX5TvylSYg_4_11"/>
      <w:bookmarkStart w:id="355" w:name="Tc_uZft0JnpyUuTY6oFxr3V1Q_4_8"/>
      <w:bookmarkStart w:id="356" w:name="Tc_-q4GR2OsMUavLuuQ7K-gsw_4_5"/>
      <w:bookmarkStart w:id="357" w:name="Tc_rNh98aZQ9k60OhBH6U7kWg_4_2"/>
      <w:bookmarkStart w:id="358" w:name="Tc_QnlBhb8JFECq04MxA1WnDA_4_0"/>
      <w:bookmarkStart w:id="359" w:name="Tc_0JrvGVT_kEed9Ud0uSx_Tg_3_11"/>
      <w:bookmarkStart w:id="360" w:name="Tc_0VS4_lTtQ0qVGXendgFO3Q_3_8"/>
      <w:bookmarkStart w:id="361" w:name="Tc_jYta8AQc20-TiaVQtWqRyQ_3_5"/>
      <w:bookmarkStart w:id="362" w:name="Tc_eiepRlwdn0m5mtN1G7x9JA_3_2"/>
      <w:bookmarkStart w:id="363" w:name="Tc_Cflf-wb7c0iv02nydBfH3g_2_8"/>
      <w:bookmarkStart w:id="364" w:name="Tc_FOvA2s9wZEeqLilLlyrc4Q_2_2"/>
      <w:bookmarkStart w:id="365" w:name="Tc_hhJhTgzn2k2j1oQn5npZ2g_1_8"/>
      <w:bookmarkStart w:id="366" w:name="Tc_oaS2xLkkd0OjznfGjm6Ryg_1_2"/>
      <w:bookmarkStart w:id="367" w:name="_28c5e4e5_6d93_4c6d_bcab_f1a712b3720a"/>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tbl>
      <w:tblPr>
        <w:tblW w:w="10205" w:type="dxa"/>
        <w:jc w:val="left"/>
        <w:tblInd w:w="0" w:type="dxa"/>
        <w:tblLayout w:type="fixed"/>
        <w:tblCellMar>
          <w:top w:w="0" w:type="dxa"/>
          <w:left w:w="0" w:type="dxa"/>
          <w:bottom w:w="0" w:type="dxa"/>
          <w:right w:w="0" w:type="dxa"/>
        </w:tblCellMar>
      </w:tblPr>
      <w:tblGrid>
        <w:gridCol w:w="5168"/>
        <w:gridCol w:w="346"/>
        <w:gridCol w:w="211"/>
        <w:gridCol w:w="676"/>
        <w:gridCol w:w="346"/>
        <w:gridCol w:w="211"/>
        <w:gridCol w:w="676"/>
        <w:gridCol w:w="346"/>
        <w:gridCol w:w="211"/>
        <w:gridCol w:w="676"/>
        <w:gridCol w:w="346"/>
        <w:gridCol w:w="211"/>
        <w:gridCol w:w="781"/>
      </w:tblGrid>
      <w:tr>
        <w:trPr/>
        <w:tc>
          <w:tcPr>
            <w:tcW w:w="5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281680" cy="175260"/>
                      <wp:effectExtent l="0" t="0" r="0" b="0"/>
                      <wp:wrapNone/>
                      <wp:docPr id="29" name="Frame29"/>
                      <a:graphic xmlns:a="http://schemas.openxmlformats.org/drawingml/2006/main">
                        <a:graphicData uri="http://schemas.microsoft.com/office/word/2010/wordprocessingShape">
                          <wps:wsp>
                            <wps:cNvSpPr txBox="1"/>
                            <wps:spPr>
                              <a:xfrm>
                                <a:off x="0" y="0"/>
                                <a:ext cx="3281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29260" cy="175260"/>
                      <wp:effectExtent l="0" t="0" r="0" b="0"/>
                      <wp:wrapNone/>
                      <wp:docPr id="32" name="Frame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29260" cy="175260"/>
                      <wp:effectExtent l="0" t="0" r="0" b="0"/>
                      <wp:wrapNone/>
                      <wp:docPr id="35" name="Frame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29260" cy="175260"/>
                      <wp:effectExtent l="0" t="0" r="0" b="0"/>
                      <wp:wrapNone/>
                      <wp:docPr id="38" name="Frame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5935" cy="175260"/>
                      <wp:effectExtent l="0" t="0" r="0" b="0"/>
                      <wp:wrapNone/>
                      <wp:docPr id="41" name="Frame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46,442</w:t>
            </w:r>
          </w:p>
        </w:tc>
      </w:tr>
      <w:tr>
        <w:trPr/>
        <w:tc>
          <w:tcPr>
            <w:tcW w:w="5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5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5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 unconsolidated joint venture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net realized gain included in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r>
      <w:tr>
        <w:trPr/>
        <w:tc>
          <w:tcPr>
            <w:tcW w:w="5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r>
      <w:tr>
        <w:trPr/>
        <w:tc>
          <w:tcPr>
            <w:tcW w:w="5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5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r>
      <w:tr>
        <w:trPr/>
        <w:tc>
          <w:tcPr>
            <w:tcW w:w="5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45,688</w:t>
            </w:r>
          </w:p>
        </w:tc>
      </w:tr>
      <w:tr>
        <w:trPr/>
        <w:tc>
          <w:tcPr>
            <w:tcW w:w="5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r>
      <w:tr>
        <w:trPr/>
        <w:tc>
          <w:tcPr>
            <w:tcW w:w="5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attributable to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46,492</w:t>
            </w:r>
          </w:p>
        </w:tc>
      </w:tr>
    </w:tbl>
    <w:p>
      <w:pPr>
        <w:pStyle w:val="TextBody"/>
        <w:bidi w:val="0"/>
        <w:spacing w:before="0" w:after="0"/>
        <w:ind w:left="36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68" w:name="_28a714d4_bb53_415b_b0c9_92ebe30fca78"/>
      <w:bookmarkEnd w:id="368"/>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369" w:name="Equity_Statement"/>
      <w:bookmarkEnd w:id="369"/>
      <w:r>
        <w:rPr>
          <w:rFonts w:ascii="Times New Roman;Times;serif" w:hAnsi="Times New Roman;Times;serif"/>
          <w:b/>
          <w:sz w:val="20"/>
        </w:rPr>
        <w:t>CONDENSED CONSOLIDATED STATEMENTS OF EQUITY</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370" w:name="Tc_qW7Xvw2bh0mJ4VIXJIn6kw_13_19"/>
      <w:bookmarkStart w:id="371" w:name="Tc_nlPrLMplt0-1VhJ0nas8nw_13_16"/>
      <w:bookmarkStart w:id="372" w:name="Tc_etxERku1VUGoibl2A4o3Wg_13_13"/>
      <w:bookmarkStart w:id="373" w:name="Tc_xOeLFSQ-q0y3dkRsLWSM3A_13_10"/>
      <w:bookmarkStart w:id="374" w:name="Tc_9P1ECCFDC0arKZsbU1KPlw_13_7"/>
      <w:bookmarkStart w:id="375" w:name="Tc_krHWIWogn0y5WfsljMDtXg_13_4"/>
      <w:bookmarkStart w:id="376" w:name="Tc_xoHzbMjnh0a1qMIjS0SPag_13_0"/>
      <w:bookmarkStart w:id="377" w:name="Tc_rMzOh0gNwUCijsmJAVOAiw_12_14"/>
      <w:bookmarkStart w:id="378" w:name="Tc_1sf3IjVsXkSAKmpq59Mi6g_12_11"/>
      <w:bookmarkStart w:id="379" w:name="Tc_oSM1Suqz5U2wyFKXH_tszg_12_5"/>
      <w:bookmarkStart w:id="380" w:name="Tc_6EpuZa50rEexTWugTC6Oqg_12_2"/>
      <w:bookmarkStart w:id="381" w:name="Tc_jX7fxl4xwkmtpPfLEBG62A_12_0"/>
      <w:bookmarkStart w:id="382" w:name="Tc_DZN2dJIGDECDzmJ0o5Smuw_11_14"/>
      <w:bookmarkStart w:id="383" w:name="Tc_dBgJT3VnBkynA8GAwzNrMw_11_8"/>
      <w:bookmarkStart w:id="384" w:name="Tc_fHAVTKguFk-NEA7nIm3AOw_11_5"/>
      <w:bookmarkStart w:id="385" w:name="Tc_ecdGxhtymk-gN2lpGh8uuQ_11_2"/>
      <w:bookmarkStart w:id="386" w:name="Tc__7jFVWEzkEuiO5H-Y6tGng_11_0"/>
      <w:bookmarkStart w:id="387" w:name="Tc_EMLWZOvBtkC6iDHQbxi_Tg_10_17"/>
      <w:bookmarkStart w:id="388" w:name="Tc_Kq_8_ypJrUaGindoajggMw_10_14"/>
      <w:bookmarkStart w:id="389" w:name="Tc_FtJjSZonIkap18rQPv-UNA_10_11"/>
      <w:bookmarkStart w:id="390" w:name="Tc_kfP37sXgXkKHRSuTYtzlMg_10_5"/>
      <w:bookmarkStart w:id="391" w:name="Tc_bs71vST5Ykir2VnaKODtrQ_10_2"/>
      <w:bookmarkStart w:id="392" w:name="Tc_SYGBf1SABE-p76JAEmGNUQ_10_0"/>
      <w:bookmarkStart w:id="393" w:name="Tc_K2Ti-6Xq5kuT5XTdab8hQg_9_17"/>
      <w:bookmarkStart w:id="394" w:name="Tc_VZRFw25T5E-CCSJcD-x0JA_9_11"/>
      <w:bookmarkStart w:id="395" w:name="Tc_rHErtMVgdEimhhwARQb7Eg_9_8"/>
      <w:bookmarkStart w:id="396" w:name="Tc_L5pvMnu2fEG1zbOXerj8OQ_9_5"/>
      <w:bookmarkStart w:id="397" w:name="Tc_zP6skKq5bEK5cEe36iYjJw_9_0"/>
      <w:bookmarkStart w:id="398" w:name="Tc_x610UgCyoEWg8Zs4VJm6OQ_8_17"/>
      <w:bookmarkStart w:id="399" w:name="Tc_K8WLH6QAR0CAuHv9N-a74Q_8_14"/>
      <w:bookmarkStart w:id="400" w:name="Tc_-TrkkFQYtE2-IMMLju_yTQ_8_11"/>
      <w:bookmarkStart w:id="401" w:name="Tc_Fk1VMziC-EWbSR4DaGe1qw_8_8"/>
      <w:bookmarkStart w:id="402" w:name="Tc_JGCaAIUeE02PV9meYSdpWg_8_2"/>
      <w:bookmarkStart w:id="403" w:name="Tc_lG9gtkvv-k6qg43dkitosg_8_0"/>
      <w:bookmarkStart w:id="404" w:name="Tc_ysYwNzt9j0Sl5sz_9zcRRw_7_20"/>
      <w:bookmarkStart w:id="405" w:name="Tc_2S-J2DXFhUGSkB07mNMMiQ_7_17"/>
      <w:bookmarkStart w:id="406" w:name="Tc_Q0dgKMLbdUSLDyx5LZAz5g_7_14"/>
      <w:bookmarkStart w:id="407" w:name="Tc_cLKHzQuYYU2cayH_6nX-KQ_7_11"/>
      <w:bookmarkStart w:id="408" w:name="Tc_qIKyod-owEaDNG0mjNHGQQ_7_8"/>
      <w:bookmarkStart w:id="409" w:name="Tc_91MHA-F_CEuuEZjn52cYWQ_7_5"/>
      <w:bookmarkStart w:id="410" w:name="Tc_w91zOR7biUOXEKv-iC1gqg_7_0"/>
      <w:bookmarkStart w:id="411" w:name="Tc_IEnymDxMik2H3qkDGl6Jog_6_14"/>
      <w:bookmarkStart w:id="412" w:name="Tc_otChWzEumUCG4NBVUP--cg_6_11"/>
      <w:bookmarkStart w:id="413" w:name="Tc_tr6E5yabmkGAurwKh1xtgA_6_8"/>
      <w:bookmarkStart w:id="414" w:name="Tc_RfjErwr8gUmZDIDIYxBF8w_6_5"/>
      <w:bookmarkStart w:id="415" w:name="Tc_f3mbu8UhQkSRmgSL6wCMBA_6_2"/>
      <w:bookmarkStart w:id="416" w:name="Tc_aEeaQGqtNk674e1E9YbkwA_6_0"/>
      <w:bookmarkStart w:id="417" w:name="Tc_XhoXQQz0uUWWaoks4DVXJA_5_19"/>
      <w:bookmarkStart w:id="418" w:name="Tc_EtBrQrg3SEacc8yW1FxxJA_5_16"/>
      <w:bookmarkStart w:id="419" w:name="Tc_wSTGEVYQrEaR8mMvPpXpog_5_13"/>
      <w:bookmarkStart w:id="420" w:name="Tc_ohSHPEgcPEKpXfka8juSmA_5_10"/>
      <w:bookmarkStart w:id="421" w:name="Tc_jOPgw8hct0G0biPbJBP0fA_5_7"/>
      <w:bookmarkStart w:id="422" w:name="Tc_Bvxv9WRPAEmE0RdciV5qog_5_4"/>
      <w:bookmarkStart w:id="423" w:name="Tc_UWYKvjHNNkqG0hEJxmsMKQ_5_0"/>
      <w:bookmarkStart w:id="424" w:name="Tc_ejIm5h5soESKC33zm1zjJg_4_20"/>
      <w:bookmarkStart w:id="425" w:name="Tc_OWC5RcRjIEmGxQznJ6NWyg_4_17"/>
      <w:bookmarkStart w:id="426" w:name="Tc_548WOnCtxUSw8XWmMhGZmQ_4_14"/>
      <w:bookmarkStart w:id="427" w:name="Tc__4SxJ0tI3k2dN9l3JKN7RQ_4_11"/>
      <w:bookmarkStart w:id="428" w:name="Tc_4wHysvqSM0GiqGqtNVqzMQ_4_8"/>
      <w:bookmarkStart w:id="429" w:name="Tc_8aTL9XaM_UWjku5CD6BofA_4_5"/>
      <w:bookmarkStart w:id="430" w:name="Tc_GeImbKzvcEGKVUnerth97Q_4_2"/>
      <w:bookmarkStart w:id="431" w:name="Tc_rUdwdpsx9EW_zDRUPf2B0g_3_17"/>
      <w:bookmarkStart w:id="432" w:name="Tc_N7H_H9BNnkS5wxyXl-EtIQ_3_14"/>
      <w:bookmarkStart w:id="433" w:name="Tc_FnooQauv0kaRY7jYBxv6Jw_3_11"/>
      <w:bookmarkStart w:id="434" w:name="Tc_orOR2TSD20CbkYwPRg2-aQ_3_8"/>
      <w:bookmarkStart w:id="435" w:name="Tc_gkMAcd2hLUW0zhYsfQG2zw_3_2"/>
      <w:bookmarkStart w:id="436" w:name="Tc_VUJtCaK1hUqhcb_hpKK9oA_2_11"/>
      <w:bookmarkStart w:id="437" w:name="Tc_YdzSPu7KJUuSvcIawPmXvA_2_2"/>
      <w:bookmarkStart w:id="438" w:name="Tc_UF42dJFkTE22A9xGUaLEGA_1_11"/>
      <w:bookmarkStart w:id="439" w:name="_a9993dc6_71c1_4a78_a041_1e331e3b90f5"/>
      <w:bookmarkStart w:id="440" w:name="Tc_qW7Xvw2bh0mJ4VIXJIn6kw_13_19"/>
      <w:bookmarkStart w:id="441" w:name="Tc_nlPrLMplt0-1VhJ0nas8nw_13_16"/>
      <w:bookmarkStart w:id="442" w:name="Tc_etxERku1VUGoibl2A4o3Wg_13_13"/>
      <w:bookmarkStart w:id="443" w:name="Tc_xOeLFSQ-q0y3dkRsLWSM3A_13_10"/>
      <w:bookmarkStart w:id="444" w:name="Tc_9P1ECCFDC0arKZsbU1KPlw_13_7"/>
      <w:bookmarkStart w:id="445" w:name="Tc_krHWIWogn0y5WfsljMDtXg_13_4"/>
      <w:bookmarkStart w:id="446" w:name="Tc_xoHzbMjnh0a1qMIjS0SPag_13_0"/>
      <w:bookmarkStart w:id="447" w:name="Tc_rMzOh0gNwUCijsmJAVOAiw_12_14"/>
      <w:bookmarkStart w:id="448" w:name="Tc_1sf3IjVsXkSAKmpq59Mi6g_12_11"/>
      <w:bookmarkStart w:id="449" w:name="Tc_oSM1Suqz5U2wyFKXH_tszg_12_5"/>
      <w:bookmarkStart w:id="450" w:name="Tc_6EpuZa50rEexTWugTC6Oqg_12_2"/>
      <w:bookmarkStart w:id="451" w:name="Tc_jX7fxl4xwkmtpPfLEBG62A_12_0"/>
      <w:bookmarkStart w:id="452" w:name="Tc_DZN2dJIGDECDzmJ0o5Smuw_11_14"/>
      <w:bookmarkStart w:id="453" w:name="Tc_dBgJT3VnBkynA8GAwzNrMw_11_8"/>
      <w:bookmarkStart w:id="454" w:name="Tc_fHAVTKguFk-NEA7nIm3AOw_11_5"/>
      <w:bookmarkStart w:id="455" w:name="Tc_ecdGxhtymk-gN2lpGh8uuQ_11_2"/>
      <w:bookmarkStart w:id="456" w:name="Tc__7jFVWEzkEuiO5H-Y6tGng_11_0"/>
      <w:bookmarkStart w:id="457" w:name="Tc_EMLWZOvBtkC6iDHQbxi_Tg_10_17"/>
      <w:bookmarkStart w:id="458" w:name="Tc_Kq_8_ypJrUaGindoajggMw_10_14"/>
      <w:bookmarkStart w:id="459" w:name="Tc_FtJjSZonIkap18rQPv-UNA_10_11"/>
      <w:bookmarkStart w:id="460" w:name="Tc_kfP37sXgXkKHRSuTYtzlMg_10_5"/>
      <w:bookmarkStart w:id="461" w:name="Tc_bs71vST5Ykir2VnaKODtrQ_10_2"/>
      <w:bookmarkStart w:id="462" w:name="Tc_SYGBf1SABE-p76JAEmGNUQ_10_0"/>
      <w:bookmarkStart w:id="463" w:name="Tc_K2Ti-6Xq5kuT5XTdab8hQg_9_17"/>
      <w:bookmarkStart w:id="464" w:name="Tc_VZRFw25T5E-CCSJcD-x0JA_9_11"/>
      <w:bookmarkStart w:id="465" w:name="Tc_rHErtMVgdEimhhwARQb7Eg_9_8"/>
      <w:bookmarkStart w:id="466" w:name="Tc_L5pvMnu2fEG1zbOXerj8OQ_9_5"/>
      <w:bookmarkStart w:id="467" w:name="Tc_zP6skKq5bEK5cEe36iYjJw_9_0"/>
      <w:bookmarkStart w:id="468" w:name="Tc_x610UgCyoEWg8Zs4VJm6OQ_8_17"/>
      <w:bookmarkStart w:id="469" w:name="Tc_K8WLH6QAR0CAuHv9N-a74Q_8_14"/>
      <w:bookmarkStart w:id="470" w:name="Tc_-TrkkFQYtE2-IMMLju_yTQ_8_11"/>
      <w:bookmarkStart w:id="471" w:name="Tc_Fk1VMziC-EWbSR4DaGe1qw_8_8"/>
      <w:bookmarkStart w:id="472" w:name="Tc_JGCaAIUeE02PV9meYSdpWg_8_2"/>
      <w:bookmarkStart w:id="473" w:name="Tc_lG9gtkvv-k6qg43dkitosg_8_0"/>
      <w:bookmarkStart w:id="474" w:name="Tc_ysYwNzt9j0Sl5sz_9zcRRw_7_20"/>
      <w:bookmarkStart w:id="475" w:name="Tc_2S-J2DXFhUGSkB07mNMMiQ_7_17"/>
      <w:bookmarkStart w:id="476" w:name="Tc_Q0dgKMLbdUSLDyx5LZAz5g_7_14"/>
      <w:bookmarkStart w:id="477" w:name="Tc_cLKHzQuYYU2cayH_6nX-KQ_7_11"/>
      <w:bookmarkStart w:id="478" w:name="Tc_qIKyod-owEaDNG0mjNHGQQ_7_8"/>
      <w:bookmarkStart w:id="479" w:name="Tc_91MHA-F_CEuuEZjn52cYWQ_7_5"/>
      <w:bookmarkStart w:id="480" w:name="Tc_w91zOR7biUOXEKv-iC1gqg_7_0"/>
      <w:bookmarkStart w:id="481" w:name="Tc_IEnymDxMik2H3qkDGl6Jog_6_14"/>
      <w:bookmarkStart w:id="482" w:name="Tc_otChWzEumUCG4NBVUP--cg_6_11"/>
      <w:bookmarkStart w:id="483" w:name="Tc_tr6E5yabmkGAurwKh1xtgA_6_8"/>
      <w:bookmarkStart w:id="484" w:name="Tc_RfjErwr8gUmZDIDIYxBF8w_6_5"/>
      <w:bookmarkStart w:id="485" w:name="Tc_f3mbu8UhQkSRmgSL6wCMBA_6_2"/>
      <w:bookmarkStart w:id="486" w:name="Tc_aEeaQGqtNk674e1E9YbkwA_6_0"/>
      <w:bookmarkStart w:id="487" w:name="Tc_XhoXQQz0uUWWaoks4DVXJA_5_19"/>
      <w:bookmarkStart w:id="488" w:name="Tc_EtBrQrg3SEacc8yW1FxxJA_5_16"/>
      <w:bookmarkStart w:id="489" w:name="Tc_wSTGEVYQrEaR8mMvPpXpog_5_13"/>
      <w:bookmarkStart w:id="490" w:name="Tc_ohSHPEgcPEKpXfka8juSmA_5_10"/>
      <w:bookmarkStart w:id="491" w:name="Tc_jOPgw8hct0G0biPbJBP0fA_5_7"/>
      <w:bookmarkStart w:id="492" w:name="Tc_Bvxv9WRPAEmE0RdciV5qog_5_4"/>
      <w:bookmarkStart w:id="493" w:name="Tc_UWYKvjHNNkqG0hEJxmsMKQ_5_0"/>
      <w:bookmarkStart w:id="494" w:name="Tc_ejIm5h5soESKC33zm1zjJg_4_20"/>
      <w:bookmarkStart w:id="495" w:name="Tc_OWC5RcRjIEmGxQznJ6NWyg_4_17"/>
      <w:bookmarkStart w:id="496" w:name="Tc_548WOnCtxUSw8XWmMhGZmQ_4_14"/>
      <w:bookmarkStart w:id="497" w:name="Tc__4SxJ0tI3k2dN9l3JKN7RQ_4_11"/>
      <w:bookmarkStart w:id="498" w:name="Tc_4wHysvqSM0GiqGqtNVqzMQ_4_8"/>
      <w:bookmarkStart w:id="499" w:name="Tc_8aTL9XaM_UWjku5CD6BofA_4_5"/>
      <w:bookmarkStart w:id="500" w:name="Tc_GeImbKzvcEGKVUnerth97Q_4_2"/>
      <w:bookmarkStart w:id="501" w:name="Tc_rUdwdpsx9EW_zDRUPf2B0g_3_17"/>
      <w:bookmarkStart w:id="502" w:name="Tc_N7H_H9BNnkS5wxyXl-EtIQ_3_14"/>
      <w:bookmarkStart w:id="503" w:name="Tc_FnooQauv0kaRY7jYBxv6Jw_3_11"/>
      <w:bookmarkStart w:id="504" w:name="Tc_orOR2TSD20CbkYwPRg2-aQ_3_8"/>
      <w:bookmarkStart w:id="505" w:name="Tc_gkMAcd2hLUW0zhYsfQG2zw_3_2"/>
      <w:bookmarkStart w:id="506" w:name="Tc_VUJtCaK1hUqhcb_hpKK9oA_2_11"/>
      <w:bookmarkStart w:id="507" w:name="Tc_YdzSPu7KJUuSvcIawPmXvA_2_2"/>
      <w:bookmarkStart w:id="508" w:name="Tc_UF42dJFkTE22A9xGUaLEGA_1_11"/>
      <w:bookmarkStart w:id="509" w:name="_a9993dc6_71c1_4a78_a041_1e331e3b90f5"/>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tbl>
      <w:tblPr>
        <w:tblW w:w="12501" w:type="dxa"/>
        <w:jc w:val="left"/>
        <w:tblInd w:w="0" w:type="dxa"/>
        <w:tblLayout w:type="fixed"/>
        <w:tblCellMar>
          <w:top w:w="0" w:type="dxa"/>
          <w:left w:w="0" w:type="dxa"/>
          <w:bottom w:w="0" w:type="dxa"/>
          <w:right w:w="0" w:type="dxa"/>
        </w:tblCellMar>
      </w:tblPr>
      <w:tblGrid>
        <w:gridCol w:w="1411"/>
        <w:gridCol w:w="346"/>
        <w:gridCol w:w="1036"/>
        <w:gridCol w:w="346"/>
        <w:gridCol w:w="346"/>
        <w:gridCol w:w="781"/>
        <w:gridCol w:w="346"/>
        <w:gridCol w:w="346"/>
        <w:gridCol w:w="781"/>
        <w:gridCol w:w="346"/>
        <w:gridCol w:w="211"/>
        <w:gridCol w:w="1216"/>
        <w:gridCol w:w="346"/>
        <w:gridCol w:w="346"/>
        <w:gridCol w:w="766"/>
        <w:gridCol w:w="346"/>
        <w:gridCol w:w="346"/>
        <w:gridCol w:w="1261"/>
        <w:gridCol w:w="346"/>
        <w:gridCol w:w="346"/>
        <w:gridCol w:w="88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895985" cy="175260"/>
                      <wp:effectExtent l="0" t="0" r="0" b="0"/>
                      <wp:wrapNone/>
                      <wp:docPr id="42" name="Frame4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57860" cy="175260"/>
                      <wp:effectExtent l="0" t="0" r="0" b="0"/>
                      <wp:wrapNone/>
                      <wp:docPr id="44" name="Frame4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95935" cy="175260"/>
                      <wp:effectExtent l="0" t="0" r="0" b="0"/>
                      <wp:wrapNone/>
                      <wp:docPr id="47" name="Frame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50"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72160" cy="175260"/>
                      <wp:effectExtent l="0" t="0" r="0" b="0"/>
                      <wp:wrapNone/>
                      <wp:docPr id="53" name="Frame5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86410" cy="175260"/>
                      <wp:effectExtent l="0" t="0" r="0" b="0"/>
                      <wp:wrapNone/>
                      <wp:docPr id="56" name="Frame5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800735" cy="175260"/>
                      <wp:effectExtent l="0" t="0" r="0" b="0"/>
                      <wp:wrapNone/>
                      <wp:docPr id="59" name="Frame5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62610" cy="175260"/>
                      <wp:effectExtent l="0" t="0" r="0" b="0"/>
                      <wp:wrapNone/>
                      <wp:docPr id="62" name="Frame6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57,494,746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229,833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540,911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(5,421)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8,524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774,397</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distributions to non-controlling interest</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Issuance of restricted stock, net of forfeitures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 based compensation expense</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Repurchase of common stock, including excise tax</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(499,700)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(33,016)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(33,016)</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Dividends ($0.16</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(9,125)</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comprehensive loss, net of tax</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40,981</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56,991,651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230,176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572,259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(38,437)</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8,506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772,967</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0" w:name="Tc_Ytez2PgLmU-1em-TLQOBkA_12_19"/>
      <w:bookmarkStart w:id="511" w:name="Tc_sL_NwI0Cf0ynPerP-Ivzog_12_16"/>
      <w:bookmarkStart w:id="512" w:name="Tc_MFIPidqxYEC_6TQKwNUnxA_12_13"/>
      <w:bookmarkStart w:id="513" w:name="Tc_ol2AgDesuUqux38xN--YGw_12_10"/>
      <w:bookmarkStart w:id="514" w:name="Tc_NCGTCygAMES3Ys6MLHEp8Q_12_7"/>
      <w:bookmarkStart w:id="515" w:name="Tc_dCvNjmWF1USn49rnXtLNbA_12_4"/>
      <w:bookmarkStart w:id="516" w:name="Tc_JQ2P4KEjO0-tKnG82RX2lQ_12_0"/>
      <w:bookmarkStart w:id="517" w:name="Tc_8Th0cF_bEEaqlg5t5mX6Yg_11_14"/>
      <w:bookmarkStart w:id="518" w:name="Tc_LxDnb2bgLkikEIn_WEgjKQ_11_11"/>
      <w:bookmarkStart w:id="519" w:name="Tc_NQAURnYOOkWzt6Gt99gI6w_11_5"/>
      <w:bookmarkStart w:id="520" w:name="Tc_hPnFDeiEq0uXaOfvjXhtcQ_11_2"/>
      <w:bookmarkStart w:id="521" w:name="Tc_ZSd6tURVUE2ZGA-XU9Wu5w_11_0"/>
      <w:bookmarkStart w:id="522" w:name="Tc_E3z6w3rVKECEaQn2q5UHyQ_10_14"/>
      <w:bookmarkStart w:id="523" w:name="Tc_kXx60FP29025RowE9-7SmA_10_8"/>
      <w:bookmarkStart w:id="524" w:name="Tc_jerbbQJwnUWNv9_ByQ_SBg_10_5"/>
      <w:bookmarkStart w:id="525" w:name="Tc_CciKB0IiSEaH5trNx96Xvw_10_2"/>
      <w:bookmarkStart w:id="526" w:name="Tc_JYb_1A4GRkK0nsG5c_Ua7A_10_0"/>
      <w:bookmarkStart w:id="527" w:name="Tc__WieJTodJkujqEezYTha4Q_9_17"/>
      <w:bookmarkStart w:id="528" w:name="Tc_wEPVGawIZ0exvYGQJ2LjUA_9_14"/>
      <w:bookmarkStart w:id="529" w:name="Tc_9yPVGJf7n0i4Kz-xOd5CYA_9_11"/>
      <w:bookmarkStart w:id="530" w:name="Tc_bICkW8hQZUGYukuDFo17_A_9_5"/>
      <w:bookmarkStart w:id="531" w:name="Tc_N7ov6T2rqUiDnlWeTT6L7w_9_2"/>
      <w:bookmarkStart w:id="532" w:name="Tc_loJ59KmTj0-_G9x-Y0dgNA_9_0"/>
      <w:bookmarkStart w:id="533" w:name="Tc_EdhGqgjveE-dzYDq7F0avg_8_17"/>
      <w:bookmarkStart w:id="534" w:name="Tc_Nq9F9ViYhEOwwaWpr6C9XA_8_11"/>
      <w:bookmarkStart w:id="535" w:name="Tc_aYlvO8G5xkqh0MAAajDLZQ_8_8"/>
      <w:bookmarkStart w:id="536" w:name="Tc_aSi5FUbZiUy9Qwml8O5UqA_8_5"/>
      <w:bookmarkStart w:id="537" w:name="Tc_vIa-XkISkkCn7xr7QjbFsw_8_0"/>
      <w:bookmarkStart w:id="538" w:name="Tc_mBdBm92g2U2On8b6NOXZMQ_7_17"/>
      <w:bookmarkStart w:id="539" w:name="Tc_ecckHr9Z3kmT9FdG7qxG7w_7_14"/>
      <w:bookmarkStart w:id="540" w:name="Tc_ob8a99oiXUWf4ADkdBQ_cQ_7_11"/>
      <w:bookmarkStart w:id="541" w:name="Tc_nZ8UV46MqECMBsFUicbmPA_7_8"/>
      <w:bookmarkStart w:id="542" w:name="Tc_aKwK6c7cGUWWIjj0es-CqQ_7_2"/>
      <w:bookmarkStart w:id="543" w:name="Tc_I9DZkXBfM0Od37eTE9KccQ_7_0"/>
      <w:bookmarkStart w:id="544" w:name="Tc_X-3dbfbFakeVE1G4ZwncSw_6_14"/>
      <w:bookmarkStart w:id="545" w:name="Tc_aPo1n1dyMEKtAZuIwwQNzQ_6_11"/>
      <w:bookmarkStart w:id="546" w:name="Tc_SnnV9HfHVkiGsPO2UMOmdg_6_8"/>
      <w:bookmarkStart w:id="547" w:name="Tc_B6Ju6YCJv0669suzlxwu3w_6_5"/>
      <w:bookmarkStart w:id="548" w:name="Tc_N5wXIhuFCkaJgTHmbidLwg_6_2"/>
      <w:bookmarkStart w:id="549" w:name="Tc_mnuSLGaxbkOdkF6-44s14A_6_0"/>
      <w:bookmarkStart w:id="550" w:name="Tc__Vyzh62M3U-NShJ02F_X9g_5_19"/>
      <w:bookmarkStart w:id="551" w:name="Tc_8xdvqxIPpEiGJIrgsE4JaQ_5_16"/>
      <w:bookmarkStart w:id="552" w:name="Tc_kNuX5i_iQUeqkhU4pp0Hhg_5_13"/>
      <w:bookmarkStart w:id="553" w:name="Tc_VFpo1Meb-0GbcDFN1XdAMg_5_10"/>
      <w:bookmarkStart w:id="554" w:name="Tc_8zhTNOdNKEibK-MzEEleEA_5_7"/>
      <w:bookmarkStart w:id="555" w:name="Tc_8h99oNzlh02IqYy0jB09Jg_5_4"/>
      <w:bookmarkStart w:id="556" w:name="Tc_qYbxVjfHiUWPvZDnq0RudQ_5_0"/>
      <w:bookmarkStart w:id="557" w:name="Tc_Kd6mEDC7q0eVwJhKgbEVYg_4_20"/>
      <w:bookmarkStart w:id="558" w:name="Tc_9ie8YJzZQ06jpXF4Aau2xQ_4_17"/>
      <w:bookmarkStart w:id="559" w:name="Tc_8jkowzhHI0iZLomqE2QFCw_4_14"/>
      <w:bookmarkStart w:id="560" w:name="Tc_48_S7ePhOU-6dAADe1BYBw_4_11"/>
      <w:bookmarkStart w:id="561" w:name="Tc_q8OvF9816Uueyro1bSI8Hg_4_8"/>
      <w:bookmarkStart w:id="562" w:name="Tc_dhMGTrn_20qhSAYhBF7rZg_4_5"/>
      <w:bookmarkStart w:id="563" w:name="Tc_huMsvqozLk-xVvVg4BuC9g_4_2"/>
      <w:bookmarkStart w:id="564" w:name="Tc_tYOFuw3t2021K5btV0FBKA_3_17"/>
      <w:bookmarkStart w:id="565" w:name="Tc_8sXsCyUlskS48DGcxzo3kg_3_14"/>
      <w:bookmarkStart w:id="566" w:name="Tc_vN8_6YeiVkmCphe3CetQ-Q_3_11"/>
      <w:bookmarkStart w:id="567" w:name="Tc_-bbLgfF8EUGKcYplxtf5Rg_3_8"/>
      <w:bookmarkStart w:id="568" w:name="Tc_Phj3baTx8kmHIILirFYu6Q_3_2"/>
      <w:bookmarkStart w:id="569" w:name="Tc_UiSx4QzN0kmCiz9idyNscg_2_11"/>
      <w:bookmarkStart w:id="570" w:name="Tc_YSAzLdmD40ybljzwRRMCtQ_2_2"/>
      <w:bookmarkStart w:id="571" w:name="Tc_v9QQ0CxvD0WPaWA43kkMdQ_1_11"/>
      <w:bookmarkStart w:id="572" w:name="_15f50843_3919_4aa2_95a2_ce407374986d"/>
      <w:bookmarkStart w:id="573" w:name="Tc_Ytez2PgLmU-1em-TLQOBkA_12_19"/>
      <w:bookmarkStart w:id="574" w:name="Tc_sL_NwI0Cf0ynPerP-Ivzog_12_16"/>
      <w:bookmarkStart w:id="575" w:name="Tc_MFIPidqxYEC_6TQKwNUnxA_12_13"/>
      <w:bookmarkStart w:id="576" w:name="Tc_ol2AgDesuUqux38xN--YGw_12_10"/>
      <w:bookmarkStart w:id="577" w:name="Tc_NCGTCygAMES3Ys6MLHEp8Q_12_7"/>
      <w:bookmarkStart w:id="578" w:name="Tc_dCvNjmWF1USn49rnXtLNbA_12_4"/>
      <w:bookmarkStart w:id="579" w:name="Tc_JQ2P4KEjO0-tKnG82RX2lQ_12_0"/>
      <w:bookmarkStart w:id="580" w:name="Tc_8Th0cF_bEEaqlg5t5mX6Yg_11_14"/>
      <w:bookmarkStart w:id="581" w:name="Tc_LxDnb2bgLkikEIn_WEgjKQ_11_11"/>
      <w:bookmarkStart w:id="582" w:name="Tc_NQAURnYOOkWzt6Gt99gI6w_11_5"/>
      <w:bookmarkStart w:id="583" w:name="Tc_hPnFDeiEq0uXaOfvjXhtcQ_11_2"/>
      <w:bookmarkStart w:id="584" w:name="Tc_ZSd6tURVUE2ZGA-XU9Wu5w_11_0"/>
      <w:bookmarkStart w:id="585" w:name="Tc_E3z6w3rVKECEaQn2q5UHyQ_10_14"/>
      <w:bookmarkStart w:id="586" w:name="Tc_kXx60FP29025RowE9-7SmA_10_8"/>
      <w:bookmarkStart w:id="587" w:name="Tc_jerbbQJwnUWNv9_ByQ_SBg_10_5"/>
      <w:bookmarkStart w:id="588" w:name="Tc_CciKB0IiSEaH5trNx96Xvw_10_2"/>
      <w:bookmarkStart w:id="589" w:name="Tc_JYb_1A4GRkK0nsG5c_Ua7A_10_0"/>
      <w:bookmarkStart w:id="590" w:name="Tc__WieJTodJkujqEezYTha4Q_9_17"/>
      <w:bookmarkStart w:id="591" w:name="Tc_wEPVGawIZ0exvYGQJ2LjUA_9_14"/>
      <w:bookmarkStart w:id="592" w:name="Tc_9yPVGJf7n0i4Kz-xOd5CYA_9_11"/>
      <w:bookmarkStart w:id="593" w:name="Tc_bICkW8hQZUGYukuDFo17_A_9_5"/>
      <w:bookmarkStart w:id="594" w:name="Tc_N7ov6T2rqUiDnlWeTT6L7w_9_2"/>
      <w:bookmarkStart w:id="595" w:name="Tc_loJ59KmTj0-_G9x-Y0dgNA_9_0"/>
      <w:bookmarkStart w:id="596" w:name="Tc_EdhGqgjveE-dzYDq7F0avg_8_17"/>
      <w:bookmarkStart w:id="597" w:name="Tc_Nq9F9ViYhEOwwaWpr6C9XA_8_11"/>
      <w:bookmarkStart w:id="598" w:name="Tc_aYlvO8G5xkqh0MAAajDLZQ_8_8"/>
      <w:bookmarkStart w:id="599" w:name="Tc_aSi5FUbZiUy9Qwml8O5UqA_8_5"/>
      <w:bookmarkStart w:id="600" w:name="Tc_vIa-XkISkkCn7xr7QjbFsw_8_0"/>
      <w:bookmarkStart w:id="601" w:name="Tc_mBdBm92g2U2On8b6NOXZMQ_7_17"/>
      <w:bookmarkStart w:id="602" w:name="Tc_ecckHr9Z3kmT9FdG7qxG7w_7_14"/>
      <w:bookmarkStart w:id="603" w:name="Tc_ob8a99oiXUWf4ADkdBQ_cQ_7_11"/>
      <w:bookmarkStart w:id="604" w:name="Tc_nZ8UV46MqECMBsFUicbmPA_7_8"/>
      <w:bookmarkStart w:id="605" w:name="Tc_aKwK6c7cGUWWIjj0es-CqQ_7_2"/>
      <w:bookmarkStart w:id="606" w:name="Tc_I9DZkXBfM0Od37eTE9KccQ_7_0"/>
      <w:bookmarkStart w:id="607" w:name="Tc_X-3dbfbFakeVE1G4ZwncSw_6_14"/>
      <w:bookmarkStart w:id="608" w:name="Tc_aPo1n1dyMEKtAZuIwwQNzQ_6_11"/>
      <w:bookmarkStart w:id="609" w:name="Tc_SnnV9HfHVkiGsPO2UMOmdg_6_8"/>
      <w:bookmarkStart w:id="610" w:name="Tc_B6Ju6YCJv0669suzlxwu3w_6_5"/>
      <w:bookmarkStart w:id="611" w:name="Tc_N5wXIhuFCkaJgTHmbidLwg_6_2"/>
      <w:bookmarkStart w:id="612" w:name="Tc_mnuSLGaxbkOdkF6-44s14A_6_0"/>
      <w:bookmarkStart w:id="613" w:name="Tc__Vyzh62M3U-NShJ02F_X9g_5_19"/>
      <w:bookmarkStart w:id="614" w:name="Tc_8xdvqxIPpEiGJIrgsE4JaQ_5_16"/>
      <w:bookmarkStart w:id="615" w:name="Tc_kNuX5i_iQUeqkhU4pp0Hhg_5_13"/>
      <w:bookmarkStart w:id="616" w:name="Tc_VFpo1Meb-0GbcDFN1XdAMg_5_10"/>
      <w:bookmarkStart w:id="617" w:name="Tc_8zhTNOdNKEibK-MzEEleEA_5_7"/>
      <w:bookmarkStart w:id="618" w:name="Tc_8h99oNzlh02IqYy0jB09Jg_5_4"/>
      <w:bookmarkStart w:id="619" w:name="Tc_qYbxVjfHiUWPvZDnq0RudQ_5_0"/>
      <w:bookmarkStart w:id="620" w:name="Tc_Kd6mEDC7q0eVwJhKgbEVYg_4_20"/>
      <w:bookmarkStart w:id="621" w:name="Tc_9ie8YJzZQ06jpXF4Aau2xQ_4_17"/>
      <w:bookmarkStart w:id="622" w:name="Tc_8jkowzhHI0iZLomqE2QFCw_4_14"/>
      <w:bookmarkStart w:id="623" w:name="Tc_48_S7ePhOU-6dAADe1BYBw_4_11"/>
      <w:bookmarkStart w:id="624" w:name="Tc_q8OvF9816Uueyro1bSI8Hg_4_8"/>
      <w:bookmarkStart w:id="625" w:name="Tc_dhMGTrn_20qhSAYhBF7rZg_4_5"/>
      <w:bookmarkStart w:id="626" w:name="Tc_huMsvqozLk-xVvVg4BuC9g_4_2"/>
      <w:bookmarkStart w:id="627" w:name="Tc_tYOFuw3t2021K5btV0FBKA_3_17"/>
      <w:bookmarkStart w:id="628" w:name="Tc_8sXsCyUlskS48DGcxzo3kg_3_14"/>
      <w:bookmarkStart w:id="629" w:name="Tc_vN8_6YeiVkmCphe3CetQ-Q_3_11"/>
      <w:bookmarkStart w:id="630" w:name="Tc_-bbLgfF8EUGKcYplxtf5Rg_3_8"/>
      <w:bookmarkStart w:id="631" w:name="Tc_Phj3baTx8kmHIILirFYu6Q_3_2"/>
      <w:bookmarkStart w:id="632" w:name="Tc_UiSx4QzN0kmCiz9idyNscg_2_11"/>
      <w:bookmarkStart w:id="633" w:name="Tc_YSAzLdmD40ybljzwRRMCtQ_2_2"/>
      <w:bookmarkStart w:id="634" w:name="Tc_v9QQ0CxvD0WPaWA43kkMdQ_1_11"/>
      <w:bookmarkStart w:id="635" w:name="_15f50843_3919_4aa2_95a2_ce407374986d"/>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tbl>
      <w:tblPr>
        <w:tblW w:w="12501" w:type="dxa"/>
        <w:jc w:val="left"/>
        <w:tblInd w:w="0" w:type="dxa"/>
        <w:tblLayout w:type="fixed"/>
        <w:tblCellMar>
          <w:top w:w="0" w:type="dxa"/>
          <w:left w:w="0" w:type="dxa"/>
          <w:bottom w:w="0" w:type="dxa"/>
          <w:right w:w="0" w:type="dxa"/>
        </w:tblCellMar>
      </w:tblPr>
      <w:tblGrid>
        <w:gridCol w:w="1411"/>
        <w:gridCol w:w="346"/>
        <w:gridCol w:w="1036"/>
        <w:gridCol w:w="346"/>
        <w:gridCol w:w="346"/>
        <w:gridCol w:w="781"/>
        <w:gridCol w:w="346"/>
        <w:gridCol w:w="346"/>
        <w:gridCol w:w="781"/>
        <w:gridCol w:w="346"/>
        <w:gridCol w:w="211"/>
        <w:gridCol w:w="1216"/>
        <w:gridCol w:w="346"/>
        <w:gridCol w:w="346"/>
        <w:gridCol w:w="766"/>
        <w:gridCol w:w="346"/>
        <w:gridCol w:w="346"/>
        <w:gridCol w:w="1261"/>
        <w:gridCol w:w="346"/>
        <w:gridCol w:w="346"/>
        <w:gridCol w:w="88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895985" cy="175260"/>
                      <wp:effectExtent l="0" t="0" r="0" b="0"/>
                      <wp:wrapNone/>
                      <wp:docPr id="63" name="Frame6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57860" cy="175260"/>
                      <wp:effectExtent l="0" t="0" r="0" b="0"/>
                      <wp:wrapNone/>
                      <wp:docPr id="65" name="Frame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72160" cy="175260"/>
                      <wp:effectExtent l="0" t="0" r="0" b="0"/>
                      <wp:wrapNone/>
                      <wp:docPr id="74" name="Frame7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86410" cy="175260"/>
                      <wp:effectExtent l="0" t="0" r="0" b="0"/>
                      <wp:wrapNone/>
                      <wp:docPr id="77" name="Frame7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800735" cy="175260"/>
                      <wp:effectExtent l="0" t="0" r="0" b="0"/>
                      <wp:wrapNone/>
                      <wp:docPr id="80" name="Frame8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62610" cy="175260"/>
                      <wp:effectExtent l="0" t="0" r="0" b="0"/>
                      <wp:wrapNone/>
                      <wp:docPr id="83" name="Frame8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58,222,315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268,978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463,488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(5,728)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11,201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739,053</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distributions to non-controlling interest</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 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Repurchase of common stock, including excise tax</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(235,400)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(10,608)</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Dividends ($0.14</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(8,121)</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comprehensive loss, net of tax</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29,774</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June 30, 2025</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57,986,915</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269,283</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484,891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926</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(16,336)</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11,186</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749,950</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See accompanying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EQUITY</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636" w:name="Tc_Z_lzTa09wUOicU2v15abLw_15_19"/>
      <w:bookmarkStart w:id="637" w:name="Tc_8iESByZcR0S4QaXna58Npg_15_16"/>
      <w:bookmarkStart w:id="638" w:name="Tc_icVquBZpVUu-LQxiPsh6rQ_15_13"/>
      <w:bookmarkStart w:id="639" w:name="Tc_h0KyW9ZfMkqovjqQWFJoPA_15_10"/>
      <w:bookmarkStart w:id="640" w:name="Tc_1LBiBRfgPU-1N9auNrsGBA_15_7"/>
      <w:bookmarkStart w:id="641" w:name="Tc_XdTBDmZdvEKmYDOIKjiV6Q_15_4"/>
      <w:bookmarkStart w:id="642" w:name="Tc_azUQzIrO0kW5ezlJ3VZYoQ_15_0"/>
      <w:bookmarkStart w:id="643" w:name="Tc_GpOFipQJw0qgOjuI_nEUbA_14_14"/>
      <w:bookmarkStart w:id="644" w:name="Tc_mHce-Gm3QkS0tlAMkT7DOQ_14_11"/>
      <w:bookmarkStart w:id="645" w:name="Tc_vH_e_R1XokC0MQJH-6Xt0Q_14_5"/>
      <w:bookmarkStart w:id="646" w:name="Tc_ZZLD2F_oFUKzBn_z0AAHmQ_14_2"/>
      <w:bookmarkStart w:id="647" w:name="Tc_CnBy6HLWLUWkE9TIosd6Eg_14_0"/>
      <w:bookmarkStart w:id="648" w:name="Tc_giomDd0zAku37IK9UCslvg_13_14"/>
      <w:bookmarkStart w:id="649" w:name="Tc_3bhNtZaH2Uiv5cR0T4ZY1g_13_8"/>
      <w:bookmarkStart w:id="650" w:name="Tc_RY2qR8YrK0SptgLUOPWz_w_13_5"/>
      <w:bookmarkStart w:id="651" w:name="Tc_TqANdCog60eXdbr4heTNBg_13_2"/>
      <w:bookmarkStart w:id="652" w:name="Tc_i1Rd028aZU6nzooIUsimHw_13_0"/>
      <w:bookmarkStart w:id="653" w:name="Tc_JpprqG-CmkmtnHtXEKut9g_12_17"/>
      <w:bookmarkStart w:id="654" w:name="Tc_Ww830P0jaUaXnCn6qq7_PQ_12_14"/>
      <w:bookmarkStart w:id="655" w:name="Tc_P2rhmZkC10OtrmqBg5jIzQ_12_11"/>
      <w:bookmarkStart w:id="656" w:name="Tc_7fpbpLvnukqZClC8N4thpg_12_5"/>
      <w:bookmarkStart w:id="657" w:name="Tc_LQEwkTvYFUez8Hugn-WtGQ_12_2"/>
      <w:bookmarkStart w:id="658" w:name="Tc_i6ZXz2EdRkmGYPd4TtQy6A_12_0"/>
      <w:bookmarkStart w:id="659" w:name="Tc_cMSxvtYHyUeORYKAsPDd4A_11_17"/>
      <w:bookmarkStart w:id="660" w:name="Tc_UCvYxnQ2Y0yeq8oixREtJw_11_11"/>
      <w:bookmarkStart w:id="661" w:name="Tc_Vx0mhIVdOEm44x4z-jbAVg_11_8"/>
      <w:bookmarkStart w:id="662" w:name="Tc_iqzxWJ5_vUqMr2MA_eJ7QA_11_5"/>
      <w:bookmarkStart w:id="663" w:name="Tc_lbmFvXVZUEG8tF8dNL5n_g_11_0"/>
      <w:bookmarkStart w:id="664" w:name="Tc_XY_zOPcG_kGOh8EmT4UW5Q_10_17"/>
      <w:bookmarkStart w:id="665" w:name="Tc_iObMWf01g0-JnLAitytGKQ_10_14"/>
      <w:bookmarkStart w:id="666" w:name="Tc_73TZ0V8XqkCzBD0MIFrAjw_10_11"/>
      <w:bookmarkStart w:id="667" w:name="Tc_-exbe_YTEke6UZHrl8LyAg_10_8"/>
      <w:bookmarkStart w:id="668" w:name="Tc_Is9GR0BkGEe86o1sXiBXRg_10_2"/>
      <w:bookmarkStart w:id="669" w:name="Tc_8k3Jd9PqvkSbCn_UnZyviA_10_0"/>
      <w:bookmarkStart w:id="670" w:name="Tc_-NDU4F42RUK8FVgEpb998g_9_17"/>
      <w:bookmarkStart w:id="671" w:name="Tc_d4zXQ0OYL0yRo1vLPZSZ_g_9_11"/>
      <w:bookmarkStart w:id="672" w:name="Tc_zrLnmVZDXkCq704TIz6KEw_9_8"/>
      <w:bookmarkStart w:id="673" w:name="Tc_HmqlUL3yD0m20TKrFI_DuA_9_5"/>
      <w:bookmarkStart w:id="674" w:name="Tc_s2ZxIG65XUWBcA0NgQygsA_9_0"/>
      <w:bookmarkStart w:id="675" w:name="Tc__T1d7_RAxEKaVB_owVlcHA_8_20"/>
      <w:bookmarkStart w:id="676" w:name="Tc_aib3vu1k8UCJj23ygbNwzg_8_17"/>
      <w:bookmarkStart w:id="677" w:name="Tc_OVSqHloYzUS9jg2HjCOovQ_8_14"/>
      <w:bookmarkStart w:id="678" w:name="Tc_AOCoK1AfTk68j1GFmy7nyQ_8_11"/>
      <w:bookmarkStart w:id="679" w:name="Tc_7YMYBHf8bUCxYO6suM8x3g_8_8"/>
      <w:bookmarkStart w:id="680" w:name="Tc_ATy64MK7wE27AWbXMttM7A_8_5"/>
      <w:bookmarkStart w:id="681" w:name="Tc_O9TX6KFilEqZnR4Eb0yy1A_8_0"/>
      <w:bookmarkStart w:id="682" w:name="Tc_tsSfBsUaOUKX3T3_H8_Jhg_7_14"/>
      <w:bookmarkStart w:id="683" w:name="Tc_aFDtszjgRkKdXQhsNoWT8A_7_11"/>
      <w:bookmarkStart w:id="684" w:name="Tc_HHHPER0UPE6nTx87-liwBA_7_8"/>
      <w:bookmarkStart w:id="685" w:name="Tc_yePOgE2NOkansg1VPlJeXg_7_5"/>
      <w:bookmarkStart w:id="686" w:name="Tc_tG3H1vxl7Ua_PfoZo-XQKA_7_2"/>
      <w:bookmarkStart w:id="687" w:name="Tc_NbPpyO3d-0yscjjZZTsqOA_7_0"/>
      <w:bookmarkStart w:id="688" w:name="Tc_p6OEeSN4vkGI9cu1nw5jBg_6_14"/>
      <w:bookmarkStart w:id="689" w:name="Tc_Z7ec7xJpVUeQzRVRMniPpg_6_11"/>
      <w:bookmarkStart w:id="690" w:name="Tc_EEa5nhSr1ESdNL54drpugA_6_8"/>
      <w:bookmarkStart w:id="691" w:name="Tc_Ed9MjqYpGUWe6B0GdxvZTA_6_5"/>
      <w:bookmarkStart w:id="692" w:name="Tc_e7SscTEMXkWdhxX8XxwlNg_6_2"/>
      <w:bookmarkStart w:id="693" w:name="Tc_bzjqpVi0LEC91kLzSGI-fA_6_0"/>
      <w:bookmarkStart w:id="694" w:name="Tc_-epuO1t4jk-EhSnYGdn9xg_5_19"/>
      <w:bookmarkStart w:id="695" w:name="Tc_n5S3cvdHsE-4ok8mPgAMYw_5_16"/>
      <w:bookmarkStart w:id="696" w:name="Tc_YcG2C9G2lkajVjGqIDDNEg_5_14"/>
      <w:bookmarkStart w:id="697" w:name="Tc_SwVi6Ah0N02KCmdTtHa_uQ_5_13"/>
      <w:bookmarkStart w:id="698" w:name="Tc_13jDfWP84EaFacmVB-2sdA_5_10"/>
      <w:bookmarkStart w:id="699" w:name="Tc_D-rg5SRGtU-Qx-jObCyUgQ_5_7"/>
      <w:bookmarkStart w:id="700" w:name="Tc_VTg3vhCcsE6cUm8FQWfqGg_5_4"/>
      <w:bookmarkStart w:id="701" w:name="Tc_sqz_M3ybNEOeETuBDZlI7w_5_0"/>
      <w:bookmarkStart w:id="702" w:name="Tc_trSC7TUz_0KJhf4PpiwwJQ_4_20"/>
      <w:bookmarkStart w:id="703" w:name="Tc_Vk9T-4--zUOVLh4w7dWZ7g_4_17"/>
      <w:bookmarkStart w:id="704" w:name="Tc_nD5oUBDYc0OhnrHI96bVKg_4_14"/>
      <w:bookmarkStart w:id="705" w:name="Tc_xylstpqV4EuLIeiJjwoTww_4_11"/>
      <w:bookmarkStart w:id="706" w:name="Tc_3hDaPVV80kuPZSEdYWOlYg_4_8"/>
      <w:bookmarkStart w:id="707" w:name="Tc_N4_LnWuawkOXtuG3iVpuIA_4_5"/>
      <w:bookmarkStart w:id="708" w:name="Tc_EKAcSwjlo0aKRaMCIcy8Ag_4_2"/>
      <w:bookmarkStart w:id="709" w:name="Tc_TeC7h22KNUOJo8O9dK3bgQ_3_17"/>
      <w:bookmarkStart w:id="710" w:name="Tc_NLD0z98whUG0u7hzO7ORdg_3_14"/>
      <w:bookmarkStart w:id="711" w:name="Tc_B5qr9J2cgUCzrvnwcDe-Rw_3_11"/>
      <w:bookmarkStart w:id="712" w:name="Tc_uj60c_fJnUKn8gE2evMrtA_3_8"/>
      <w:bookmarkStart w:id="713" w:name="Tc_6wR_6kfwPU21446EYFHeZw_3_2"/>
      <w:bookmarkStart w:id="714" w:name="Tc_Y-47fpr3uEKxpNIg2y2oUg_2_11"/>
      <w:bookmarkStart w:id="715" w:name="Tc_Yxlm_3Df-EWG7q1WopxkFQ_2_2"/>
      <w:bookmarkStart w:id="716" w:name="_1da09236_8205_4c4f_8fa8_29704afc0745"/>
      <w:bookmarkStart w:id="717" w:name="Tc_Z_lzTa09wUOicU2v15abLw_15_19"/>
      <w:bookmarkStart w:id="718" w:name="Tc_8iESByZcR0S4QaXna58Npg_15_16"/>
      <w:bookmarkStart w:id="719" w:name="Tc_icVquBZpVUu-LQxiPsh6rQ_15_13"/>
      <w:bookmarkStart w:id="720" w:name="Tc_h0KyW9ZfMkqovjqQWFJoPA_15_10"/>
      <w:bookmarkStart w:id="721" w:name="Tc_1LBiBRfgPU-1N9auNrsGBA_15_7"/>
      <w:bookmarkStart w:id="722" w:name="Tc_XdTBDmZdvEKmYDOIKjiV6Q_15_4"/>
      <w:bookmarkStart w:id="723" w:name="Tc_azUQzIrO0kW5ezlJ3VZYoQ_15_0"/>
      <w:bookmarkStart w:id="724" w:name="Tc_GpOFipQJw0qgOjuI_nEUbA_14_14"/>
      <w:bookmarkStart w:id="725" w:name="Tc_mHce-Gm3QkS0tlAMkT7DOQ_14_11"/>
      <w:bookmarkStart w:id="726" w:name="Tc_vH_e_R1XokC0MQJH-6Xt0Q_14_5"/>
      <w:bookmarkStart w:id="727" w:name="Tc_ZZLD2F_oFUKzBn_z0AAHmQ_14_2"/>
      <w:bookmarkStart w:id="728" w:name="Tc_CnBy6HLWLUWkE9TIosd6Eg_14_0"/>
      <w:bookmarkStart w:id="729" w:name="Tc_giomDd0zAku37IK9UCslvg_13_14"/>
      <w:bookmarkStart w:id="730" w:name="Tc_3bhNtZaH2Uiv5cR0T4ZY1g_13_8"/>
      <w:bookmarkStart w:id="731" w:name="Tc_RY2qR8YrK0SptgLUOPWz_w_13_5"/>
      <w:bookmarkStart w:id="732" w:name="Tc_TqANdCog60eXdbr4heTNBg_13_2"/>
      <w:bookmarkStart w:id="733" w:name="Tc_i1Rd028aZU6nzooIUsimHw_13_0"/>
      <w:bookmarkStart w:id="734" w:name="Tc_JpprqG-CmkmtnHtXEKut9g_12_17"/>
      <w:bookmarkStart w:id="735" w:name="Tc_Ww830P0jaUaXnCn6qq7_PQ_12_14"/>
      <w:bookmarkStart w:id="736" w:name="Tc_P2rhmZkC10OtrmqBg5jIzQ_12_11"/>
      <w:bookmarkStart w:id="737" w:name="Tc_7fpbpLvnukqZClC8N4thpg_12_5"/>
      <w:bookmarkStart w:id="738" w:name="Tc_LQEwkTvYFUez8Hugn-WtGQ_12_2"/>
      <w:bookmarkStart w:id="739" w:name="Tc_i6ZXz2EdRkmGYPd4TtQy6A_12_0"/>
      <w:bookmarkStart w:id="740" w:name="Tc_cMSxvtYHyUeORYKAsPDd4A_11_17"/>
      <w:bookmarkStart w:id="741" w:name="Tc_UCvYxnQ2Y0yeq8oixREtJw_11_11"/>
      <w:bookmarkStart w:id="742" w:name="Tc_Vx0mhIVdOEm44x4z-jbAVg_11_8"/>
      <w:bookmarkStart w:id="743" w:name="Tc_iqzxWJ5_vUqMr2MA_eJ7QA_11_5"/>
      <w:bookmarkStart w:id="744" w:name="Tc_lbmFvXVZUEG8tF8dNL5n_g_11_0"/>
      <w:bookmarkStart w:id="745" w:name="Tc_XY_zOPcG_kGOh8EmT4UW5Q_10_17"/>
      <w:bookmarkStart w:id="746" w:name="Tc_iObMWf01g0-JnLAitytGKQ_10_14"/>
      <w:bookmarkStart w:id="747" w:name="Tc_73TZ0V8XqkCzBD0MIFrAjw_10_11"/>
      <w:bookmarkStart w:id="748" w:name="Tc_-exbe_YTEke6UZHrl8LyAg_10_8"/>
      <w:bookmarkStart w:id="749" w:name="Tc_Is9GR0BkGEe86o1sXiBXRg_10_2"/>
      <w:bookmarkStart w:id="750" w:name="Tc_8k3Jd9PqvkSbCn_UnZyviA_10_0"/>
      <w:bookmarkStart w:id="751" w:name="Tc_-NDU4F42RUK8FVgEpb998g_9_17"/>
      <w:bookmarkStart w:id="752" w:name="Tc_d4zXQ0OYL0yRo1vLPZSZ_g_9_11"/>
      <w:bookmarkStart w:id="753" w:name="Tc_zrLnmVZDXkCq704TIz6KEw_9_8"/>
      <w:bookmarkStart w:id="754" w:name="Tc_HmqlUL3yD0m20TKrFI_DuA_9_5"/>
      <w:bookmarkStart w:id="755" w:name="Tc_s2ZxIG65XUWBcA0NgQygsA_9_0"/>
      <w:bookmarkStart w:id="756" w:name="Tc__T1d7_RAxEKaVB_owVlcHA_8_20"/>
      <w:bookmarkStart w:id="757" w:name="Tc_aib3vu1k8UCJj23ygbNwzg_8_17"/>
      <w:bookmarkStart w:id="758" w:name="Tc_OVSqHloYzUS9jg2HjCOovQ_8_14"/>
      <w:bookmarkStart w:id="759" w:name="Tc_AOCoK1AfTk68j1GFmy7nyQ_8_11"/>
      <w:bookmarkStart w:id="760" w:name="Tc_7YMYBHf8bUCxYO6suM8x3g_8_8"/>
      <w:bookmarkStart w:id="761" w:name="Tc_ATy64MK7wE27AWbXMttM7A_8_5"/>
      <w:bookmarkStart w:id="762" w:name="Tc_O9TX6KFilEqZnR4Eb0yy1A_8_0"/>
      <w:bookmarkStart w:id="763" w:name="Tc_tsSfBsUaOUKX3T3_H8_Jhg_7_14"/>
      <w:bookmarkStart w:id="764" w:name="Tc_aFDtszjgRkKdXQhsNoWT8A_7_11"/>
      <w:bookmarkStart w:id="765" w:name="Tc_HHHPER0UPE6nTx87-liwBA_7_8"/>
      <w:bookmarkStart w:id="766" w:name="Tc_yePOgE2NOkansg1VPlJeXg_7_5"/>
      <w:bookmarkStart w:id="767" w:name="Tc_tG3H1vxl7Ua_PfoZo-XQKA_7_2"/>
      <w:bookmarkStart w:id="768" w:name="Tc_NbPpyO3d-0yscjjZZTsqOA_7_0"/>
      <w:bookmarkStart w:id="769" w:name="Tc_p6OEeSN4vkGI9cu1nw5jBg_6_14"/>
      <w:bookmarkStart w:id="770" w:name="Tc_Z7ec7xJpVUeQzRVRMniPpg_6_11"/>
      <w:bookmarkStart w:id="771" w:name="Tc_EEa5nhSr1ESdNL54drpugA_6_8"/>
      <w:bookmarkStart w:id="772" w:name="Tc_Ed9MjqYpGUWe6B0GdxvZTA_6_5"/>
      <w:bookmarkStart w:id="773" w:name="Tc_e7SscTEMXkWdhxX8XxwlNg_6_2"/>
      <w:bookmarkStart w:id="774" w:name="Tc_bzjqpVi0LEC91kLzSGI-fA_6_0"/>
      <w:bookmarkStart w:id="775" w:name="Tc_-epuO1t4jk-EhSnYGdn9xg_5_19"/>
      <w:bookmarkStart w:id="776" w:name="Tc_n5S3cvdHsE-4ok8mPgAMYw_5_16"/>
      <w:bookmarkStart w:id="777" w:name="Tc_YcG2C9G2lkajVjGqIDDNEg_5_14"/>
      <w:bookmarkStart w:id="778" w:name="Tc_SwVi6Ah0N02KCmdTtHa_uQ_5_13"/>
      <w:bookmarkStart w:id="779" w:name="Tc_13jDfWP84EaFacmVB-2sdA_5_10"/>
      <w:bookmarkStart w:id="780" w:name="Tc_D-rg5SRGtU-Qx-jObCyUgQ_5_7"/>
      <w:bookmarkStart w:id="781" w:name="Tc_VTg3vhCcsE6cUm8FQWfqGg_5_4"/>
      <w:bookmarkStart w:id="782" w:name="Tc_sqz_M3ybNEOeETuBDZlI7w_5_0"/>
      <w:bookmarkStart w:id="783" w:name="Tc_trSC7TUz_0KJhf4PpiwwJQ_4_20"/>
      <w:bookmarkStart w:id="784" w:name="Tc_Vk9T-4--zUOVLh4w7dWZ7g_4_17"/>
      <w:bookmarkStart w:id="785" w:name="Tc_nD5oUBDYc0OhnrHI96bVKg_4_14"/>
      <w:bookmarkStart w:id="786" w:name="Tc_xylstpqV4EuLIeiJjwoTww_4_11"/>
      <w:bookmarkStart w:id="787" w:name="Tc_3hDaPVV80kuPZSEdYWOlYg_4_8"/>
      <w:bookmarkStart w:id="788" w:name="Tc_N4_LnWuawkOXtuG3iVpuIA_4_5"/>
      <w:bookmarkStart w:id="789" w:name="Tc_EKAcSwjlo0aKRaMCIcy8Ag_4_2"/>
      <w:bookmarkStart w:id="790" w:name="Tc_TeC7h22KNUOJo8O9dK3bgQ_3_17"/>
      <w:bookmarkStart w:id="791" w:name="Tc_NLD0z98whUG0u7hzO7ORdg_3_14"/>
      <w:bookmarkStart w:id="792" w:name="Tc_B5qr9J2cgUCzrvnwcDe-Rw_3_11"/>
      <w:bookmarkStart w:id="793" w:name="Tc_uj60c_fJnUKn8gE2evMrtA_3_8"/>
      <w:bookmarkStart w:id="794" w:name="Tc_6wR_6kfwPU21446EYFHeZw_3_2"/>
      <w:bookmarkStart w:id="795" w:name="Tc_Y-47fpr3uEKxpNIg2y2oUg_2_11"/>
      <w:bookmarkStart w:id="796" w:name="Tc_Yxlm_3Df-EWG7q1WopxkFQ_2_2"/>
      <w:bookmarkStart w:id="797" w:name="_1da09236_8205_4c4f_8fa8_29704afc0745"/>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tbl>
      <w:tblPr>
        <w:tblW w:w="12831" w:type="dxa"/>
        <w:jc w:val="left"/>
        <w:tblInd w:w="0" w:type="dxa"/>
        <w:tblLayout w:type="fixed"/>
        <w:tblCellMar>
          <w:top w:w="0" w:type="dxa"/>
          <w:left w:w="0" w:type="dxa"/>
          <w:bottom w:w="0" w:type="dxa"/>
          <w:right w:w="0" w:type="dxa"/>
        </w:tblCellMar>
      </w:tblPr>
      <w:tblGrid>
        <w:gridCol w:w="1741"/>
        <w:gridCol w:w="346"/>
        <w:gridCol w:w="1036"/>
        <w:gridCol w:w="346"/>
        <w:gridCol w:w="346"/>
        <w:gridCol w:w="781"/>
        <w:gridCol w:w="346"/>
        <w:gridCol w:w="346"/>
        <w:gridCol w:w="781"/>
        <w:gridCol w:w="346"/>
        <w:gridCol w:w="211"/>
        <w:gridCol w:w="1216"/>
        <w:gridCol w:w="346"/>
        <w:gridCol w:w="346"/>
        <w:gridCol w:w="766"/>
        <w:gridCol w:w="346"/>
        <w:gridCol w:w="346"/>
        <w:gridCol w:w="1261"/>
        <w:gridCol w:w="346"/>
        <w:gridCol w:w="346"/>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105535" cy="175260"/>
                      <wp:effectExtent l="0" t="0" r="0" b="0"/>
                      <wp:wrapNone/>
                      <wp:docPr id="84" name="Frame8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57860" cy="175260"/>
                      <wp:effectExtent l="0" t="0" r="0" b="0"/>
                      <wp:wrapNone/>
                      <wp:docPr id="86" name="Frame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72160" cy="175260"/>
                      <wp:effectExtent l="0" t="0" r="0" b="0"/>
                      <wp:wrapNone/>
                      <wp:docPr id="95" name="Frame95"/>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86410" cy="175260"/>
                      <wp:effectExtent l="0" t="0" r="0" b="0"/>
                      <wp:wrapNone/>
                      <wp:docPr id="98" name="Frame9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00735" cy="175260"/>
                      <wp:effectExtent l="0" t="0" r="0" b="0"/>
                      <wp:wrapNone/>
                      <wp:docPr id="101" name="Frame10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62610" cy="175260"/>
                      <wp:effectExtent l="0" t="0" r="0" b="0"/>
                      <wp:wrapNone/>
                      <wp:docPr id="104" name="Frame10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57,547,307</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229,506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536,190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594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9,335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775,625</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contributions from non-controlling interest</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distributions to non-controlling interest</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(668)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(668)</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Issuance of restricted stock, net of forfeitures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25,016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Repurchase of restricted stock withheld for taxes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(4,835)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(333)</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 based compensation expense</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670</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Repurchase of common stock, including excise tax</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(575,837)</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(38,104)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(38,104)</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Dividends ($0.32</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(18,338)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(18,338)</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comprehensive loss, net of tax</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(203)</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(loss)</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54,407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(139)</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54,268</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56,991,651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230,176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572,259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463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(38,437)</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8,506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9"/>
              </w:rPr>
            </w:pPr>
            <w:r>
              <w:rPr>
                <w:rFonts w:ascii="Times New Roman;Times;serif" w:hAnsi="Times New Roman;Times;serif"/>
                <w:b/>
                <w:sz w:val="19"/>
              </w:rPr>
              <w:t>772,967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98" w:name="Tc_zaoH71jYqUiYv2l2bTKsfQ_13_19"/>
      <w:bookmarkStart w:id="799" w:name="Tc_E68PeeOxIkC4linY7A-dqA_13_16"/>
      <w:bookmarkStart w:id="800" w:name="Tc_EYtDgi_d8Eyg7Na7eIi0ew_13_13"/>
      <w:bookmarkStart w:id="801" w:name="Tc_k5Kjp90GIE6-Horf3mKN3w_13_10"/>
      <w:bookmarkStart w:id="802" w:name="Tc_MRBW0yC4wkagf6SC1EvEIw_13_7"/>
      <w:bookmarkStart w:id="803" w:name="Tc_1uKsHxS-JkqH6bom8gwX4A_13_4"/>
      <w:bookmarkStart w:id="804" w:name="Tc_JxC5XTKkCkipeaKUj-9krw_13_0"/>
      <w:bookmarkStart w:id="805" w:name="Tc_ndJ2OWzW6U2e0oyEVDSd6g_12_14"/>
      <w:bookmarkStart w:id="806" w:name="Tc_WKCuFKzt_0m4xMpGyC_Brw_12_11"/>
      <w:bookmarkStart w:id="807" w:name="Tc_XeyAPQ4TekKHsPE950Oc7Q_12_5"/>
      <w:bookmarkStart w:id="808" w:name="Tc_FSTZPs-5wUCI_1qFcnDM6A_12_2"/>
      <w:bookmarkStart w:id="809" w:name="Tc_W_8KtDR7XkGQa-VWqhWjuQ_12_0"/>
      <w:bookmarkStart w:id="810" w:name="Tc_nAAm1pHLjkO5bw-n6yjxZQ_11_14"/>
      <w:bookmarkStart w:id="811" w:name="Tc_dV9-uK6v5Eux5gUT7gdL9A_11_8"/>
      <w:bookmarkStart w:id="812" w:name="Tc_HXGkmzytJU6TmFTEg5PcUw_11_5"/>
      <w:bookmarkStart w:id="813" w:name="Tc_wTOfxvVMMUO-KTJKhmAakA_11_2"/>
      <w:bookmarkStart w:id="814" w:name="Tc_iLA63aGJ5kqk-lSwM1okRw_11_0"/>
      <w:bookmarkStart w:id="815" w:name="Tc_XESfHgdaO0m-x41hqOvxYQ_10_17"/>
      <w:bookmarkStart w:id="816" w:name="Tc_6y3jr7IoyEek6IZF6pd56g_10_14"/>
      <w:bookmarkStart w:id="817" w:name="Tc_MHr4gBSH8kOGHtqoDYv-uw_10_11"/>
      <w:bookmarkStart w:id="818" w:name="Tc_MPihu9T47ke8wW29uJ9R9A_10_5"/>
      <w:bookmarkStart w:id="819" w:name="Tc_7JJHqy2kDEadgs-W3GxZ0w_10_2"/>
      <w:bookmarkStart w:id="820" w:name="Tc_kYSS_BIPKkeWLTSPXfNTiw_10_0"/>
      <w:bookmarkStart w:id="821" w:name="Tc_o3uUsK3uSEKn8GDp_5eP3A_9_17"/>
      <w:bookmarkStart w:id="822" w:name="Tc_CiSkczHfgUyCgv7AUP0DlQ_9_11"/>
      <w:bookmarkStart w:id="823" w:name="Tc_B4Tw5iPuIk6fxejTrhUTwg_9_8"/>
      <w:bookmarkStart w:id="824" w:name="Tc_KpGA2Si0t0ysavcMHkeGPw_9_5"/>
      <w:bookmarkStart w:id="825" w:name="Tc_LDVyyQGWhUukZrvVVTlpHg_9_0"/>
      <w:bookmarkStart w:id="826" w:name="Tc_2_Nj6bZdGk6Y7c4BWifhxg_8_17"/>
      <w:bookmarkStart w:id="827" w:name="Tc_hXQKgQos10G01Yag8YXxZA_8_14"/>
      <w:bookmarkStart w:id="828" w:name="Tc_px3SYufogkySpxyulbgngg_8_11"/>
      <w:bookmarkStart w:id="829" w:name="Tc_NZ7Za3Kxyk21x4lT9NL1yA_8_8"/>
      <w:bookmarkStart w:id="830" w:name="Tc_ZV3fTNkYB0-HyWzeAz0-IA_8_2"/>
      <w:bookmarkStart w:id="831" w:name="Tc_gVT97DP0lkmfxas7GRvkBw_8_0"/>
      <w:bookmarkStart w:id="832" w:name="Tc_fGjppg9iJU6SoQTe2farpg_7_20"/>
      <w:bookmarkStart w:id="833" w:name="Tc_9sI4dwZkqkKBVwla4R5nEw_7_17"/>
      <w:bookmarkStart w:id="834" w:name="Tc_h25At6H9jUOzkObTyM_oow_7_14"/>
      <w:bookmarkStart w:id="835" w:name="Tc_mOV8AqZmH0So7nnmRKDYNw_7_11"/>
      <w:bookmarkStart w:id="836" w:name="Tc_bu4rON9F1UOy9kJvNXPRIQ_7_8"/>
      <w:bookmarkStart w:id="837" w:name="Tc_AgqhyxmE00KY0BKQLI0VOA_7_5"/>
      <w:bookmarkStart w:id="838" w:name="Tc_t5rnYzwwv0KLV9-3hmWIHA_7_0"/>
      <w:bookmarkStart w:id="839" w:name="Tc_DaRxhhhlNES4R4xp9PWG0Q_6_14"/>
      <w:bookmarkStart w:id="840" w:name="Tc_b4QwdiDWckuHIM9JqNId_Q_6_11"/>
      <w:bookmarkStart w:id="841" w:name="Tc_44o1HgVA7kW3gOuy7hZL6A_6_8"/>
      <w:bookmarkStart w:id="842" w:name="Tc_v8K-J3MaUkyYvTj3qw5_zA_6_5"/>
      <w:bookmarkStart w:id="843" w:name="Tc_MKH9HqoUrkiOPrKnzYaY0A_6_2"/>
      <w:bookmarkStart w:id="844" w:name="Tc_kGniPYVolkukIKi0YI1LSg_6_0"/>
      <w:bookmarkStart w:id="845" w:name="Tc_tXD6i9a-SEmsVnkKwKdfsw_5_19"/>
      <w:bookmarkStart w:id="846" w:name="Tc_kik2A2yjqUSZob8rESSIDA_5_16"/>
      <w:bookmarkStart w:id="847" w:name="Tc_JvR6hBg2q0eAcwUnHHJwKg_5_14"/>
      <w:bookmarkStart w:id="848" w:name="Tc_NkKFkEBfVk21yNZH_WKISg_5_13"/>
      <w:bookmarkStart w:id="849" w:name="Tc_QUS3iFlfQUi0ilG6TpK_tw_5_10"/>
      <w:bookmarkStart w:id="850" w:name="Tc_mh7zDk6SNk6RHqIdtBwcfw_5_7"/>
      <w:bookmarkStart w:id="851" w:name="Tc__xtjqz_TJkGQmusPEt_EiQ_5_4"/>
      <w:bookmarkStart w:id="852" w:name="Tc_8w-qr7JM_kum390eHEQ4zg_5_0"/>
      <w:bookmarkStart w:id="853" w:name="Tc_i5_yqDSA40qGYz4bWZTaXA_4_20"/>
      <w:bookmarkStart w:id="854" w:name="Tc_PCukxiM8B02SQWlaEclybw_4_17"/>
      <w:bookmarkStart w:id="855" w:name="Tc_YS77e8LW0kKR5zVnSwSQzg_4_14"/>
      <w:bookmarkStart w:id="856" w:name="Tc_Zetsctgi3ES_f40shNna0w_4_11"/>
      <w:bookmarkStart w:id="857" w:name="Tc_4I7QXpITdEWWGALSn0WYVA_4_8"/>
      <w:bookmarkStart w:id="858" w:name="Tc_qSC6PrFaYUG2FS9KoOK5uw_4_5"/>
      <w:bookmarkStart w:id="859" w:name="Tc_lpip4XlCU0OzfZUb_w6C8Q_4_2"/>
      <w:bookmarkStart w:id="860" w:name="Tc_m9nAeXSKAE6vLz5n6iRXaA_3_17"/>
      <w:bookmarkStart w:id="861" w:name="Tc_5cXnBWCyiUCACa5gVCsBtw_3_14"/>
      <w:bookmarkStart w:id="862" w:name="Tc_AU3aSSPM6kiwfLsrcB0whQ_3_11"/>
      <w:bookmarkStart w:id="863" w:name="Tc_3kRo3uDK8EeyhooFrcGSOg_3_8"/>
      <w:bookmarkStart w:id="864" w:name="Tc_-nnRpI-nu0igRwRpokPgqA_3_2"/>
      <w:bookmarkStart w:id="865" w:name="Tc_hvtm9c_F3ESfBdPwA5jCyg_2_11"/>
      <w:bookmarkStart w:id="866" w:name="Tc_eZIwt8u_RkyiMoGFlIVQnQ_2_2"/>
      <w:bookmarkStart w:id="867" w:name="_f135dd6c_a05c_4938_b9bc_070efb3fa0ca"/>
      <w:bookmarkStart w:id="868" w:name="Tc_zaoH71jYqUiYv2l2bTKsfQ_13_19"/>
      <w:bookmarkStart w:id="869" w:name="Tc_E68PeeOxIkC4linY7A-dqA_13_16"/>
      <w:bookmarkStart w:id="870" w:name="Tc_EYtDgi_d8Eyg7Na7eIi0ew_13_13"/>
      <w:bookmarkStart w:id="871" w:name="Tc_k5Kjp90GIE6-Horf3mKN3w_13_10"/>
      <w:bookmarkStart w:id="872" w:name="Tc_MRBW0yC4wkagf6SC1EvEIw_13_7"/>
      <w:bookmarkStart w:id="873" w:name="Tc_1uKsHxS-JkqH6bom8gwX4A_13_4"/>
      <w:bookmarkStart w:id="874" w:name="Tc_JxC5XTKkCkipeaKUj-9krw_13_0"/>
      <w:bookmarkStart w:id="875" w:name="Tc_ndJ2OWzW6U2e0oyEVDSd6g_12_14"/>
      <w:bookmarkStart w:id="876" w:name="Tc_WKCuFKzt_0m4xMpGyC_Brw_12_11"/>
      <w:bookmarkStart w:id="877" w:name="Tc_XeyAPQ4TekKHsPE950Oc7Q_12_5"/>
      <w:bookmarkStart w:id="878" w:name="Tc_FSTZPs-5wUCI_1qFcnDM6A_12_2"/>
      <w:bookmarkStart w:id="879" w:name="Tc_W_8KtDR7XkGQa-VWqhWjuQ_12_0"/>
      <w:bookmarkStart w:id="880" w:name="Tc_nAAm1pHLjkO5bw-n6yjxZQ_11_14"/>
      <w:bookmarkStart w:id="881" w:name="Tc_dV9-uK6v5Eux5gUT7gdL9A_11_8"/>
      <w:bookmarkStart w:id="882" w:name="Tc_HXGkmzytJU6TmFTEg5PcUw_11_5"/>
      <w:bookmarkStart w:id="883" w:name="Tc_wTOfxvVMMUO-KTJKhmAakA_11_2"/>
      <w:bookmarkStart w:id="884" w:name="Tc_iLA63aGJ5kqk-lSwM1okRw_11_0"/>
      <w:bookmarkStart w:id="885" w:name="Tc_XESfHgdaO0m-x41hqOvxYQ_10_17"/>
      <w:bookmarkStart w:id="886" w:name="Tc_6y3jr7IoyEek6IZF6pd56g_10_14"/>
      <w:bookmarkStart w:id="887" w:name="Tc_MHr4gBSH8kOGHtqoDYv-uw_10_11"/>
      <w:bookmarkStart w:id="888" w:name="Tc_MPihu9T47ke8wW29uJ9R9A_10_5"/>
      <w:bookmarkStart w:id="889" w:name="Tc_7JJHqy2kDEadgs-W3GxZ0w_10_2"/>
      <w:bookmarkStart w:id="890" w:name="Tc_kYSS_BIPKkeWLTSPXfNTiw_10_0"/>
      <w:bookmarkStart w:id="891" w:name="Tc_o3uUsK3uSEKn8GDp_5eP3A_9_17"/>
      <w:bookmarkStart w:id="892" w:name="Tc_CiSkczHfgUyCgv7AUP0DlQ_9_11"/>
      <w:bookmarkStart w:id="893" w:name="Tc_B4Tw5iPuIk6fxejTrhUTwg_9_8"/>
      <w:bookmarkStart w:id="894" w:name="Tc_KpGA2Si0t0ysavcMHkeGPw_9_5"/>
      <w:bookmarkStart w:id="895" w:name="Tc_LDVyyQGWhUukZrvVVTlpHg_9_0"/>
      <w:bookmarkStart w:id="896" w:name="Tc_2_Nj6bZdGk6Y7c4BWifhxg_8_17"/>
      <w:bookmarkStart w:id="897" w:name="Tc_hXQKgQos10G01Yag8YXxZA_8_14"/>
      <w:bookmarkStart w:id="898" w:name="Tc_px3SYufogkySpxyulbgngg_8_11"/>
      <w:bookmarkStart w:id="899" w:name="Tc_NZ7Za3Kxyk21x4lT9NL1yA_8_8"/>
      <w:bookmarkStart w:id="900" w:name="Tc_ZV3fTNkYB0-HyWzeAz0-IA_8_2"/>
      <w:bookmarkStart w:id="901" w:name="Tc_gVT97DP0lkmfxas7GRvkBw_8_0"/>
      <w:bookmarkStart w:id="902" w:name="Tc_fGjppg9iJU6SoQTe2farpg_7_20"/>
      <w:bookmarkStart w:id="903" w:name="Tc_9sI4dwZkqkKBVwla4R5nEw_7_17"/>
      <w:bookmarkStart w:id="904" w:name="Tc_h25At6H9jUOzkObTyM_oow_7_14"/>
      <w:bookmarkStart w:id="905" w:name="Tc_mOV8AqZmH0So7nnmRKDYNw_7_11"/>
      <w:bookmarkStart w:id="906" w:name="Tc_bu4rON9F1UOy9kJvNXPRIQ_7_8"/>
      <w:bookmarkStart w:id="907" w:name="Tc_AgqhyxmE00KY0BKQLI0VOA_7_5"/>
      <w:bookmarkStart w:id="908" w:name="Tc_t5rnYzwwv0KLV9-3hmWIHA_7_0"/>
      <w:bookmarkStart w:id="909" w:name="Tc_DaRxhhhlNES4R4xp9PWG0Q_6_14"/>
      <w:bookmarkStart w:id="910" w:name="Tc_b4QwdiDWckuHIM9JqNId_Q_6_11"/>
      <w:bookmarkStart w:id="911" w:name="Tc_44o1HgVA7kW3gOuy7hZL6A_6_8"/>
      <w:bookmarkStart w:id="912" w:name="Tc_v8K-J3MaUkyYvTj3qw5_zA_6_5"/>
      <w:bookmarkStart w:id="913" w:name="Tc_MKH9HqoUrkiOPrKnzYaY0A_6_2"/>
      <w:bookmarkStart w:id="914" w:name="Tc_kGniPYVolkukIKi0YI1LSg_6_0"/>
      <w:bookmarkStart w:id="915" w:name="Tc_tXD6i9a-SEmsVnkKwKdfsw_5_19"/>
      <w:bookmarkStart w:id="916" w:name="Tc_kik2A2yjqUSZob8rESSIDA_5_16"/>
      <w:bookmarkStart w:id="917" w:name="Tc_JvR6hBg2q0eAcwUnHHJwKg_5_14"/>
      <w:bookmarkStart w:id="918" w:name="Tc_NkKFkEBfVk21yNZH_WKISg_5_13"/>
      <w:bookmarkStart w:id="919" w:name="Tc_QUS3iFlfQUi0ilG6TpK_tw_5_10"/>
      <w:bookmarkStart w:id="920" w:name="Tc_mh7zDk6SNk6RHqIdtBwcfw_5_7"/>
      <w:bookmarkStart w:id="921" w:name="Tc__xtjqz_TJkGQmusPEt_EiQ_5_4"/>
      <w:bookmarkStart w:id="922" w:name="Tc_8w-qr7JM_kum390eHEQ4zg_5_0"/>
      <w:bookmarkStart w:id="923" w:name="Tc_i5_yqDSA40qGYz4bWZTaXA_4_20"/>
      <w:bookmarkStart w:id="924" w:name="Tc_PCukxiM8B02SQWlaEclybw_4_17"/>
      <w:bookmarkStart w:id="925" w:name="Tc_YS77e8LW0kKR5zVnSwSQzg_4_14"/>
      <w:bookmarkStart w:id="926" w:name="Tc_Zetsctgi3ES_f40shNna0w_4_11"/>
      <w:bookmarkStart w:id="927" w:name="Tc_4I7QXpITdEWWGALSn0WYVA_4_8"/>
      <w:bookmarkStart w:id="928" w:name="Tc_qSC6PrFaYUG2FS9KoOK5uw_4_5"/>
      <w:bookmarkStart w:id="929" w:name="Tc_lpip4XlCU0OzfZUb_w6C8Q_4_2"/>
      <w:bookmarkStart w:id="930" w:name="Tc_m9nAeXSKAE6vLz5n6iRXaA_3_17"/>
      <w:bookmarkStart w:id="931" w:name="Tc_5cXnBWCyiUCACa5gVCsBtw_3_14"/>
      <w:bookmarkStart w:id="932" w:name="Tc_AU3aSSPM6kiwfLsrcB0whQ_3_11"/>
      <w:bookmarkStart w:id="933" w:name="Tc_3kRo3uDK8EeyhooFrcGSOg_3_8"/>
      <w:bookmarkStart w:id="934" w:name="Tc_-nnRpI-nu0igRwRpokPgqA_3_2"/>
      <w:bookmarkStart w:id="935" w:name="Tc_hvtm9c_F3ESfBdPwA5jCyg_2_11"/>
      <w:bookmarkStart w:id="936" w:name="Tc_eZIwt8u_RkyiMoGFlIVQnQ_2_2"/>
      <w:bookmarkStart w:id="937" w:name="_f135dd6c_a05c_4938_b9bc_070efb3fa0ca"/>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tbl>
      <w:tblPr>
        <w:tblW w:w="12831" w:type="dxa"/>
        <w:jc w:val="left"/>
        <w:tblInd w:w="0" w:type="dxa"/>
        <w:tblLayout w:type="fixed"/>
        <w:tblCellMar>
          <w:top w:w="0" w:type="dxa"/>
          <w:left w:w="0" w:type="dxa"/>
          <w:bottom w:w="0" w:type="dxa"/>
          <w:right w:w="0" w:type="dxa"/>
        </w:tblCellMar>
      </w:tblPr>
      <w:tblGrid>
        <w:gridCol w:w="1741"/>
        <w:gridCol w:w="346"/>
        <w:gridCol w:w="1036"/>
        <w:gridCol w:w="346"/>
        <w:gridCol w:w="346"/>
        <w:gridCol w:w="781"/>
        <w:gridCol w:w="346"/>
        <w:gridCol w:w="346"/>
        <w:gridCol w:w="781"/>
        <w:gridCol w:w="346"/>
        <w:gridCol w:w="211"/>
        <w:gridCol w:w="1216"/>
        <w:gridCol w:w="346"/>
        <w:gridCol w:w="346"/>
        <w:gridCol w:w="766"/>
        <w:gridCol w:w="346"/>
        <w:gridCol w:w="346"/>
        <w:gridCol w:w="1261"/>
        <w:gridCol w:w="346"/>
        <w:gridCol w:w="346"/>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105535" cy="175260"/>
                      <wp:effectExtent l="0" t="0" r="0" b="0"/>
                      <wp:wrapNone/>
                      <wp:docPr id="105" name="Frame10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57860" cy="175260"/>
                      <wp:effectExtent l="0" t="0" r="0" b="0"/>
                      <wp:wrapNone/>
                      <wp:docPr id="107" name="Frame1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72160" cy="175260"/>
                      <wp:effectExtent l="0" t="0" r="0" b="0"/>
                      <wp:wrapNone/>
                      <wp:docPr id="116" name="Frame116"/>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86410" cy="175260"/>
                      <wp:effectExtent l="0" t="0" r="0" b="0"/>
                      <wp:wrapNone/>
                      <wp:docPr id="119" name="Frame11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00735" cy="175260"/>
                      <wp:effectExtent l="0" t="0" r="0" b="0"/>
                      <wp:wrapNone/>
                      <wp:docPr id="122" name="Frame12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62610" cy="175260"/>
                      <wp:effectExtent l="0" t="0" r="0" b="0"/>
                      <wp:wrapNone/>
                      <wp:docPr id="125" name="Frame12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58,326,521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268,668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454,193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1,419</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12,455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736,735</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distributions to non-controlling interest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Issuance of restricted stock</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19,408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 based compensation expense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Repurchase of common stock, including excise tax</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(359,014)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(16,336)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(16,336)</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Dividends ($0.28</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(16,287)</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comprehensive loss,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(loss)</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46,442</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57,986,915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269,283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484,891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(16,336)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11,186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749,950</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38" w:name="_7c5eef0a_671c_462e_864f_d98e173770dc"/>
      <w:bookmarkEnd w:id="938"/>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939" w:name="CONDENSEDCONSOLIDATEDSTATEMENTSOFCASHFLO"/>
      <w:bookmarkEnd w:id="939"/>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18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940" w:name="Tc_Ciwd9O5Ee0-g7_a9Fv804g_43_5"/>
      <w:bookmarkStart w:id="941" w:name="Tc_aN0JVFlhmUamolBYR1nhdw_43_2"/>
      <w:bookmarkStart w:id="942" w:name="Tc_OpSm-yqm-0COypDDO9eXfw_43_0"/>
      <w:bookmarkStart w:id="943" w:name="Tc_f3089nZ5LUGpKrVQ-AWpag_42_0"/>
      <w:bookmarkStart w:id="944" w:name="Tc_bTDL30ZTfUm6wg5YuHz8Fw_41_0"/>
      <w:bookmarkStart w:id="945" w:name="Tc_9gx5VDNwjkaHuu2Kd59H8g_40_0"/>
      <w:bookmarkStart w:id="946" w:name="Tc_VhdBD8a5nk-5gWeYW2DMpQ_39_3"/>
      <w:bookmarkStart w:id="947" w:name="Tc_yqu51G-IKEiR4EbhmQrJpQ_39_0"/>
      <w:bookmarkStart w:id="948" w:name="Tc_XN90ureNo0qV36HMXSWToA_38_0"/>
      <w:bookmarkStart w:id="949" w:name="Tc_q7Xaak61S0WPdrxT2WHVKw_37_0"/>
      <w:bookmarkStart w:id="950" w:name="Tc_xHWk7p7UZEK9fQnk_E8uEg_36_3"/>
      <w:bookmarkStart w:id="951" w:name="Tc_P15fu-OGxEiH1YdGxblEYA_36_0"/>
      <w:bookmarkStart w:id="952" w:name="Tc_xMSeVkzSGU27ux70gU66jg_35_0"/>
      <w:bookmarkStart w:id="953" w:name="Tc_fATZQHbNpkuLeg7_VMNakg_34_6"/>
      <w:bookmarkStart w:id="954" w:name="Tc_fx4Thlw6UEqDtm97DpPQ4Q_34_0"/>
      <w:bookmarkStart w:id="955" w:name="Tc_W5ut_nCkMUuuXc2zMP1_ZA_33_0"/>
      <w:bookmarkStart w:id="956" w:name="Tc_40eUuK3HfU6vPbT6ewds_w_32_0"/>
      <w:bookmarkStart w:id="957" w:name="Tc_meSBkixSSU2tSjiV5Jy2zw_31_6"/>
      <w:bookmarkStart w:id="958" w:name="Tc_qG0Nifn6Vke-KOuMlKOmog_31_0"/>
      <w:bookmarkStart w:id="959" w:name="Tc_zqm2f4iTFkmq4HrlXXBrgA_30_0"/>
      <w:bookmarkStart w:id="960" w:name="Tc_7AaKISpbKE6YTOonXHiF0w_29_0"/>
      <w:bookmarkStart w:id="961" w:name="Tc_OCIfoXIoq0mdLKCAF0S8eQ_28_0"/>
      <w:bookmarkStart w:id="962" w:name="Tc_LEvN7L7LZUuXGGuapVzVaQ_27_0"/>
      <w:bookmarkStart w:id="963" w:name="Tc_Aq84GRhlQUmfF-v5FtxJDw_26_0"/>
      <w:bookmarkStart w:id="964" w:name="Tc_XRt1ipevyka4iEEnyUrCTA_25_0"/>
      <w:bookmarkStart w:id="965" w:name="Tc_4IGvjTvdgkeVujia3_BKIQ_24_0"/>
      <w:bookmarkStart w:id="966" w:name="Tc_GjC_25s9wUGGzX4DBCKJhw_23_0"/>
      <w:bookmarkStart w:id="967" w:name="Tc_7ZSOJjz9tUmZ7g2uN-fJww_22_0"/>
      <w:bookmarkStart w:id="968" w:name="Tc_WKbIW2WJmE63U-L7uyVlPA_21_0"/>
      <w:bookmarkStart w:id="969" w:name="Tc_NUhJ2v8gtUanDeXQiMOVOg_20_0"/>
      <w:bookmarkStart w:id="970" w:name="Tc_7a0Alozs5EOWlPpXSfs9jQ_19_0"/>
      <w:bookmarkStart w:id="971" w:name="Tc_tONmhwT3k0CfUBUfCQihpA_18_0"/>
      <w:bookmarkStart w:id="972" w:name="Tc_le7HUUoj6ECaK1JtbHY23Q_17_0"/>
      <w:bookmarkStart w:id="973" w:name="Tc_oX_02xnhp0mbz1-K3IfToA_16_0"/>
      <w:bookmarkStart w:id="974" w:name="Tc_abDc61M6A0KrKgsTtbS6dQ_15_0"/>
      <w:bookmarkStart w:id="975" w:name="Tc_PY1ByUBEgUOEa83wczftxQ_14_0"/>
      <w:bookmarkStart w:id="976" w:name="Tc_4mACWwQ6BkC3klObJWFRjg_13_0"/>
      <w:bookmarkStart w:id="977" w:name="Tc_irOhjKEKcE60QBzoxe-bXg_12_0"/>
      <w:bookmarkStart w:id="978" w:name="Tc_Q3Ties5drEqQXcbTh2C97w_11_0"/>
      <w:bookmarkStart w:id="979" w:name="Tc_WS4CbfujckiKMBqrL9odxg_10_0"/>
      <w:bookmarkStart w:id="980" w:name="Tc_7j6LLP0gyk6q4mS9VLFpgA_9_0"/>
      <w:bookmarkStart w:id="981" w:name="Tc_UX7Y3cQqTk-15dW-r3WPuQ_8_0"/>
      <w:bookmarkStart w:id="982" w:name="Tc_2ACqdYBJL0yLEEvGY33Amw_7_0"/>
      <w:bookmarkStart w:id="983" w:name="Tc_ITH4ng3wqEO9a6l-bW6piA_6_0"/>
      <w:bookmarkStart w:id="984" w:name="Tc_OGedVChzXkWQwfcyF15QQA_5_5"/>
      <w:bookmarkStart w:id="985" w:name="Tc_EQ-bDmUqwky4AsKnaTpBWQ_5_2"/>
      <w:bookmarkStart w:id="986" w:name="Tc_CoY3n7dNVEarvPfbGPtCew_5_0"/>
      <w:bookmarkStart w:id="987" w:name="Tc_aHg2DS69h060-_EB_xzmMA_4_0"/>
      <w:bookmarkStart w:id="988" w:name="Tc_YQOzsrJMIkKqyQiZKBK9Fg_3_5"/>
      <w:bookmarkStart w:id="989" w:name="Tc__6P4trtPvk2lNcQvnvGqbw_3_2"/>
      <w:bookmarkStart w:id="990" w:name="Tc_S2c0bUDQzUKqix_zmPXeJg_2_2"/>
      <w:bookmarkStart w:id="991" w:name="Tc_StYFHHHt60-XVFQGSKLnpA_1_2"/>
      <w:bookmarkStart w:id="992" w:name="_d17cff4d_1d28_4c3b_b202_035e0e5a19d8"/>
      <w:bookmarkStart w:id="993" w:name="Tc_Ciwd9O5Ee0-g7_a9Fv804g_43_5"/>
      <w:bookmarkStart w:id="994" w:name="Tc_aN0JVFlhmUamolBYR1nhdw_43_2"/>
      <w:bookmarkStart w:id="995" w:name="Tc_OpSm-yqm-0COypDDO9eXfw_43_0"/>
      <w:bookmarkStart w:id="996" w:name="Tc_f3089nZ5LUGpKrVQ-AWpag_42_0"/>
      <w:bookmarkStart w:id="997" w:name="Tc_bTDL30ZTfUm6wg5YuHz8Fw_41_0"/>
      <w:bookmarkStart w:id="998" w:name="Tc_9gx5VDNwjkaHuu2Kd59H8g_40_0"/>
      <w:bookmarkStart w:id="999" w:name="Tc_VhdBD8a5nk-5gWeYW2DMpQ_39_3"/>
      <w:bookmarkStart w:id="1000" w:name="Tc_yqu51G-IKEiR4EbhmQrJpQ_39_0"/>
      <w:bookmarkStart w:id="1001" w:name="Tc_XN90ureNo0qV36HMXSWToA_38_0"/>
      <w:bookmarkStart w:id="1002" w:name="Tc_q7Xaak61S0WPdrxT2WHVKw_37_0"/>
      <w:bookmarkStart w:id="1003" w:name="Tc_xHWk7p7UZEK9fQnk_E8uEg_36_3"/>
      <w:bookmarkStart w:id="1004" w:name="Tc_P15fu-OGxEiH1YdGxblEYA_36_0"/>
      <w:bookmarkStart w:id="1005" w:name="Tc_xMSeVkzSGU27ux70gU66jg_35_0"/>
      <w:bookmarkStart w:id="1006" w:name="Tc_fATZQHbNpkuLeg7_VMNakg_34_6"/>
      <w:bookmarkStart w:id="1007" w:name="Tc_fx4Thlw6UEqDtm97DpPQ4Q_34_0"/>
      <w:bookmarkStart w:id="1008" w:name="Tc_W5ut_nCkMUuuXc2zMP1_ZA_33_0"/>
      <w:bookmarkStart w:id="1009" w:name="Tc_40eUuK3HfU6vPbT6ewds_w_32_0"/>
      <w:bookmarkStart w:id="1010" w:name="Tc_meSBkixSSU2tSjiV5Jy2zw_31_6"/>
      <w:bookmarkStart w:id="1011" w:name="Tc_qG0Nifn6Vke-KOuMlKOmog_31_0"/>
      <w:bookmarkStart w:id="1012" w:name="Tc_zqm2f4iTFkmq4HrlXXBrgA_30_0"/>
      <w:bookmarkStart w:id="1013" w:name="Tc_7AaKISpbKE6YTOonXHiF0w_29_0"/>
      <w:bookmarkStart w:id="1014" w:name="Tc_OCIfoXIoq0mdLKCAF0S8eQ_28_0"/>
      <w:bookmarkStart w:id="1015" w:name="Tc_LEvN7L7LZUuXGGuapVzVaQ_27_0"/>
      <w:bookmarkStart w:id="1016" w:name="Tc_Aq84GRhlQUmfF-v5FtxJDw_26_0"/>
      <w:bookmarkStart w:id="1017" w:name="Tc_XRt1ipevyka4iEEnyUrCTA_25_0"/>
      <w:bookmarkStart w:id="1018" w:name="Tc_4IGvjTvdgkeVujia3_BKIQ_24_0"/>
      <w:bookmarkStart w:id="1019" w:name="Tc_GjC_25s9wUGGzX4DBCKJhw_23_0"/>
      <w:bookmarkStart w:id="1020" w:name="Tc_7ZSOJjz9tUmZ7g2uN-fJww_22_0"/>
      <w:bookmarkStart w:id="1021" w:name="Tc_WKbIW2WJmE63U-L7uyVlPA_21_0"/>
      <w:bookmarkStart w:id="1022" w:name="Tc_NUhJ2v8gtUanDeXQiMOVOg_20_0"/>
      <w:bookmarkStart w:id="1023" w:name="Tc_7a0Alozs5EOWlPpXSfs9jQ_19_0"/>
      <w:bookmarkStart w:id="1024" w:name="Tc_tONmhwT3k0CfUBUfCQihpA_18_0"/>
      <w:bookmarkStart w:id="1025" w:name="Tc_le7HUUoj6ECaK1JtbHY23Q_17_0"/>
      <w:bookmarkStart w:id="1026" w:name="Tc_oX_02xnhp0mbz1-K3IfToA_16_0"/>
      <w:bookmarkStart w:id="1027" w:name="Tc_abDc61M6A0KrKgsTtbS6dQ_15_0"/>
      <w:bookmarkStart w:id="1028" w:name="Tc_PY1ByUBEgUOEa83wczftxQ_14_0"/>
      <w:bookmarkStart w:id="1029" w:name="Tc_4mACWwQ6BkC3klObJWFRjg_13_0"/>
      <w:bookmarkStart w:id="1030" w:name="Tc_irOhjKEKcE60QBzoxe-bXg_12_0"/>
      <w:bookmarkStart w:id="1031" w:name="Tc_Q3Ties5drEqQXcbTh2C97w_11_0"/>
      <w:bookmarkStart w:id="1032" w:name="Tc_WS4CbfujckiKMBqrL9odxg_10_0"/>
      <w:bookmarkStart w:id="1033" w:name="Tc_7j6LLP0gyk6q4mS9VLFpgA_9_0"/>
      <w:bookmarkStart w:id="1034" w:name="Tc_UX7Y3cQqTk-15dW-r3WPuQ_8_0"/>
      <w:bookmarkStart w:id="1035" w:name="Tc_2ACqdYBJL0yLEEvGY33Amw_7_0"/>
      <w:bookmarkStart w:id="1036" w:name="Tc_ITH4ng3wqEO9a6l-bW6piA_6_0"/>
      <w:bookmarkStart w:id="1037" w:name="Tc_OGedVChzXkWQwfcyF15QQA_5_5"/>
      <w:bookmarkStart w:id="1038" w:name="Tc_EQ-bDmUqwky4AsKnaTpBWQ_5_2"/>
      <w:bookmarkStart w:id="1039" w:name="Tc_CoY3n7dNVEarvPfbGPtCew_5_0"/>
      <w:bookmarkStart w:id="1040" w:name="Tc_aHg2DS69h060-_EB_xzmMA_4_0"/>
      <w:bookmarkStart w:id="1041" w:name="Tc_YQOzsrJMIkKqyQiZKBK9Fg_3_5"/>
      <w:bookmarkStart w:id="1042" w:name="Tc__6P4trtPvk2lNcQvnvGqbw_3_2"/>
      <w:bookmarkStart w:id="1043" w:name="Tc_S2c0bUDQzUKqix_zmPXeJg_2_2"/>
      <w:bookmarkStart w:id="1044" w:name="Tc_StYFHHHt60-XVFQGSKLnpA_1_2"/>
      <w:bookmarkStart w:id="1045" w:name="_d17cff4d_1d28_4c3b_b202_035e0e5a19d8"/>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p>
    <w:tbl>
      <w:tblPr>
        <w:tblW w:w="8362" w:type="dxa"/>
        <w:jc w:val="left"/>
        <w:tblInd w:w="0" w:type="dxa"/>
        <w:tblLayout w:type="fixed"/>
        <w:tblCellMar>
          <w:top w:w="0" w:type="dxa"/>
          <w:left w:w="0" w:type="dxa"/>
          <w:bottom w:w="0" w:type="dxa"/>
          <w:right w:w="0" w:type="dxa"/>
        </w:tblCellMar>
      </w:tblPr>
      <w:tblGrid>
        <w:gridCol w:w="5791"/>
        <w:gridCol w:w="346"/>
        <w:gridCol w:w="196"/>
        <w:gridCol w:w="721"/>
        <w:gridCol w:w="346"/>
        <w:gridCol w:w="196"/>
        <w:gridCol w:w="76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77285" cy="175260"/>
                      <wp:effectExtent l="0" t="0" r="0" b="0"/>
                      <wp:wrapNone/>
                      <wp:docPr id="126" name="Frame126"/>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4460" cy="175260"/>
                      <wp:effectExtent l="0" t="0" r="0" b="0"/>
                      <wp:wrapNone/>
                      <wp:docPr id="128" name="Frame1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57835" cy="175260"/>
                      <wp:effectExtent l="0" t="0" r="0" b="0"/>
                      <wp:wrapNone/>
                      <wp:docPr id="129" name="Frame12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4460" cy="175260"/>
                      <wp:effectExtent l="0" t="0" r="0" b="0"/>
                      <wp:wrapNone/>
                      <wp:docPr id="131" name="Frame1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86410" cy="175260"/>
                      <wp:effectExtent l="0" t="0" r="0" b="0"/>
                      <wp:wrapNone/>
                      <wp:docPr id="132" name="Frame13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46,442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depletion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24,117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in income from unconsolidated joint ventures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(17,705)</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 of earnings from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13,466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real estate sold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39,562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Expenditures for and acquisition of real estate to be sold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(54,957)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income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(964)</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extinguishment of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(2,078)</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10,599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86,179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60,079</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Expenditures for operating property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(11,751)</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Expenditures for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disposition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contributions to unconsolidated joint ventures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Maturities of assets held by special purpose entities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(18,875)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(15,904)</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contributions from non-controlling 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distributions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 including excise tax</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(16,257)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taxes withheld on vested restricted stock awards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(16,293)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Borrowings on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27,832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payments for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(38,035)</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payments for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(79,199)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(43,668)</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(decrease) 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(11,895)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507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at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136,511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96,316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at end of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124,616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96,823</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46" w:name="_96ed9585_5d9d_4c1b_a867_f62bb1f1fdbf"/>
      <w:bookmarkEnd w:id="1046"/>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SUPPLEMENTAL DISCLOSURES OF CASH FLOW INFORMATION</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amounts shown in the condensed consolidated statements of cash flows.</w:t>
      </w:r>
    </w:p>
    <w:p>
      <w:pPr>
        <w:pStyle w:val="Normal"/>
        <w:bidi w:val="0"/>
        <w:spacing w:before="0" w:after="0"/>
        <w:jc w:val="left"/>
        <w:rPr>
          <w:sz w:val="4"/>
          <w:szCs w:val="4"/>
        </w:rPr>
      </w:pPr>
      <w:r>
        <w:rPr>
          <w:sz w:val="4"/>
          <w:szCs w:val="4"/>
        </w:rPr>
      </w:r>
      <w:bookmarkStart w:id="1047" w:name="Tc_l7rsJGA4LUyQWg_X40xiNg_6_5"/>
      <w:bookmarkStart w:id="1048" w:name="Tc_4S8GpBOKB0Gm3guOrMkkDg_6_2"/>
      <w:bookmarkStart w:id="1049" w:name="Tc_OPLDB53Ey0SNaQc90Uk6KA_6_0"/>
      <w:bookmarkStart w:id="1050" w:name="Tc_MBSRfPjXgEC7ng8dgjFfsA_4_5"/>
      <w:bookmarkStart w:id="1051" w:name="Tc_DX38GleLS0GGzp2E9essFQ_4_2"/>
      <w:bookmarkStart w:id="1052" w:name="Tc_iJK9y6hFdUqdsBKaJSehqA_4_0"/>
      <w:bookmarkStart w:id="1053" w:name="Tc_QxXVC2DP6UahtI-iENXmHw_3_5"/>
      <w:bookmarkStart w:id="1054" w:name="Tc_ifVVXavuME6dZp7pX_vFYA_3_2"/>
      <w:bookmarkStart w:id="1055" w:name="Tc_Csfr2EfdH0KZ17LKNqPnYA_2_5"/>
      <w:bookmarkStart w:id="1056" w:name="Tc_OKMZjCrsNUmq3Tnn1X3lgg_2_2"/>
      <w:bookmarkStart w:id="1057" w:name="_9a1ea63c_6111_433b_a9c1_e29a68b55866"/>
      <w:bookmarkStart w:id="1058" w:name="Tc_l7rsJGA4LUyQWg_X40xiNg_6_5"/>
      <w:bookmarkStart w:id="1059" w:name="Tc_4S8GpBOKB0Gm3guOrMkkDg_6_2"/>
      <w:bookmarkStart w:id="1060" w:name="Tc_OPLDB53Ey0SNaQc90Uk6KA_6_0"/>
      <w:bookmarkStart w:id="1061" w:name="Tc_MBSRfPjXgEC7ng8dgjFfsA_4_5"/>
      <w:bookmarkStart w:id="1062" w:name="Tc_DX38GleLS0GGzp2E9essFQ_4_2"/>
      <w:bookmarkStart w:id="1063" w:name="Tc_iJK9y6hFdUqdsBKaJSehqA_4_0"/>
      <w:bookmarkStart w:id="1064" w:name="Tc_QxXVC2DP6UahtI-iENXmHw_3_5"/>
      <w:bookmarkStart w:id="1065" w:name="Tc_ifVVXavuME6dZp7pX_vFYA_3_2"/>
      <w:bookmarkStart w:id="1066" w:name="Tc_Csfr2EfdH0KZ17LKNqPnYA_2_5"/>
      <w:bookmarkStart w:id="1067" w:name="Tc_OKMZjCrsNUmq3Tnn1X3lgg_2_2"/>
      <w:bookmarkStart w:id="1068" w:name="_9a1ea63c_6111_433b_a9c1_e29a68b55866"/>
      <w:bookmarkEnd w:id="1058"/>
      <w:bookmarkEnd w:id="1059"/>
      <w:bookmarkEnd w:id="1060"/>
      <w:bookmarkEnd w:id="1061"/>
      <w:bookmarkEnd w:id="1062"/>
      <w:bookmarkEnd w:id="1063"/>
      <w:bookmarkEnd w:id="1064"/>
      <w:bookmarkEnd w:id="1065"/>
      <w:bookmarkEnd w:id="1066"/>
      <w:bookmarkEnd w:id="1067"/>
      <w:bookmarkEnd w:id="1068"/>
    </w:p>
    <w:tbl>
      <w:tblPr>
        <w:tblW w:w="10205" w:type="dxa"/>
        <w:jc w:val="left"/>
        <w:tblInd w:w="0" w:type="dxa"/>
        <w:tblLayout w:type="fixed"/>
        <w:tblCellMar>
          <w:top w:w="0" w:type="dxa"/>
          <w:left w:w="0" w:type="dxa"/>
          <w:bottom w:w="0" w:type="dxa"/>
          <w:right w:w="0" w:type="dxa"/>
        </w:tblCellMar>
      </w:tblPr>
      <w:tblGrid>
        <w:gridCol w:w="7529"/>
        <w:gridCol w:w="346"/>
        <w:gridCol w:w="211"/>
        <w:gridCol w:w="781"/>
        <w:gridCol w:w="346"/>
        <w:gridCol w:w="211"/>
        <w:gridCol w:w="781"/>
      </w:tblGrid>
      <w:tr>
        <w:trPr/>
        <w:tc>
          <w:tcPr>
            <w:tcW w:w="7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780915" cy="175260"/>
                      <wp:effectExtent l="0" t="0" r="0" b="0"/>
                      <wp:wrapNone/>
                      <wp:docPr id="133" name="Frame133"/>
                      <a:graphic xmlns:a="http://schemas.openxmlformats.org/drawingml/2006/main">
                        <a:graphicData uri="http://schemas.microsoft.com/office/word/2010/wordprocessingShape">
                          <wps:wsp>
                            <wps:cNvSpPr txBox="1"/>
                            <wps:spPr>
                              <a:xfrm>
                                <a:off x="0" y="0"/>
                                <a:ext cx="4780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95935" cy="175260"/>
                      <wp:effectExtent l="0" t="0" r="0" b="0"/>
                      <wp:wrapNone/>
                      <wp:docPr id="136" name="Frame1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95935" cy="175260"/>
                      <wp:effectExtent l="0" t="0" r="0" b="0"/>
                      <wp:wrapNone/>
                      <wp:docPr id="139" name="Frame1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7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117,315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88,158</w:t>
            </w:r>
          </w:p>
        </w:tc>
      </w:tr>
      <w:tr>
        <w:trPr/>
        <w:tc>
          <w:tcPr>
            <w:tcW w:w="75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included in 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8,665</w:t>
            </w:r>
          </w:p>
        </w:tc>
      </w:tr>
      <w:tr>
        <w:trPr/>
        <w:tc>
          <w:tcPr>
            <w:tcW w:w="75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 shown in the accompanying condensed consolidated statements of cash flows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124,616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96,823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Restricted cash includes amounts reserved as a requirement of financing, development for certain of the Company’s projects or long-term mitigation bank management.</w:t>
      </w:r>
    </w:p>
    <w:p>
      <w:pPr>
        <w:pStyle w:val="Normal"/>
        <w:bidi w:val="0"/>
        <w:spacing w:before="0" w:after="0"/>
        <w:jc w:val="left"/>
        <w:rPr>
          <w:sz w:val="4"/>
          <w:szCs w:val="4"/>
        </w:rPr>
      </w:pPr>
      <w:r>
        <w:rPr>
          <w:sz w:val="4"/>
          <w:szCs w:val="4"/>
        </w:rPr>
      </w:r>
      <w:bookmarkStart w:id="1069" w:name="Tc_2qCGEPkfdkCCfsFRhSyRIA_17_5"/>
      <w:bookmarkStart w:id="1070" w:name="Tc_eWUcEjvzwkaT13tLFJYptA_17_2"/>
      <w:bookmarkStart w:id="1071" w:name="Tc_G0yx5Roin0698EOXWGORWg_17_0"/>
      <w:bookmarkStart w:id="1072" w:name="Tc_Wisqw0d1u0e9oQm0_JWRpw_16_5"/>
      <w:bookmarkStart w:id="1073" w:name="Tc_cs6UonxWe02mkDrBq9RlNQ_16_2"/>
      <w:bookmarkStart w:id="1074" w:name="Tc_rdqJ1Lv2x0WmDbG_Ztu1tQ_16_0"/>
      <w:bookmarkStart w:id="1075" w:name="Tc_vAjNe8vmVk-14-6ns8Lcmg_15_5"/>
      <w:bookmarkStart w:id="1076" w:name="Tc_9d5yFI-i4EO5iRnLx_c42g_15_2"/>
      <w:bookmarkStart w:id="1077" w:name="Tc_CA9My72M1U-r7NpsvMZtWw_15_0"/>
      <w:bookmarkStart w:id="1078" w:name="Tc__EWEA77vnU6Pm_yGYo8tRQ_14_5"/>
      <w:bookmarkStart w:id="1079" w:name="Tc_qoR9A9n2VEu5Y8aiJl6WMQ_14_2"/>
      <w:bookmarkStart w:id="1080" w:name="Tc_XeVqEFFKHkK9F71xDn6wIg_14_0"/>
      <w:bookmarkStart w:id="1081" w:name="Tc_vsdf4b-oyUqNZfipfJg_HA_13_5"/>
      <w:bookmarkStart w:id="1082" w:name="Tc__2fQHnzBy0GiSLgbEIgtvQ_13_2"/>
      <w:bookmarkStart w:id="1083" w:name="Tc_Cnlz1iIFtUKdiT_13V8ZEg_13_0"/>
      <w:bookmarkStart w:id="1084" w:name="Tc_8ktIz0p_6E6JM9LTbn4jNQ_12_6"/>
      <w:bookmarkStart w:id="1085" w:name="Tc_PoPxipWqmEyBeAA3QMmjcA_12_5"/>
      <w:bookmarkStart w:id="1086" w:name="Tc_TTziYp4i3UGMDltQx9oXZg_12_2"/>
      <w:bookmarkStart w:id="1087" w:name="Tc_2aUdSaAbQEO1PrMaBDN4bw_12_0"/>
      <w:bookmarkStart w:id="1088" w:name="Tc_mVxV9_K4hUSHHpWVSmDyqw_11_5"/>
      <w:bookmarkStart w:id="1089" w:name="Tc_dU5_qbCTyUm340HDjaYKZQ_11_2"/>
      <w:bookmarkStart w:id="1090" w:name="Tc_R4Rmlyj8KEyoUahuunfxsA_11_0"/>
      <w:bookmarkStart w:id="1091" w:name="Tc_LLwD2-tcO0ueDduYkCVLew_10_5"/>
      <w:bookmarkStart w:id="1092" w:name="Tc_AEzO0vHytEiscMPX5DwGVQ_10_2"/>
      <w:bookmarkStart w:id="1093" w:name="Tc_lo6zC0Xqp0-ID7I4yu5K_g_10_0"/>
      <w:bookmarkStart w:id="1094" w:name="Tc_WSOJT3MVVkWEU9W5jHdOGw_9_0"/>
      <w:bookmarkStart w:id="1095" w:name="Tc_t-AeyQ4WvEqBFkGEObTC5A_7_5"/>
      <w:bookmarkStart w:id="1096" w:name="Tc_CSU40GEUR0yoAjwGTq-jQQ_7_2"/>
      <w:bookmarkStart w:id="1097" w:name="Tc_56YfR6ck90mbhou0ZqD_jw_7_0"/>
      <w:bookmarkStart w:id="1098" w:name="Tc_YUmKCNMJKE6iLtlK9Kwu-g_6_5"/>
      <w:bookmarkStart w:id="1099" w:name="Tc_rTqafRu6vk26sx2HzPii8w_6_2"/>
      <w:bookmarkStart w:id="1100" w:name="Tc_apOYihMljkekFlSbE_R15Q_6_0"/>
      <w:bookmarkStart w:id="1101" w:name="Tc_ZjrFNr7ueUWG3lIXz14Bmw_5_5"/>
      <w:bookmarkStart w:id="1102" w:name="Tc_JNDKO77r102lOvChLpkJyA_5_2"/>
      <w:bookmarkStart w:id="1103" w:name="Tc_8UEkZ9ALHUez3KFfvZBDfA_5_0"/>
      <w:bookmarkStart w:id="1104" w:name="Tc_XTtwp_QyREa50JIScwM7tg_4_0"/>
      <w:bookmarkStart w:id="1105" w:name="Tc_jOkW8wPxp0yxPiMsfJyCkg_3_5"/>
      <w:bookmarkStart w:id="1106" w:name="Tc_UKB49UyPW0mSBe1knSZ2bw_3_3"/>
      <w:bookmarkStart w:id="1107" w:name="Tc_FdqlqBayfECCXYn5GFdCOQ_2_2"/>
      <w:bookmarkStart w:id="1108" w:name="Tc_uVy6uPDrNEKhhHGfSPjkkw_1_2"/>
      <w:bookmarkStart w:id="1109" w:name="_6eac2168_7f47_411d_adb7_249091632bf3"/>
      <w:bookmarkStart w:id="1110" w:name="Tc_2qCGEPkfdkCCfsFRhSyRIA_17_5"/>
      <w:bookmarkStart w:id="1111" w:name="Tc_eWUcEjvzwkaT13tLFJYptA_17_2"/>
      <w:bookmarkStart w:id="1112" w:name="Tc_G0yx5Roin0698EOXWGORWg_17_0"/>
      <w:bookmarkStart w:id="1113" w:name="Tc_Wisqw0d1u0e9oQm0_JWRpw_16_5"/>
      <w:bookmarkStart w:id="1114" w:name="Tc_cs6UonxWe02mkDrBq9RlNQ_16_2"/>
      <w:bookmarkStart w:id="1115" w:name="Tc_rdqJ1Lv2x0WmDbG_Ztu1tQ_16_0"/>
      <w:bookmarkStart w:id="1116" w:name="Tc_vAjNe8vmVk-14-6ns8Lcmg_15_5"/>
      <w:bookmarkStart w:id="1117" w:name="Tc_9d5yFI-i4EO5iRnLx_c42g_15_2"/>
      <w:bookmarkStart w:id="1118" w:name="Tc_CA9My72M1U-r7NpsvMZtWw_15_0"/>
      <w:bookmarkStart w:id="1119" w:name="Tc__EWEA77vnU6Pm_yGYo8tRQ_14_5"/>
      <w:bookmarkStart w:id="1120" w:name="Tc_qoR9A9n2VEu5Y8aiJl6WMQ_14_2"/>
      <w:bookmarkStart w:id="1121" w:name="Tc_XeVqEFFKHkK9F71xDn6wIg_14_0"/>
      <w:bookmarkStart w:id="1122" w:name="Tc_vsdf4b-oyUqNZfipfJg_HA_13_5"/>
      <w:bookmarkStart w:id="1123" w:name="Tc__2fQHnzBy0GiSLgbEIgtvQ_13_2"/>
      <w:bookmarkStart w:id="1124" w:name="Tc_Cnlz1iIFtUKdiT_13V8ZEg_13_0"/>
      <w:bookmarkStart w:id="1125" w:name="Tc_8ktIz0p_6E6JM9LTbn4jNQ_12_6"/>
      <w:bookmarkStart w:id="1126" w:name="Tc_PoPxipWqmEyBeAA3QMmjcA_12_5"/>
      <w:bookmarkStart w:id="1127" w:name="Tc_TTziYp4i3UGMDltQx9oXZg_12_2"/>
      <w:bookmarkStart w:id="1128" w:name="Tc_2aUdSaAbQEO1PrMaBDN4bw_12_0"/>
      <w:bookmarkStart w:id="1129" w:name="Tc_mVxV9_K4hUSHHpWVSmDyqw_11_5"/>
      <w:bookmarkStart w:id="1130" w:name="Tc_dU5_qbCTyUm340HDjaYKZQ_11_2"/>
      <w:bookmarkStart w:id="1131" w:name="Tc_R4Rmlyj8KEyoUahuunfxsA_11_0"/>
      <w:bookmarkStart w:id="1132" w:name="Tc_LLwD2-tcO0ueDduYkCVLew_10_5"/>
      <w:bookmarkStart w:id="1133" w:name="Tc_AEzO0vHytEiscMPX5DwGVQ_10_2"/>
      <w:bookmarkStart w:id="1134" w:name="Tc_lo6zC0Xqp0-ID7I4yu5K_g_10_0"/>
      <w:bookmarkStart w:id="1135" w:name="Tc_WSOJT3MVVkWEU9W5jHdOGw_9_0"/>
      <w:bookmarkStart w:id="1136" w:name="Tc_t-AeyQ4WvEqBFkGEObTC5A_7_5"/>
      <w:bookmarkStart w:id="1137" w:name="Tc_CSU40GEUR0yoAjwGTq-jQQ_7_2"/>
      <w:bookmarkStart w:id="1138" w:name="Tc_56YfR6ck90mbhou0ZqD_jw_7_0"/>
      <w:bookmarkStart w:id="1139" w:name="Tc_YUmKCNMJKE6iLtlK9Kwu-g_6_5"/>
      <w:bookmarkStart w:id="1140" w:name="Tc_rTqafRu6vk26sx2HzPii8w_6_2"/>
      <w:bookmarkStart w:id="1141" w:name="Tc_apOYihMljkekFlSbE_R15Q_6_0"/>
      <w:bookmarkStart w:id="1142" w:name="Tc_ZjrFNr7ueUWG3lIXz14Bmw_5_5"/>
      <w:bookmarkStart w:id="1143" w:name="Tc_JNDKO77r102lOvChLpkJyA_5_2"/>
      <w:bookmarkStart w:id="1144" w:name="Tc_8UEkZ9ALHUez3KFfvZBDfA_5_0"/>
      <w:bookmarkStart w:id="1145" w:name="Tc_XTtwp_QyREa50JIScwM7tg_4_0"/>
      <w:bookmarkStart w:id="1146" w:name="Tc_jOkW8wPxp0yxPiMsfJyCkg_3_5"/>
      <w:bookmarkStart w:id="1147" w:name="Tc_UKB49UyPW0mSBe1knSZ2bw_3_3"/>
      <w:bookmarkStart w:id="1148" w:name="Tc_FdqlqBayfECCXYn5GFdCOQ_2_2"/>
      <w:bookmarkStart w:id="1149" w:name="Tc_uVy6uPDrNEKhhHGfSPjkkw_1_2"/>
      <w:bookmarkStart w:id="1150" w:name="_6eac2168_7f47_411d_adb7_249091632bf3"/>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p>
    <w:tbl>
      <w:tblPr>
        <w:tblW w:w="10205" w:type="dxa"/>
        <w:jc w:val="left"/>
        <w:tblInd w:w="0" w:type="dxa"/>
        <w:tblLayout w:type="fixed"/>
        <w:tblCellMar>
          <w:top w:w="0" w:type="dxa"/>
          <w:left w:w="0" w:type="dxa"/>
          <w:bottom w:w="0" w:type="dxa"/>
          <w:right w:w="0" w:type="dxa"/>
        </w:tblCellMar>
      </w:tblPr>
      <w:tblGrid>
        <w:gridCol w:w="8168"/>
        <w:gridCol w:w="109"/>
        <w:gridCol w:w="211"/>
        <w:gridCol w:w="676"/>
        <w:gridCol w:w="109"/>
        <w:gridCol w:w="211"/>
        <w:gridCol w:w="721"/>
      </w:tblGrid>
      <w:tr>
        <w:trPr/>
        <w:tc>
          <w:tcPr>
            <w:tcW w:w="8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186680" cy="175260"/>
                      <wp:effectExtent l="0" t="0" r="0" b="0"/>
                      <wp:wrapNone/>
                      <wp:docPr id="140" name="Frame140"/>
                      <a:graphic xmlns:a="http://schemas.openxmlformats.org/drawingml/2006/main">
                        <a:graphicData uri="http://schemas.microsoft.com/office/word/2010/wordprocessingShape">
                          <wps:wsp>
                            <wps:cNvSpPr txBox="1"/>
                            <wps:spPr>
                              <a:xfrm>
                                <a:off x="0" y="0"/>
                                <a:ext cx="5186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29260" cy="175260"/>
                      <wp:effectExtent l="0" t="0" r="0" b="0"/>
                      <wp:wrapNone/>
                      <wp:docPr id="143" name="Frame1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57835" cy="175260"/>
                      <wp:effectExtent l="0" t="0" r="0" b="0"/>
                      <wp:wrapNone/>
                      <wp:docPr id="146" name="Frame14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81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81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16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paid during the period for: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net of interest rate swap</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15,071</w:t>
            </w:r>
          </w:p>
        </w:tc>
      </w:tr>
      <w:tr>
        <w:trPr/>
        <w:tc>
          <w:tcPr>
            <w:tcW w:w="8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income taxes,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11,400</w:t>
            </w:r>
          </w:p>
        </w:tc>
      </w:tr>
      <w:tr>
        <w:trPr/>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w:t>
            </w:r>
          </w:p>
        </w:tc>
      </w:tr>
      <w:tr>
        <w:trPr/>
        <w:tc>
          <w:tcPr>
            <w:tcW w:w="816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816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r>
      <w:tr>
        <w:trPr/>
        <w:tc>
          <w:tcPr>
            <w:tcW w:w="8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or modified finance lease liabilities, net of terminations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or modified operating lease liabilities, net of terminations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8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Community Development District debt,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 of expenditures for operating property to property and equipment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8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expenditures for operating properties and property and equipment financed through 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cash flow hedges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8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payable on repurchase of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net of forfeitures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897</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51" w:name="_43103806_8492_4360_9668_fc08cb722aea"/>
      <w:bookmarkEnd w:id="1151"/>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1152" w:name="NOTESTOTHECONDENSEDCONSOLIDATEDFINANCIAL"/>
      <w:bookmarkEnd w:id="1152"/>
      <w:r>
        <w:rPr>
          <w:rFonts w:ascii="Times New Roman;Times;serif" w:hAnsi="Times New Roman;Times;serif"/>
          <w:b/>
          <w:sz w:val="20"/>
        </w:rPr>
        <w:t>NOTES TO THE CONDENSED CONSOLIDATED FINANCIAL STATEMENTS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 unless otherwise stated)</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St. Joe Company together with its consolidated subsidiaries (“St. Joe” or the “Company”) is a diversified Florida real estate development, asset management and operating company with all of its real estate assets and operations in Northwest Florida. </w:t>
      </w:r>
      <w:r>
        <w:rPr>
          <w:rFonts w:ascii="TimesNewRomanPSMT" w:hAnsi="TimesNewRomanPSMT"/>
          <w:sz w:val="20"/>
        </w:rPr>
        <w:t>Approximately 87%</w:t>
      </w:r>
      <w:r>
        <w:rPr>
          <w:rFonts w:ascii="Times New Roman;Times;serif" w:hAnsi="Times New Roman;Times;serif"/>
          <w:sz w:val="20"/>
        </w:rPr>
        <w:t xml:space="preserve"> </w:t>
      </w:r>
      <w:r>
        <w:rPr>
          <w:rFonts w:ascii="TimesNewRomanPSMT" w:hAnsi="TimesNewRomanPSMT"/>
          <w:sz w:val="20"/>
        </w:rPr>
        <w:t xml:space="preserve">of the Company’s real estate is located in Florida’s Bay, Gulf, and Walton counties. </w:t>
      </w:r>
      <w:r>
        <w:rPr>
          <w:rFonts w:ascii="Times New Roman;Times;serif" w:hAnsi="Times New Roman;Times;serif"/>
          <w:sz w:val="20"/>
        </w:rPr>
        <w:t>Approximately 90% of the Company’s real estate land holdings are located within fifteen miles of the Gulf of America, formerly known as the Gulf of Mexico (the “Gulf”).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conducts primarily all of its business in the following three reportable segments: 1) residential, 2) hospitality and 3) commercial. See Note 16. </w:t>
      </w:r>
      <w:r>
        <w:rPr>
          <w:rFonts w:ascii="Times New Roman;Times;serif" w:hAnsi="Times New Roman;Times;serif"/>
          <w:i/>
          <w:sz w:val="20"/>
        </w:rPr>
        <w:t>Segment Information</w:t>
      </w:r>
      <w:r>
        <w:rPr>
          <w:rFonts w:ascii="Times New Roman;Times;serif" w:hAnsi="Times New Roman;Times;serif"/>
          <w:sz w:val="20"/>
        </w:rPr>
        <w:t xml:space="preserve"> for additional information</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pursuant to the rules and regulations of the Securities and Exchange Commission (the “SEC”) for reporting on Form 10-Q. Accordingly, certain information and footnotes required by United States generally accepted accounting principles (“GAAP”) for complete financial statements are not included herein. The unaudited interim condensed consolidated financial statements include the accounts of the Company and all of its majority-owned and controlled subsidiaries, voting interest entities where the Company has a majority voting interest or control and variable interest entities where the Company deems itself the primary beneficiary. Investments in JVs in which the Company is not the primary beneficiary, or a voting interest entity where the Company does not have a majority voting interest or control, but has significant influence are unconsolidated and accounted for by the equity method of accounting. All significant intercompany transactions and balances have been eliminated in consolidation. The December 31, 2025 condensed consolidated balance sheet amounts have been derived from the Company’s December 31, 2025 audited consolidated financial statements. Certain prior period amounts in the accompanying condensed consolidated financial statements have been reclassified to conform to the current year presentation. The reclassifications had no effect on the Company’s previously reported total assets and liabilities, equity or net income. Operating results for the six months ended June 30, 2026 are not necessarily indicative of the results that may be expected for the full year ending December 31,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 variable interest entity (“VIE”) is an entity in which a controlling financial interest may be achieved through arrangements that do not involve voting interests. A VIE is required to be consolidated by its primary beneficiary, which is the entity that possesses the power to direct the activities of the VIE that most significantly impact the VIE’s economic performance and has the obligation to absorb losses or the right to receive benefits from the VIE that are significant to the VIE. The Company consolidates VIEs when it is the primary beneficiary of the VIE. </w:t>
      </w:r>
      <w:r>
        <w:rPr>
          <w:rFonts w:ascii="TimesNewRomanPSMT" w:hAnsi="TimesNewRomanPSMT"/>
          <w:sz w:val="20"/>
        </w:rPr>
        <w:t xml:space="preserve">The Company continues to evaluate whether it is the primary beneficiary as needed when assessing reconsideration events. </w:t>
      </w:r>
      <w:r>
        <w:rPr>
          <w:rFonts w:ascii="Times New Roman;Times;serif" w:hAnsi="Times New Roman;Times;serif"/>
          <w:sz w:val="20"/>
        </w:rPr>
        <w:t xml:space="preserve">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unaudited interim condensed consolidated financial statements reflect all normal recurring adjustments that in the opinion of management are necessary for fair presentation of the information contained herein. The unaudited interim condensed consolidated financial statements should be read in conjunction with the consolidated financial statements and notes included in the Company’s Annual Report on Form 10-K for the year ended December 31, 2025. The Company adheres to the same accounting policies in preparation of its unaudited interim condensed consolidated financial statements as the Company’s December 31, 2025 annual financial statements, except for any recently adopted accounting pronouncements. As required under GAAP, interim accounting for certain expenses, including income taxes, are based on full year assumptions. For interim financial reporting purposes, income taxes are recorded based upon estimated annual income tax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Risks and Uncertainties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the Company’s real estate assets are concentrated in Northwest Florida. Uncertain economic conditions could have an adverse impact on the Company’s operations and asset values.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macroeconomic factors such as uncertainty over tariffs, continued inflation, geopolitical conflicts, elevated interest rates and higher insurance costs for consumers and overall consumer confidence, among other things, continued to produce economic headwinds and impacted buyer sentiment in many parts of the country, the Company’s segments continued to generate positive financial results through the first six months of 2026. The Company believes this is primarily due to the continued growth of Northwest Florida as a result of net migration, which the Company attributes to the region’s high quality of life, natural beauty and outstanding amenities.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Elevated interest rates, market conditions in home states, and higher insurance costs have negatively impacted or delayed the ability of some buyers to obtain financing or sell their existing homes in their home states. The negative impact has been partially offset by the net migration into the Company’s markets and the number of cash buyers. In addition, the Company has not experienced an increase in cancellation rates as homebuilders have continued to perform on their contractual obligations with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operations may be affected by seasonal fluctuations. The revenues and earnings from the Company’s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the Company has no, or significantly less, revenue from residential or commercial real estate sales. The Company may also choose to operate rather than lease assets, lease rather than sell assets, or sell improved rather than unimproved assets that may delay revenue and profits.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revenues are typically higher in the second and third quarters, and vary depending on the timing of holidays and school breaks. Commercial real estate sales tend to be non-recurring. Projects depend on uncertain demand. Extraordinary events such as hurricanes may dramatically change demand and pricing for products and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Given the Company’s diverse portfolio of residential holdings, the mix of sales and pricing from different communities may impact revenue and margins period over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instruments that potentially subject the Company to a concentration of credit risk consist of cash, cash equivalents, other receivables and investments held by special purpose entity or entities (“SPE”). The Company deposits and invests cash with local, regional and national financial institutions, and as of June 30, 2026, these balances exceeded the amount of F.D.I.C. insurance provided on such deposits. In addition, as of June 30, 2026, the Company had $63.9 million invested in short-term U.S. Treasury Bills and $1.3 million invested in U.S. Treasury Money Market Funds classified as cash and cash equivalents.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0" w:after="240"/>
        <w:ind w:left="0" w:right="0" w:firstLine="360"/>
        <w:jc w:val="left"/>
        <w:rPr>
          <w:rFonts w:ascii="Times New Roman;Times;serif" w:hAnsi="Times New Roman;Times;serif"/>
          <w:sz w:val="18"/>
        </w:rPr>
      </w:pPr>
      <w:r>
        <w:rPr>
          <w:rFonts w:ascii="Times New Roman;Times;serif" w:hAnsi="Times New Roman;Times;serif"/>
          <w:sz w:val="20"/>
        </w:rPr>
        <w:t>Basic earnings per share is calculated by dividing net income attributable to the Company by the basic weighted average number of common shares outstanding for the period. Diluted earnings per share is calculated by dividing net income attributable to the Company by the weighted average number of shares of common stock outstanding for the period, including potential dilutive common shares. The treasury stock method is used to determine the effect on diluted earnings. For the six months ended June 30, 2026 and 2025, the Company had 62,655</w:t>
      </w:r>
      <w:r>
        <w:rPr>
          <w:rFonts w:ascii="Times New Roman;Times;serif" w:hAnsi="Times New Roman;Times;serif"/>
          <w:sz w:val="18"/>
        </w:rPr>
        <w:t xml:space="preserve"> </w:t>
      </w:r>
      <w:r>
        <w:rPr>
          <w:rFonts w:ascii="Times New Roman;Times;serif" w:hAnsi="Times New Roman;Times;serif"/>
          <w:sz w:val="20"/>
        </w:rPr>
        <w:t>and 60,217, respectively, unvested shares of restricted stock. For the three months ended June 30, 2026 and 2025, 47,043</w:t>
      </w:r>
      <w:r>
        <w:rPr>
          <w:rFonts w:ascii="Times New Roman;Times;serif" w:hAnsi="Times New Roman;Times;serif"/>
          <w:sz w:val="18"/>
        </w:rPr>
        <w:t xml:space="preserve"> </w:t>
      </w:r>
      <w:r>
        <w:rPr>
          <w:rFonts w:ascii="Times New Roman;Times;serif" w:hAnsi="Times New Roman;Times;serif"/>
          <w:sz w:val="20"/>
        </w:rPr>
        <w:t>and 55,194, respectively, potentially dilutive restricted stock units were excluded from the calculation of diluted income per share and for the six months ended June 30, 2026 and 2025, 43,423</w:t>
      </w:r>
      <w:r>
        <w:rPr>
          <w:rFonts w:ascii="Times New Roman;Times;serif" w:hAnsi="Times New Roman;Times;serif"/>
          <w:sz w:val="18"/>
        </w:rPr>
        <w:t xml:space="preserve"> </w:t>
      </w:r>
      <w:r>
        <w:rPr>
          <w:rFonts w:ascii="Times New Roman;Times;serif" w:hAnsi="Times New Roman;Times;serif"/>
          <w:sz w:val="20"/>
        </w:rPr>
        <w:t>and 50,766, respectively, potentially dilutive restricted stock units were excluded from the calculation of diluted income per share since the effect would have been anti-dilutive based on the application of the treasury stock method.</w:t>
      </w:r>
      <w:r>
        <w:rPr>
          <w:rFonts w:ascii="Times New Roman;Times;serif" w:hAnsi="Times New Roman;Times;serif"/>
          <w:sz w:val="18"/>
        </w:rPr>
        <w:t xml:space="preserve"> </w:t>
      </w:r>
      <w:r>
        <w:rPr>
          <w:rFonts w:ascii="Times New Roman;Times;serif" w:hAnsi="Times New Roman;Times;serif"/>
          <w:sz w:val="20"/>
        </w:rPr>
        <w:t xml:space="preserve">See Note 13. </w:t>
      </w:r>
      <w:r>
        <w:rPr>
          <w:rFonts w:ascii="Times New Roman;Times;serif" w:hAnsi="Times New Roman;Times;serif"/>
          <w:i/>
          <w:sz w:val="20"/>
        </w:rPr>
        <w:t>Stockholders’ Equity</w:t>
      </w:r>
      <w:r>
        <w:rPr>
          <w:rFonts w:ascii="Times New Roman;Times;serif" w:hAnsi="Times New Roman;Times;serif"/>
          <w:sz w:val="18"/>
        </w:rPr>
        <w:t xml:space="preserve"> </w:t>
      </w:r>
      <w:r>
        <w:rPr>
          <w:rFonts w:ascii="Times New Roman;Times;serif" w:hAnsi="Times New Roman;Times;serif"/>
          <w:sz w:val="20"/>
        </w:rPr>
        <w:t>for additional information related to the issuance of common stock for employee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153" w:name="Tc_piw10K9Op06zY9NJbBuJMw_14_11"/>
      <w:bookmarkStart w:id="1154" w:name="Tc_xLJSK1lG-EOIDatfqlUuBw_14_8"/>
      <w:bookmarkStart w:id="1155" w:name="Tc_UajhkRX-skWr9WHyt6WiQw_14_5"/>
      <w:bookmarkStart w:id="1156" w:name="Tc_PaxCtNUZB0uJpglYo0mg3g_14_2"/>
      <w:bookmarkStart w:id="1157" w:name="Tc_M25F4sEw4EK1Ci69g6zq7A_14_0"/>
      <w:bookmarkStart w:id="1158" w:name="Tc_nanxORGzwk655vs8cWRqDQ_13_11"/>
      <w:bookmarkStart w:id="1159" w:name="Tc_5s3R-71ueESHnhR3BOFncA_13_8"/>
      <w:bookmarkStart w:id="1160" w:name="Tc_uefglgVMKEmgf0Wuaqrc2g_13_5"/>
      <w:bookmarkStart w:id="1161" w:name="Tc_yicOFiV7LUSuGiRQcp9b4w_13_2"/>
      <w:bookmarkStart w:id="1162" w:name="Tc_i_7orPskv0mmAP4kiYXujg_13_0"/>
      <w:bookmarkStart w:id="1163" w:name="Tc_pvs_2KMorEiF55adh01-Iw_12_0"/>
      <w:bookmarkStart w:id="1164" w:name="Tc_5efqqlmtUkeWmyxA91GrIQ_10_0"/>
      <w:bookmarkStart w:id="1165" w:name="Tc_q_kaL4n2qEW8ZZfPsd3QGw_9_0"/>
      <w:bookmarkStart w:id="1166" w:name="Tc_B0WHoOwVBE-BPqh5OYhRDw_8_0"/>
      <w:bookmarkStart w:id="1167" w:name="Tc_R_rKREZVZE6TGdYKyuGkUA_7_0"/>
      <w:bookmarkStart w:id="1168" w:name="Tc_6oPyq7AH90KBDdIVVDpKMg_5_11"/>
      <w:bookmarkStart w:id="1169" w:name="Tc_XKm2W64BP0mawfqxHcnEaA_5_8"/>
      <w:bookmarkStart w:id="1170" w:name="Tc_Tm5d4Vs1r0iFWEqhX-SFuQ_5_5"/>
      <w:bookmarkStart w:id="1171" w:name="Tc_atQSN5DnZk60S-gQXRuWSA_5_2"/>
      <w:bookmarkStart w:id="1172" w:name="Tc_FhorpjjjY0-8ZPdYTGbLmw_5_0"/>
      <w:bookmarkStart w:id="1173" w:name="Tc_uBymb0wr9UKqZxBYWtNBrw_4_0"/>
      <w:bookmarkStart w:id="1174" w:name="Tc_P1oI5-2B2E-4R7WRw1Iz2w_3_2"/>
      <w:bookmarkStart w:id="1175" w:name="Tc_ByfdVFhaK0yahT60OSIX1w_2_11"/>
      <w:bookmarkStart w:id="1176" w:name="Tc_boJpBQn0-0ub93mnjbeqIg_2_8"/>
      <w:bookmarkStart w:id="1177" w:name="Tc_-yHmf0UmWU-1wcY1_0yjHg_2_5"/>
      <w:bookmarkStart w:id="1178" w:name="Tc_geRRCCstn0GhjDqVGHooVQ_2_2"/>
      <w:bookmarkStart w:id="1179" w:name="Tc_76EWjMDIgUiLxV6wC_72oQ_1_8"/>
      <w:bookmarkStart w:id="1180" w:name="Tc_FJu0h-6YWUG6ugcusoKk4Q_1_2"/>
      <w:bookmarkStart w:id="1181" w:name="_97b29a4f_da21_4afb_8d19_54553ec057e6"/>
      <w:bookmarkStart w:id="1182" w:name="_39d0fa6c_3c21_4d83_bd19_97a14c4407e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r>
        <w:rPr>
          <w:rFonts w:ascii="Times New Roman;Times;serif" w:hAnsi="Times New Roman;Times;serif"/>
          <w:sz w:val="20"/>
        </w:rPr>
        <w:t>The computation of basic and diluted earnings per share are as follows:</w:t>
      </w:r>
    </w:p>
    <w:p>
      <w:pPr>
        <w:pStyle w:val="TextBody"/>
        <w:bidi w:val="0"/>
        <w:spacing w:before="0" w:after="0"/>
        <w:ind w:left="0" w:right="0" w:hanging="0"/>
        <w:jc w:val="left"/>
        <w:rPr/>
      </w:pPr>
      <w:r>
        <w:rPr/>
        <w:t>​</w:t>
      </w:r>
    </w:p>
    <w:tbl>
      <w:tblPr>
        <w:tblW w:w="9805" w:type="dxa"/>
        <w:jc w:val="left"/>
        <w:tblInd w:w="0" w:type="dxa"/>
        <w:tblLayout w:type="fixed"/>
        <w:tblCellMar>
          <w:top w:w="0" w:type="dxa"/>
          <w:left w:w="0" w:type="dxa"/>
          <w:bottom w:w="0" w:type="dxa"/>
          <w:right w:w="0" w:type="dxa"/>
        </w:tblCellMar>
      </w:tblPr>
      <w:tblGrid>
        <w:gridCol w:w="4336"/>
        <w:gridCol w:w="109"/>
        <w:gridCol w:w="211"/>
        <w:gridCol w:w="1036"/>
        <w:gridCol w:w="109"/>
        <w:gridCol w:w="211"/>
        <w:gridCol w:w="1036"/>
        <w:gridCol w:w="109"/>
        <w:gridCol w:w="211"/>
        <w:gridCol w:w="1036"/>
        <w:gridCol w:w="109"/>
        <w:gridCol w:w="211"/>
        <w:gridCol w:w="10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753360" cy="175260"/>
                      <wp:effectExtent l="0" t="0" r="0" b="0"/>
                      <wp:wrapNone/>
                      <wp:docPr id="147" name="Frame147"/>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57860" cy="175260"/>
                      <wp:effectExtent l="0" t="0" r="0" b="0"/>
                      <wp:wrapNone/>
                      <wp:docPr id="150" name="Frame15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57860" cy="175260"/>
                      <wp:effectExtent l="0" t="0" r="0" b="0"/>
                      <wp:wrapNone/>
                      <wp:docPr id="153" name="Frame1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57860" cy="175260"/>
                      <wp:effectExtent l="0" t="0" r="0" b="0"/>
                      <wp:wrapNone/>
                      <wp:docPr id="156" name="Frame15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86435" cy="175260"/>
                      <wp:effectExtent l="0" t="0" r="0" b="0"/>
                      <wp:wrapNone/>
                      <wp:docPr id="159" name="Frame15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6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8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360" w:type="dxa"/>
            <w:gridSpan w:val="11"/>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thousands except per share amounts)</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Income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40,473</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29,524</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54,407</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46,985</w:t>
            </w:r>
          </w:p>
        </w:tc>
      </w:tr>
      <w:tr>
        <w:trPr/>
        <w:tc>
          <w:tcPr>
            <w:tcW w:w="43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57,157,550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58,057,268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57,320,392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58,150,138</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shares from restricted stock</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15,612</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5,023</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19,232</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57,173,162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58,062,291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57,339,624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58,159,589</w:t>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per share attributable to the Company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income per share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income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0.81</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recently adopted accounting pronouncements, which would have a material effect on the Company’s financial condition, results of operations and cash flows other than those disclosed in the Company’s Annual Report on Form 10-K for the year ended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Income Statement – Reporting Comprehensive Income – Expense Disaggregation Disclosures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Financial Accounting Standards Board (“FASB”) issued ASU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xml:space="preserve"> (“ASU 2024-03”) that requires additional disclosure in the notes to the financial statements information about specific costs and expense categories, including purchases of inventory, employee compensation, depreciation, intangible asset amortization and selling expenses, as well as qualitative descriptions for certain other expenses. In January 2025, the FASB issued ASU 2025-01, </w:t>
      </w:r>
      <w:r>
        <w:rPr>
          <w:rFonts w:ascii="Times New Roman;Times;serif" w:hAnsi="Times New Roman;Times;serif"/>
          <w:i/>
          <w:sz w:val="20"/>
        </w:rPr>
        <w:t>Income Statement - Reporting Comprehensive Income - Expense Disaggregation Disclosures (Subtopic 220-40): Clarifying the Effective Date</w:t>
      </w:r>
      <w:r>
        <w:rPr>
          <w:rFonts w:ascii="Times New Roman;Times;serif" w:hAnsi="Times New Roman;Times;serif"/>
          <w:sz w:val="20"/>
        </w:rPr>
        <w:t xml:space="preserve"> (“ASU 2025-01”) that clarifies the effective date of ASU 2024-03. This guidance will be effective for annual reporting periods beginning after December 15, 2026, and for interim reporting periods within annual reporting periods beginning after December 15, 2027, with early adoption permitted. The guidance should be applied either prospectively for periods after the effective date or retrospectively to all prior periods presented. The Company is currently evaluating the impact that the adoption of this guidance will have on its financial condition, results of operations, cash flows and related disclosures</w:t>
      </w:r>
      <w:r>
        <w:rPr>
          <w:rFonts w:ascii="TimesNewRomanPSMT" w:hAnsi="TimesNewRomanPSMT"/>
          <w:sz w:val="20"/>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83" w:name="Tc_P8M0VYbHl0CnZmYZEupyRg_18_5"/>
      <w:bookmarkStart w:id="1184" w:name="Tc_sLMWWZTeHEq_9Vzp43BHlQ_18_2"/>
      <w:bookmarkStart w:id="1185" w:name="Tc_GJZ8aaTPpEqR0pfTw4-Y0w_18_0"/>
      <w:bookmarkStart w:id="1186" w:name="Tc_CXuHSeDaTkmNoiZEZ2iHcQ_17_0"/>
      <w:bookmarkStart w:id="1187" w:name="Tc_cmtuAswvP02DDVSJRdbydg_16_0"/>
      <w:bookmarkStart w:id="1188" w:name="Tc_6qhsfNj5g0ya1orlOTWC9g_15_0"/>
      <w:bookmarkStart w:id="1189" w:name="Tc_kiy0n4e6d0-x8cAmWmK1Rw_14_0"/>
      <w:bookmarkStart w:id="1190" w:name="Tc_9O5KHDwSaUyqWUP6jgWfig_13_0"/>
      <w:bookmarkStart w:id="1191" w:name="Tc_oDu2uC1aokSSy0bGd_L2MA_12_0"/>
      <w:bookmarkStart w:id="1192" w:name="Tc_zd8cyOalxkynnbYz18XSnQ_11_0"/>
      <w:bookmarkStart w:id="1193" w:name="Tc_4w1kURCGekOrp8pWQsnOhA_10_0"/>
      <w:bookmarkStart w:id="1194" w:name="Tc_hCIupmHQX0K1ZibSL2PWNA_8_0"/>
      <w:bookmarkStart w:id="1195" w:name="Tc_pPR6IjfYc0eRwGv0y3G8Ig_7_0"/>
      <w:bookmarkStart w:id="1196" w:name="Tc_R37N5so0z0-OyAXiEs8Jyg_6_0"/>
      <w:bookmarkStart w:id="1197" w:name="Tc_srcNw0qyMEmh61ywmjRfMg_5_0"/>
      <w:bookmarkStart w:id="1198" w:name="Tc_A5lXVeCe4Eeek8q6JaIUKw_4_5"/>
      <w:bookmarkStart w:id="1199" w:name="Tc__7x5x6vAbkGn5ivW-5y08g_4_2"/>
      <w:bookmarkStart w:id="1200" w:name="Tc_-zST59qmFky7ybxVgPxqNA_4_0"/>
      <w:bookmarkStart w:id="1201" w:name="Tc_lUctAJ3bJkGRUdv71i9kXg_3_0"/>
      <w:bookmarkStart w:id="1202" w:name="Tc_GbXAHIvAHk62Biec4Y0GyA_2_5"/>
      <w:bookmarkStart w:id="1203" w:name="Tc_Nov6VxBO80qlG7YFwLmWpQ_2_2"/>
      <w:bookmarkStart w:id="1204" w:name="Tc_F4fEMj0TIEOnOELmM3zl_A_1_5"/>
      <w:bookmarkStart w:id="1205" w:name="Tc_UEUfTlnYAk2Kmdu5p75f1g_1_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ascii="Times New Roman;Times;serif" w:hAnsi="Times New Roman;Times;serif"/>
          <w:b/>
          <w:sz w:val="20"/>
        </w:rPr>
        <w:t>3. Investment in Real Estate,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real estate, net, excluding unconsolidated JVs, by property type and segment includes the following:</w:t>
      </w:r>
    </w:p>
    <w:p>
      <w:pPr>
        <w:pStyle w:val="TextBody"/>
        <w:bidi w:val="0"/>
        <w:spacing w:before="0" w:after="0"/>
        <w:ind w:left="0" w:right="0" w:hanging="0"/>
        <w:jc w:val="left"/>
        <w:rPr/>
      </w:pPr>
      <w:r>
        <w:rPr/>
        <w:t>​</w:t>
      </w:r>
    </w:p>
    <w:tbl>
      <w:tblPr>
        <w:tblW w:w="5662" w:type="dxa"/>
        <w:jc w:val="left"/>
        <w:tblInd w:w="0" w:type="dxa"/>
        <w:tblLayout w:type="fixed"/>
        <w:tblCellMar>
          <w:top w:w="0" w:type="dxa"/>
          <w:left w:w="0" w:type="dxa"/>
          <w:bottom w:w="0" w:type="dxa"/>
          <w:right w:w="0" w:type="dxa"/>
        </w:tblCellMar>
      </w:tblPr>
      <w:tblGrid>
        <w:gridCol w:w="2731"/>
        <w:gridCol w:w="346"/>
        <w:gridCol w:w="211"/>
        <w:gridCol w:w="781"/>
        <w:gridCol w:w="346"/>
        <w:gridCol w:w="211"/>
        <w:gridCol w:w="103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734185" cy="175260"/>
                      <wp:effectExtent l="0" t="0" r="0" b="0"/>
                      <wp:wrapNone/>
                      <wp:docPr id="160" name="Frame160"/>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3" name="Frame1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57860" cy="175260"/>
                      <wp:effectExtent l="0" t="0" r="0" b="0"/>
                      <wp:wrapNone/>
                      <wp:docPr id="166" name="Frame1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Development property: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147,662</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14,141</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89,659</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5,683</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development property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258,047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257,145</w:t>
            </w:r>
          </w:p>
        </w:tc>
      </w:tr>
      <w:tr>
        <w:trPr/>
        <w:tc>
          <w:tcPr>
            <w:tcW w:w="27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property: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6,692</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445,295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457,062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459,601</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property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911,712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914,730</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167,017</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property,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732,728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747,713</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 real estate,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990,775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1,004,858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real estate, net is carried at cost, net of depreciation and timber depletion, unless circumstances indicate that the carrying value of the assets may not be recoverable.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Development property consists of land the Company is developing or intends to develop for sale, lease or future operations and includes direct costs associated with the land, as well as development, construction and indirect costs. Residential development property includes existing and planned residential homesites and related infrastructure, as well as completed townhomes. Hospitality development property consists of land, as well as development costs related to improvements to existing properties and design costs for other hospitality assets. Commercial development property primarily consists of land and construction and development costs for planned commercial, multi-family and industrial uses. Other development property includes mitigation banks and construction and development costs of a building for the Company’s real estate brokerage business, title insurance agency and insurance agency businesses. Development property in the hospitality and commercial segments will be reclassified as operating property as it is placed into service.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property includes property that the Company uses for operations and activities. Residential operating property consists primarily of residential utility assets. Hospitality operating property primarily consists of existing hotels, resorts, clubs, marinas and other operations. Commercial operating property includes property used for retail, office, self-storage, light industrial, multi-family, commercial rental and timber purposes. Other operating property includes property used in the Company’s real estate brokerage business, title insurance agency and insurance agency businesses. Operating property may be sold in the future as part of the Company’s principal real estate business. As of June 30, 2026 and December 31, 2025, operating property, net related to operating leases was $346.4 million and $355.1 million,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Joint Ventures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enters into JVs, from time to time, for the purpose of developing real estate and other business activities in which the Company may or may not have a controlling financial interest. GAAP requires consolidation of voting interest entities where the Company has a majority voting interest or control and VIEs in which an enterprise has a controlling financial interest and is the primary beneficiary. A controlling financial interest will have both of the following characteristics: (i) the power to direct the VIE activities that most significantly impact economic performance and (ii) the obligation to absorb losses or the right to receive benefits from the VIE that could potentially be significant to the VIE. The Company examines specific criteria and uses judgment when determining whether the Company is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primary beneficiary and must consolidate a VIE. The Company continues to evaluate whether it is the primary beneficiary </w:t>
      </w:r>
      <w:r>
        <w:rPr>
          <w:rFonts w:ascii="TimesNewRomanPSMT" w:hAnsi="TimesNewRomanPSMT"/>
          <w:sz w:val="20"/>
        </w:rPr>
        <w:t>as needed when assessing reconsideration events</w:t>
      </w:r>
      <w:r>
        <w:rPr>
          <w:rFonts w:ascii="Times New Roman;Times;serif" w:hAnsi="Times New Roman;Times;serif"/>
          <w:sz w:val="20"/>
        </w:rPr>
        <w:t>. Investments in JVs in which the Company is not the primary beneficiary, or a voting interest entity where the Company does not have a majority voting interest or control, but has significant influence are unconsolidated and accounted for by the equity method of accounting.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timing of cash flows for additional required capital contributions related to the Company’s JVs varies by agreement. Some of the Company’s consolidated and unconsolidated JVs have entered into financing agreements where the Company or its JV partners have provided guarantees. See Note 8. </w:t>
      </w:r>
      <w:r>
        <w:rPr>
          <w:rFonts w:ascii="TimesNewRomanPS-ItalicMT" w:hAnsi="TimesNewRomanPS-ItalicMT"/>
          <w:i/>
          <w:sz w:val="20"/>
        </w:rPr>
        <w:t xml:space="preserve">Debt, Net </w:t>
      </w:r>
      <w:r>
        <w:rPr>
          <w:rFonts w:ascii="Times New Roman;Times;serif" w:hAnsi="Times New Roman;Times;serif"/>
          <w:sz w:val="20"/>
        </w:rPr>
        <w:t xml:space="preserve">and Note 17. </w:t>
      </w:r>
      <w:r>
        <w:rPr>
          <w:rFonts w:ascii="TimesNewRomanPS-ItalicMT" w:hAnsi="TimesNewRomanPS-ItalicMT"/>
          <w:i/>
          <w:sz w:val="20"/>
        </w:rPr>
        <w:t>Commitments and</w:t>
      </w:r>
      <w:r>
        <w:rPr>
          <w:rFonts w:ascii="Times New Roman;Times;serif" w:hAnsi="Times New Roman;Times;serif"/>
          <w:sz w:val="20"/>
        </w:rPr>
        <w:t xml:space="preserve"> </w:t>
      </w:r>
      <w:r>
        <w:rPr>
          <w:rFonts w:ascii="TimesNewRomanPS-ItalicMT" w:hAnsi="TimesNewRomanPS-ItalicMT"/>
          <w:i/>
          <w:sz w:val="20"/>
        </w:rPr>
        <w:t xml:space="preserve">Contingencies </w:t>
      </w:r>
      <w:r>
        <w:rPr>
          <w:rFonts w:ascii="Times New Roman;Times;serif" w:hAnsi="Times New Roman;Times;serif"/>
          <w:sz w:val="20"/>
        </w:rPr>
        <w:t xml:space="preserve">for additional information. The Company provides land, mitigation bank credits, impact and other fees and services to certain unconsolidated JVs and incurs expenses for leasing management services from the Company’s unconsolidated Watersound Management, LLC (“Watersound Management JV”), see Note 18. </w:t>
      </w:r>
      <w:r>
        <w:rPr>
          <w:rFonts w:ascii="TimesNewRomanPS-ItalicMT" w:hAnsi="TimesNewRomanPS-ItalicMT"/>
          <w:i/>
          <w:sz w:val="20"/>
        </w:rPr>
        <w:t xml:space="preserve">Related Party Transactions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Joint Ventures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Mexico Beach Crossings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Mexico Beach Crossings JV was formed in 2022, when the Company entered into a JV agreement to develop, manage and lease a 216-unit multi-family community in Mexico Beach, Florida. As of June 30, 2026 and December 31, 2025,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Mexico Beach Crossings JV is a voting interest entity as of June 30, 2026 and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Lodge 30A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Lodge 30A JV was formed in 2020, when the Company entered into a JV agreement to develop and operate an 85-room boutique hotel on Scenic County Highway 30A in Seagrove Beach, Florida. As of June 30, 2026 and December 31, 2025, the Company owned a 52.8% interest in the consolidated JV. A wholly-owned subsidiary of the Company manages the day-to-day operations of the hotel. The Company approves all major decisions, including project development, annual budgets and financing. The Company determined The Lodge 30A JV is a VIE and that the Company is the VIE’s primary beneficiary as of June 30, 2026 and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Resort Hotel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Pier Park Resort Hotel JV was formed in 2020, when the Company entered into a JV agreement to develop and operate a 255-room Embassy Suites by Hilton hotel in the Pier Park area of Panama City Beach, Florida. As of June 30, 2026 and December 31, 2025, the Company owned a 70.0% interest in the consolidated JV. A wholly-owned subsidiary of the Company manages the day-to-day operations of the hotel. The Company has significant involvement in the project design and development, annual budgets and financing. The Company determined Pier Park Resort Hotel JV is a VIE and that the Company is the VIE’s primary beneficiary as of June 30, 2026 and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Crossings Phase II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Pier Park Crossings Phase II JV was formed in 2019, when the Company entered into a JV agreement to develop, manage and lease a 120-unit multi-family community in the Pier Park area of Panama City Beach, Florida. As of June 30, 2026 and December 31, 2025,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Phase II JV is a VIE and that the Company is the VIE’s primary beneficiary as of June 30, 2026 and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Watercrest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Watercrest JV was formed in 2019, when the Company entered into a JV agreement to develop and operate a 107-unit senior living community in Santa Rosa Beach, Florida. In September 2025, the Watercrest JV sold its senior living community property to a third-party and ceased operating activities. The Watercrest JV previously had a $0.8 million indemnity holdback withheld in connection with the sale, which was released in June 2026. As of June 30, 2026 and December 31, 2025, the Company owned an 87.0% interest in the consolidated JV.</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Watersound Origins Crossings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Watersound Origins Crossings JV was formed in 2019, when the Company entered into a JV agreement to develop, manage and lease a 217-unit multi-family community near the entrance to the Watersound Origins residential community. As of June 30, 2026 and December 31, 2025,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Watersound Origins Crossings JV is a VIE and that the Company is the VIE’s primary beneficiary as of June 30, 2026 and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Crossings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Pier Park Crossings JV was formed in 2017, when the Company entered into a JV agreement to develop, manage and lease a 240-unit multi-family community in the Pier Park area of Panama City Beach, Florida. As of June 30, 2026 and December 31, 2025,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JV is a VIE and that the Company is the VIE’s primary beneficiary as of June 30, 2026 and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North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2012, the Company entered into a JV agreement with a partner to develop a retail center at Pier Park North. As of June 30, 2026 and December 31, 2025, the Company owned a 90.0% interest in the consolidated JV. A wholly-owned subsidiary of the Company’s JV partner is responsible for the day-to-day activities of the retail center. The Company approves all major decisions, including project development, annual budgets and financing. The Company determined Pier Park North JV is a VIE and that the Company is the VIE’s primary beneficiary as of June 30, 2026 and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206" w:name="Tc_yFNrZ4isbUqTC0wJLJrT0A_20_5"/>
      <w:bookmarkStart w:id="1207" w:name="Tc_SJF14nsbrUO3muueIuBTig_20_2"/>
      <w:bookmarkStart w:id="1208" w:name="Tc_LL44Wrth30envhtMMmauyA_20_0"/>
      <w:bookmarkStart w:id="1209" w:name="Tc_aiO3W7_Wgk-wrvQrMiBpRw_19_0"/>
      <w:bookmarkStart w:id="1210" w:name="Tc_InyHkJe2_0GNHdnvJZ2oWA_18_0"/>
      <w:bookmarkStart w:id="1211" w:name="Tc_7Sw00_4PLUSnZK0zF7gjnw_17_0"/>
      <w:bookmarkStart w:id="1212" w:name="Tc_NRaurppRf0y2afYtwLkdYQ_16_0"/>
      <w:bookmarkStart w:id="1213" w:name="Tc_oDASXKwnVEW2_C9DNihXLw_15_0"/>
      <w:bookmarkStart w:id="1214" w:name="Tc_8FWGnQmOHUyBXW9h32Mc7A_14_6"/>
      <w:bookmarkStart w:id="1215" w:name="Tc_GR3NkwJaNU2SP7QqrA3NLw_14_5"/>
      <w:bookmarkStart w:id="1216" w:name="Tc_hbYKt6h630e8Dr5GC6gKDw_14_3"/>
      <w:bookmarkStart w:id="1217" w:name="Tc_uycKnw-5F0aA5145LhbbtQ_14_2"/>
      <w:bookmarkStart w:id="1218" w:name="Tc_F1efAoqz0ECleHDyU_c0CA_14_0"/>
      <w:bookmarkStart w:id="1219" w:name="Tc_KyoEOzD4FUKw69-2jr8H1g_13_0"/>
      <w:bookmarkStart w:id="1220" w:name="Tc_HaR0PnEVN0iaRI45CAGnlA_11_5"/>
      <w:bookmarkStart w:id="1221" w:name="Tc_f75bW2t6AUa7O_7xFarRAg_11_2"/>
      <w:bookmarkStart w:id="1222" w:name="Tc_oPy_CEj1LU24o_mej64QiQ_11_0"/>
      <w:bookmarkStart w:id="1223" w:name="Tc_OK-cI51XzE6sq9qmG6w5ZQ_10_0"/>
      <w:bookmarkStart w:id="1224" w:name="Tc_5R6qb5s2IEqe9UGS_t5Dvg_9_0"/>
      <w:bookmarkStart w:id="1225" w:name="Tc_XXkNFQ86GE-6nD2sZwfdwA_8_0"/>
      <w:bookmarkStart w:id="1226" w:name="Tc_ptS-a71IJkuf3Z5uR2V-9A_7_0"/>
      <w:bookmarkStart w:id="1227" w:name="Tc_X0FcG_ZY4km_AY_6seXBkQ_6_6"/>
      <w:bookmarkStart w:id="1228" w:name="Tc_YjBhKqqulkSiLGZoKwhXqw_6_0"/>
      <w:bookmarkStart w:id="1229" w:name="Tc_BheQ1iG-pkG0yUkn81LYIw_5_0"/>
      <w:bookmarkStart w:id="1230" w:name="Tc_1O3DolA1hkSg7H32ww0yVg_4_5"/>
      <w:bookmarkStart w:id="1231" w:name="Tc_qzyCDbvp7EKGVvHj57Plfg_4_2"/>
      <w:bookmarkStart w:id="1232" w:name="Tc_HNGZnHxRtE-hMr6ZeyFIOg_4_0"/>
      <w:bookmarkStart w:id="1233" w:name="Tc_IiyMk9Vs80OJ_ZBF0dv9Ig_3_0"/>
      <w:bookmarkStart w:id="1234" w:name="Tc_siICsbu_5UKCsfXOWJnS5g_2_5"/>
      <w:bookmarkStart w:id="1235" w:name="Tc_sszi_qMGiUCz5lL9Zn4n2Q_2_2"/>
      <w:bookmarkStart w:id="1236" w:name="Tc_7LIFlG2aKkmuL2Q3gDgCTA_1_5"/>
      <w:bookmarkStart w:id="1237" w:name="Tc_0EpHZTmWZEefomH9qc_F8Q_1_2"/>
      <w:bookmarkStart w:id="1238" w:name="_a3507f13_0111_4500_b2d0_82f1153246d1"/>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r>
        <w:rPr>
          <w:rFonts w:ascii="Times New Roman;Times;serif" w:hAnsi="Times New Roman;Times;serif"/>
          <w:b/>
          <w:i/>
          <w:sz w:val="20"/>
        </w:rPr>
        <w:t>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unconsolidated joint ventures includes the Company’s investment accounted for using the equity method. The following table presents details of the Company’s investment in unconsolidated joint ventures and total outstanding debt of unconsolidated JVs:</w:t>
      </w:r>
    </w:p>
    <w:p>
      <w:pPr>
        <w:pStyle w:val="TextBody"/>
        <w:bidi w:val="0"/>
        <w:spacing w:before="0" w:after="0"/>
        <w:ind w:left="0" w:right="0" w:hanging="0"/>
        <w:jc w:val="left"/>
        <w:rPr/>
      </w:pPr>
      <w:r>
        <w:rPr/>
        <w:t>​</w:t>
      </w:r>
    </w:p>
    <w:tbl>
      <w:tblPr>
        <w:tblW w:w="7505" w:type="dxa"/>
        <w:jc w:val="left"/>
        <w:tblInd w:w="0" w:type="dxa"/>
        <w:tblLayout w:type="fixed"/>
        <w:tblCellMar>
          <w:top w:w="0" w:type="dxa"/>
          <w:left w:w="0" w:type="dxa"/>
          <w:bottom w:w="0" w:type="dxa"/>
          <w:right w:w="0" w:type="dxa"/>
        </w:tblCellMar>
      </w:tblPr>
      <w:tblGrid>
        <w:gridCol w:w="4741"/>
        <w:gridCol w:w="346"/>
        <w:gridCol w:w="211"/>
        <w:gridCol w:w="676"/>
        <w:gridCol w:w="346"/>
        <w:gridCol w:w="252"/>
        <w:gridCol w:w="933"/>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010535" cy="175260"/>
                      <wp:effectExtent l="0" t="0" r="0" b="0"/>
                      <wp:wrapNone/>
                      <wp:docPr id="167" name="Frame167"/>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0020" cy="175260"/>
                      <wp:effectExtent l="0" t="0" r="0" b="0"/>
                      <wp:wrapNone/>
                      <wp:docPr id="172" name="Frame17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2455" cy="175260"/>
                      <wp:effectExtent l="0" t="0" r="0" b="0"/>
                      <wp:wrapNone/>
                      <wp:docPr id="173" name="Frame17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 unconsolidated joint ventures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  ​</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56,068</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51,648</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Fountains Independent Living JV</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3,159</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Pier Park TPS JV </w:t>
            </w:r>
            <w:r>
              <w:rPr>
                <w:rFonts w:ascii="Times New Roman;Times;serif" w:hAnsi="Times New Roman;Times;serif"/>
                <w:sz w:val="15"/>
              </w:rPr>
              <w:t>(b)</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RI JV</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7,494</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Busy Bee JV</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 Cart Watersound JV</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Management JV</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in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70,274</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66,052</w:t>
            </w:r>
          </w:p>
        </w:tc>
      </w:tr>
      <w:tr>
        <w:trPr/>
        <w:tc>
          <w:tcPr>
            <w:tcW w:w="47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pPr>
            <w:r>
              <w:rPr/>
              <w:t>  ​</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debt principal of unconsolidated JVs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pPr>
            <w:r>
              <w:rPr/>
              <w:t>—</w:t>
            </w:r>
          </w:p>
        </w:tc>
      </w:tr>
      <w:tr>
        <w:trPr/>
        <w:tc>
          <w:tcPr>
            <w:tcW w:w="47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Watersound Fountains Independent Living JV </w:t>
            </w:r>
            <w:r>
              <w:rPr>
                <w:rFonts w:ascii="Times New Roman;Times;serif" w:hAnsi="Times New Roman;Times;serif"/>
                <w:sz w:val="15"/>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41,195</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Pier Park TPS JV </w:t>
            </w:r>
            <w:r>
              <w:rPr>
                <w:rFonts w:ascii="Times New Roman;Times;serif" w:hAnsi="Times New Roman;Times;serif"/>
                <w:sz w:val="15"/>
              </w:rPr>
              <w:t>(c)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12,802</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RI JV</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Busy Bee JV</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5,025</w:t>
            </w:r>
          </w:p>
        </w:tc>
      </w:tr>
      <w:tr>
        <w:trPr/>
        <w:tc>
          <w:tcPr>
            <w:tcW w:w="47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Electric Cart Watersound JV </w:t>
            </w:r>
            <w:r>
              <w:rPr>
                <w:rFonts w:ascii="Times New Roman;Times;serif" w:hAnsi="Times New Roman;Times;serif"/>
                <w:sz w:val="15"/>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4,424</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outstanding debt principal of unconsolidated JVs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77,238</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79,696</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As of both June 30, 2026 and December 31, 2025, the Company’s investment in unconsolidated joint ventures includes intra-entity profit elimination of $0.5</w:t>
            </w:r>
            <w:r>
              <w:rPr>
                <w:caps w:val="false"/>
                <w:smallCaps w:val="false"/>
              </w:rPr>
              <w:t xml:space="preserve"> </w:t>
            </w:r>
            <w:r>
              <w:rPr>
                <w:rFonts w:ascii="Times New Roman;Times;serif" w:hAnsi="Times New Roman;Times;serif"/>
                <w:b w:val="false"/>
                <w:i w:val="false"/>
                <w:caps w:val="false"/>
                <w:smallCaps w:val="false"/>
                <w:sz w:val="18"/>
              </w:rPr>
              <w:t>million related to the sale of additional land to the JV, a pro-rata portion of which will be recognized as each home on the land is sold by the JV.</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As of December 31, 2025, the Company’s investment in the unconsolidated joint venture was below zero</w:t>
            </w:r>
            <w:r>
              <w:rPr>
                <w:caps w:val="false"/>
                <w:smallCaps w:val="false"/>
              </w:rPr>
              <w:t xml:space="preserve"> </w:t>
            </w:r>
            <w:r>
              <w:rPr>
                <w:rFonts w:ascii="Times New Roman;Times;serif" w:hAnsi="Times New Roman;Times;serif"/>
                <w:b w:val="false"/>
                <w:i w:val="false"/>
                <w:caps w:val="false"/>
                <w:smallCaps w:val="false"/>
                <w:sz w:val="18"/>
              </w:rPr>
              <w:t>due to cash distributions and non-cash depreciation and amortization expense. As of December 31, 2025, the Company’s investment in the unconsolidated joint venture is included within accounts payable and other liabilities on the condensed consolidated balance sheets. During the six months ended June 30, 2026, the Company and JV partner each made capital contributions of $1.1</w:t>
            </w:r>
            <w:r>
              <w:rPr>
                <w:caps w:val="false"/>
                <w:smallCaps w:val="false"/>
              </w:rPr>
              <w:t xml:space="preserve"> </w:t>
            </w:r>
            <w:r>
              <w:rPr>
                <w:rFonts w:ascii="Times New Roman;Times;serif" w:hAnsi="Times New Roman;Times;serif"/>
                <w:b w:val="false"/>
                <w:i w:val="false"/>
                <w:caps w:val="false"/>
                <w:smallCaps w:val="false"/>
                <w:sz w:val="18"/>
              </w:rPr>
              <w:t>million related to financing and operations of the JV.</w:t>
            </w:r>
          </w:p>
        </w:tc>
      </w:tr>
    </w:tbl>
    <w:tbl>
      <w:tblPr>
        <w:tblW w:w="7607" w:type="dxa"/>
        <w:jc w:val="left"/>
        <w:tblInd w:w="0" w:type="dxa"/>
        <w:tblLayout w:type="fixed"/>
        <w:tblCellMar>
          <w:top w:w="0" w:type="dxa"/>
          <w:left w:w="0" w:type="dxa"/>
          <w:bottom w:w="0" w:type="dxa"/>
          <w:right w:w="0" w:type="dxa"/>
        </w:tblCellMar>
      </w:tblPr>
      <w:tblGrid>
        <w:gridCol w:w="316"/>
        <w:gridCol w:w="729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2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See Note 17. </w:t>
            </w:r>
            <w:r>
              <w:rPr>
                <w:rFonts w:ascii="Times New Roman;Times;serif" w:hAnsi="Times New Roman;Times;serif"/>
                <w:b w:val="false"/>
                <w:i/>
                <w:sz w:val="18"/>
              </w:rPr>
              <w:t>Commitments and Contingencies</w:t>
            </w:r>
            <w:r>
              <w:rPr>
                <w:caps w:val="false"/>
                <w:smallCaps w:val="false"/>
              </w:rPr>
              <w:t xml:space="preserve"> </w:t>
            </w:r>
            <w:r>
              <w:rPr>
                <w:rFonts w:ascii="Times New Roman;Times;serif" w:hAnsi="Times New Roman;Times;serif"/>
                <w:b w:val="false"/>
                <w:i w:val="false"/>
                <w:caps w:val="false"/>
                <w:smallCaps w:val="false"/>
                <w:sz w:val="18"/>
              </w:rPr>
              <w:t>for additional information related to outstanding debt.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had approximately $22.3 million in cumulative undistributed earnings from its unconsolidated JVs included within investment in unconsolidated joint ventures as of June 30, 2026. During the six months ended June 30, 2026 and 2025, the Company received distributions from unconsolidated JVs totaling $7.0 million and $13.5 million, respectively. During the six months ended June 30, 2026 and 2025, the Company made capital contributions to certain unconsolidated JVs totaling $3.3 million and $2.1 million, respectively, related to operations and financing. The Company's maximum exposure to loss due to involvement with the unconsolidated JVs as of June 30, 2026 was $127.1 million, which includes the carrying amounts of the investments, guarantees and other receivables. See Note 17.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 with respect to its involvement with unconsolidated JVs.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NewRomanPSMT" w:hAnsi="TimesNewRomanPSMT"/>
          <w:sz w:val="20"/>
        </w:rPr>
      </w:pPr>
      <w:bookmarkStart w:id="1239" w:name="Tc_jmjwn0Rc1USEvZrk4S7tZg_13_23"/>
      <w:bookmarkStart w:id="1240" w:name="Tc__PO0koiFyUmNgXx5JOV1pA_13_20"/>
      <w:bookmarkStart w:id="1241" w:name="Tc_XJZNwPaeDk6Oi3ETg8X-Ag_13_17"/>
      <w:bookmarkStart w:id="1242" w:name="Tc_cX8ryRvHVEewnSJwgKfQxQ_13_14"/>
      <w:bookmarkStart w:id="1243" w:name="Tc_BDYjQ2JgsEaOPk83Gsl28g_13_11"/>
      <w:bookmarkStart w:id="1244" w:name="Tc_vA4QrozbFEegfYPwx1djaA_13_8"/>
      <w:bookmarkStart w:id="1245" w:name="Tc_Z9dkC3U20U2pJIr51ilJhA_13_5"/>
      <w:bookmarkStart w:id="1246" w:name="Tc_sE5pwWzfVkSUo2Iu9QCBHA_13_2"/>
      <w:bookmarkStart w:id="1247" w:name="Tc_SGbntaQDMUKkIbTx-73Czg_13_0"/>
      <w:bookmarkStart w:id="1248" w:name="Tc_QgeYSqwDYkyljIQrmgQWxg_12_0"/>
      <w:bookmarkStart w:id="1249" w:name="Tc_rSw6CwRA9UyUDzCsCer1hg_11_21"/>
      <w:bookmarkStart w:id="1250" w:name="Tc_m-nBlYt8w0y78YL4wz4uNA_11_0"/>
      <w:bookmarkStart w:id="1251" w:name="Tc_E0UqLJR9gkq4bjeEd31DBg_10_23"/>
      <w:bookmarkStart w:id="1252" w:name="Tc_o0JZ0lI9IUq6hoB81wLgIQ_10_21"/>
      <w:bookmarkStart w:id="1253" w:name="Tc_7SA-z07dWUSi_HlV5f7DgQ_10_20"/>
      <w:bookmarkStart w:id="1254" w:name="Tc_Pgf0apMAfkOFp-19L6cQOA_10_17"/>
      <w:bookmarkStart w:id="1255" w:name="Tc_ezJ_8Rp45U-xV4fR-W5eQA_10_14"/>
      <w:bookmarkStart w:id="1256" w:name="Tc_rqd9VknT1EGSqYIOwZonkQ_10_11"/>
      <w:bookmarkStart w:id="1257" w:name="Tc_UBGR_Q020Uq5fDjRGTbSuA_10_8"/>
      <w:bookmarkStart w:id="1258" w:name="Tc_4laQc2FlH0m4UxOt_0-G-g_10_5"/>
      <w:bookmarkStart w:id="1259" w:name="Tc_PD0QvNGkjUeP0KojmbB7Fw_10_3"/>
      <w:bookmarkStart w:id="1260" w:name="Tc_OtnKiPInFkGoOng21Zx7hA_10_2"/>
      <w:bookmarkStart w:id="1261" w:name="Tc_JH0eivcMoky1ivXz8P-Hnw_10_0"/>
      <w:bookmarkStart w:id="1262" w:name="Tc_-t9xqosh002cLVCgm6OoXg_9_0"/>
      <w:bookmarkStart w:id="1263" w:name="Tc_eFSlj6KlR06qnwkMmDbArw_7_23"/>
      <w:bookmarkStart w:id="1264" w:name="Tc_N1W1a7XW8k-R5xFmYLXILg_7_20"/>
      <w:bookmarkStart w:id="1265" w:name="Tc_axUj1mSiQUCjrLsS0kCzrA_7_17"/>
      <w:bookmarkStart w:id="1266" w:name="Tc_AO6RcnwbPUGYZJMwJ9hTgg_7_14"/>
      <w:bookmarkStart w:id="1267" w:name="Tc_mzwDHij3gECvsp5_dd572g_7_11"/>
      <w:bookmarkStart w:id="1268" w:name="Tc_2zcYH4PDa0uUxjm8CTDn_g_7_8"/>
      <w:bookmarkStart w:id="1269" w:name="Tc_J-sjnZyM9UOkilJJFiRYkQ_7_5"/>
      <w:bookmarkStart w:id="1270" w:name="Tc_IfZ6BFwUAkyZwX6OYVEp0A_7_2"/>
      <w:bookmarkStart w:id="1271" w:name="Tc_H11I_jOWzUC34vZlJjQIEg_7_0"/>
      <w:bookmarkStart w:id="1272" w:name="Tc_Fo7uA84c6kyYqGso43HHFw_6_0"/>
      <w:bookmarkStart w:id="1273" w:name="Tc_KY7ezDGLdE-I5MiRMsXz7g_5_0"/>
      <w:bookmarkStart w:id="1274" w:name="Tc_RaIoolmVmk62-F0vw85mjQ_4_23"/>
      <w:bookmarkStart w:id="1275" w:name="Tc_sdaZWPB9c0SAa_SofMbnNQ_4_21"/>
      <w:bookmarkStart w:id="1276" w:name="Tc_FtB-rqgTQk6LTPbs3y9w3g_4_20"/>
      <w:bookmarkStart w:id="1277" w:name="Tc_DxxXps9baUWHNhvAh9Dokw_4_17"/>
      <w:bookmarkStart w:id="1278" w:name="Tc_hzO6LpNbxk2c4d2fO4wjTA_4_14"/>
      <w:bookmarkStart w:id="1279" w:name="Tc_Asnb2ihVNEG43qkvvvazOA_4_11"/>
      <w:bookmarkStart w:id="1280" w:name="Tc_VVIdVGgNik2NnJSsLvPLTA_4_8"/>
      <w:bookmarkStart w:id="1281" w:name="Tc_6LKuhO2lO0iBGE9AnEp8lg_4_5"/>
      <w:bookmarkStart w:id="1282" w:name="Tc_qoFFY6fwk0mi9hCzJzGvmA_4_4"/>
      <w:bookmarkStart w:id="1283" w:name="Tc_QtclJMGYHkODDnzeF5K0Xg_4_2"/>
      <w:bookmarkStart w:id="1284" w:name="Tc_Kx3ujBmkD0OQHuKHSrBCxw_4_0"/>
      <w:bookmarkStart w:id="1285" w:name="Tc_MS0SIRDYWkOcsYHV-uJzzg_3_0"/>
      <w:bookmarkStart w:id="1286" w:name="Tc_KB6NNCZtkk-3x4tBDvdpdA_2_23"/>
      <w:bookmarkStart w:id="1287" w:name="Tc_y6Gwjxf5s0SOJeOTABQebw_2_20"/>
      <w:bookmarkStart w:id="1288" w:name="Tc_nb4pJcfU1E6IIYBpq8jMYg_2_17"/>
      <w:bookmarkStart w:id="1289" w:name="Tc_UAR-BfqxFUiOWPwimkpeJA_2_14"/>
      <w:bookmarkStart w:id="1290" w:name="Tc_N2QhoMKupUO4Bs4iScMFiw_2_11"/>
      <w:bookmarkStart w:id="1291" w:name="Tc_h9_XLqg300qFLuTeej7Xcw_2_8"/>
      <w:bookmarkStart w:id="1292" w:name="Tc_dyFYZRw2F0u3iwIyWtRgQQ_2_5"/>
      <w:bookmarkStart w:id="1293" w:name="Tc_XkhLukVkMUuMluMl9UCFQQ_2_2"/>
      <w:bookmarkStart w:id="1294" w:name="Tc_nhse9hELGE2pgcj_KDunZw_1_2"/>
      <w:bookmarkStart w:id="1295" w:name="_64f67a8e_56c7_453b_9c74_37a3ffce9cc6"/>
      <w:bookmarkStart w:id="1296" w:name="Tc_oa5N0fcwZUeXVMoFv1VCCQ_11_11"/>
      <w:bookmarkStart w:id="1297" w:name="Tc_H67utEL8WUO477o5OtDrkA_11_8"/>
      <w:bookmarkStart w:id="1298" w:name="Tc_hZ8X_f0OqEW6cSvfSSp1bA_11_5"/>
      <w:bookmarkStart w:id="1299" w:name="Tc_omKOyo06nkei5IaGEPXIEg_11_2"/>
      <w:bookmarkStart w:id="1300" w:name="Tc_fBmBhIdlc0idBcVals_49w_11_0"/>
      <w:bookmarkStart w:id="1301" w:name="Tc_N3S_ciRJVEWZHyKx3Sm0Kw_10_0"/>
      <w:bookmarkStart w:id="1302" w:name="Tc_abUkQxkCp0iTE1Qj7kSoBA_9_6"/>
      <w:bookmarkStart w:id="1303" w:name="Tc_By311onVEU2Usljoh0xVQg_9_0"/>
      <w:bookmarkStart w:id="1304" w:name="Tc_sBjIwdQMgEKun3fmbnRrPQ_8_0"/>
      <w:bookmarkStart w:id="1305" w:name="Tc_86qK2IZVnUGVDYp-sp-4xg_7_0"/>
      <w:bookmarkStart w:id="1306" w:name="Tc_uczM-MNPmEqeSH_bE6HHKg_6_0"/>
      <w:bookmarkStart w:id="1307" w:name="Tc_bEkPJpuV206p6s5UyX3RQQ_5_0"/>
      <w:bookmarkStart w:id="1308" w:name="Tc_FAdZ2ETt_0KK0SLx2zZtuA_4_11"/>
      <w:bookmarkStart w:id="1309" w:name="Tc_IPKM7yCvU0agqt6F0mDiqQ_4_8"/>
      <w:bookmarkStart w:id="1310" w:name="Tc_h4F-g7THUESFHIXpNPtsHw_4_5"/>
      <w:bookmarkStart w:id="1311" w:name="Tc_2ysFNQ54yEO_v8BvrQ7Quw_4_2"/>
      <w:bookmarkStart w:id="1312" w:name="Tc_SOy1Qiy1dECPY8IjvOnYWA_4_0"/>
      <w:bookmarkStart w:id="1313" w:name="Tc_-QfWz2OR_EG4uNu_m8yNvQ_3_0"/>
      <w:bookmarkStart w:id="1314" w:name="Tc_Gg24khB58kaRmBQ29MZSOg_2_11"/>
      <w:bookmarkStart w:id="1315" w:name="Tc_FzqAC2ZZzkC2CiIlhcdCYQ_2_8"/>
      <w:bookmarkStart w:id="1316" w:name="Tc_hfRHP69Q9UOZ9PCLja-auA_2_5"/>
      <w:bookmarkStart w:id="1317" w:name="Tc_sMFYZAJ5EUCq70BgB7qgLQ_2_2"/>
      <w:bookmarkStart w:id="1318" w:name="Tc_nk5JjnWVQU6qPE-8C3q0sg_1_8"/>
      <w:bookmarkStart w:id="1319" w:name="Tc_JscSMM5J6E67QewsbpKXwQ_1_2"/>
      <w:bookmarkStart w:id="1320" w:name="_1299321c_95f1_4471_a610_b8126618dac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r>
        <w:rPr>
          <w:rFonts w:ascii="TimesNewRomanPSMT" w:hAnsi="TimesNewRomanPSMT"/>
          <w:sz w:val="20"/>
        </w:rPr>
        <w:t>The following table presents details of the Company’s equity in income (loss) from unconsolidated JVs:</w:t>
      </w:r>
    </w:p>
    <w:tbl>
      <w:tblPr>
        <w:tblW w:w="9710" w:type="dxa"/>
        <w:jc w:val="left"/>
        <w:tblInd w:w="0" w:type="dxa"/>
        <w:tblLayout w:type="fixed"/>
        <w:tblCellMar>
          <w:top w:w="0" w:type="dxa"/>
          <w:left w:w="0" w:type="dxa"/>
          <w:bottom w:w="0" w:type="dxa"/>
          <w:right w:w="0" w:type="dxa"/>
        </w:tblCellMar>
      </w:tblPr>
      <w:tblGrid>
        <w:gridCol w:w="5026"/>
        <w:gridCol w:w="109"/>
        <w:gridCol w:w="291"/>
        <w:gridCol w:w="788"/>
        <w:gridCol w:w="150"/>
        <w:gridCol w:w="291"/>
        <w:gridCol w:w="788"/>
        <w:gridCol w:w="109"/>
        <w:gridCol w:w="227"/>
        <w:gridCol w:w="745"/>
        <w:gridCol w:w="117"/>
        <w:gridCol w:w="227"/>
        <w:gridCol w:w="842"/>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191510" cy="175260"/>
                      <wp:effectExtent l="0" t="0" r="0" b="0"/>
                      <wp:wrapNone/>
                      <wp:docPr id="174" name="Frame174"/>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84785" cy="175260"/>
                      <wp:effectExtent l="0" t="0" r="0" b="0"/>
                      <wp:wrapNone/>
                      <wp:docPr id="176" name="Frame176"/>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00380" cy="175260"/>
                      <wp:effectExtent l="0" t="0" r="0" b="0"/>
                      <wp:wrapNone/>
                      <wp:docPr id="177" name="Frame17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95250" cy="175260"/>
                      <wp:effectExtent l="0" t="0" r="0" b="0"/>
                      <wp:wrapNone/>
                      <wp:docPr id="178" name="Frame178"/>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4785" cy="175260"/>
                      <wp:effectExtent l="0" t="0" r="0" b="0"/>
                      <wp:wrapNone/>
                      <wp:docPr id="179" name="Frame179"/>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00380" cy="175260"/>
                      <wp:effectExtent l="0" t="0" r="0" b="0"/>
                      <wp:wrapNone/>
                      <wp:docPr id="180" name="Frame180"/>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4145" cy="175260"/>
                      <wp:effectExtent l="0" t="0" r="0" b="0"/>
                      <wp:wrapNone/>
                      <wp:docPr id="182" name="Frame18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73075" cy="175260"/>
                      <wp:effectExtent l="0" t="0" r="0" b="0"/>
                      <wp:wrapNone/>
                      <wp:docPr id="183" name="Frame183"/>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4295" cy="175260"/>
                      <wp:effectExtent l="0" t="0" r="0" b="0"/>
                      <wp:wrapNone/>
                      <wp:docPr id="184" name="Frame184"/>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4145" cy="175260"/>
                      <wp:effectExtent l="0" t="0" r="0" b="0"/>
                      <wp:wrapNone/>
                      <wp:docPr id="185" name="Frame18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34670" cy="175260"/>
                      <wp:effectExtent l="0" t="0" r="0" b="0"/>
                      <wp:wrapNone/>
                      <wp:docPr id="186" name="Frame186"/>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0" w:type="dxa"/>
            <w:tcBorders/>
            <w:vAlign w:val="center"/>
          </w:tcPr>
          <w:p>
            <w:pPr>
              <w:pStyle w:val="TableContents"/>
              <w:bidi w:val="0"/>
              <w:spacing w:before="0" w:after="0"/>
              <w:ind w:left="0" w:right="0" w:hanging="0"/>
              <w:jc w:val="center"/>
              <w:rPr/>
            </w:pPr>
            <w:r>
              <w:rPr/>
              <w:t>​</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7" w:type="dxa"/>
            <w:tcBorders/>
            <w:vAlign w:val="center"/>
          </w:tcPr>
          <w:p>
            <w:pPr>
              <w:pStyle w:val="TableContents"/>
              <w:bidi w:val="0"/>
              <w:spacing w:before="0" w:after="0"/>
              <w:ind w:left="0" w:right="0" w:hanging="0"/>
              <w:jc w:val="left"/>
              <w:rPr/>
            </w:pPr>
            <w:r>
              <w:rPr/>
              <w:t>​</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 income (loss) 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left"/>
              <w:rPr/>
            </w:pPr>
            <w:r>
              <w:rPr/>
              <w:t>​</w:t>
            </w:r>
          </w:p>
        </w:tc>
        <w:tc>
          <w:tcPr>
            <w:tcW w:w="117"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(a)</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4,986</w:t>
            </w:r>
          </w:p>
        </w:tc>
        <w:tc>
          <w:tcPr>
            <w:tcW w:w="150"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8,435</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w:t>
            </w:r>
          </w:p>
        </w:tc>
        <w:tc>
          <w:tcPr>
            <w:tcW w:w="117"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21,135</w:t>
            </w:r>
          </w:p>
        </w:tc>
      </w:tr>
      <w:tr>
        <w:trPr/>
        <w:tc>
          <w:tcPr>
            <w:tcW w:w="50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Watersound Fountains Independent Living JV </w:t>
            </w:r>
            <w:r>
              <w:rPr>
                <w:rFonts w:ascii="Times New Roman;Times;serif" w:hAnsi="Times New Roman;Times;serif"/>
                <w:sz w:val="15"/>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w:t>
            </w:r>
          </w:p>
        </w:tc>
        <w:tc>
          <w:tcPr>
            <w:tcW w:w="117"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TPS JV</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150"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17"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50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Pier Park RI JV </w:t>
            </w:r>
            <w:r>
              <w:rPr>
                <w:rFonts w:ascii="Times New Roman;Times;serif" w:hAnsi="Times New Roman;Times;serif"/>
                <w:sz w:val="15"/>
              </w:rPr>
              <w:t>(c)</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117"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r>
      <w:tr>
        <w:trPr/>
        <w:tc>
          <w:tcPr>
            <w:tcW w:w="50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Busy Bee JV </w:t>
            </w:r>
            <w:r>
              <w:rPr>
                <w:rFonts w:ascii="Times New Roman;Times;serif" w:hAnsi="Times New Roman;Times;serif"/>
                <w:sz w:val="15"/>
              </w:rPr>
              <w:t>(d)</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50"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0"/>
              <w:ind w:left="0" w:right="0" w:hanging="0"/>
              <w:jc w:val="right"/>
              <w:rPr/>
            </w:pPr>
            <w:r>
              <w:rPr/>
              <w:t>​</w:t>
            </w:r>
          </w:p>
        </w:tc>
        <w:tc>
          <w:tcPr>
            <w:tcW w:w="227"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17"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 Cart Watersound JV</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17"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Management JV</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50" w:type="dxa"/>
            <w:tcBorders/>
            <w:vAlign w:val="center"/>
          </w:tcPr>
          <w:p>
            <w:pPr>
              <w:pStyle w:val="TableContents"/>
              <w:bidi w:val="0"/>
              <w:spacing w:before="0" w:after="0"/>
              <w:ind w:left="0" w:right="0" w:hanging="0"/>
              <w:jc w:val="righ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17"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 in income 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4,474</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7,547</w:t>
            </w:r>
          </w:p>
        </w:tc>
        <w:tc>
          <w:tcPr>
            <w:tcW w:w="109" w:type="dxa"/>
            <w:tcBorders/>
            <w:shd w:fill="CCEEFF" w:val="clear"/>
            <w:vAlign w:val="center"/>
          </w:tcPr>
          <w:p>
            <w:pPr>
              <w:pStyle w:val="TableContents"/>
              <w:bidi w:val="0"/>
              <w:spacing w:before="0" w:after="0"/>
              <w:ind w:left="0" w:right="0" w:hanging="0"/>
              <w:jc w:val="righ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7,999</w:t>
            </w:r>
          </w:p>
        </w:tc>
        <w:tc>
          <w:tcPr>
            <w:tcW w:w="117"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17,705</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During the three months ended June 30, 2026 and 2025, the Latitude Margaritaville Watersound JV completed 86</w:t>
            </w:r>
            <w:r>
              <w:rPr>
                <w:caps w:val="false"/>
                <w:smallCaps w:val="false"/>
              </w:rPr>
              <w:t xml:space="preserve"> </w:t>
            </w:r>
            <w:r>
              <w:rPr>
                <w:rFonts w:ascii="Times New Roman;Times;serif" w:hAnsi="Times New Roman;Times;serif"/>
                <w:b w:val="false"/>
                <w:i w:val="false"/>
                <w:caps w:val="false"/>
                <w:smallCaps w:val="false"/>
                <w:sz w:val="18"/>
              </w:rPr>
              <w:t>and 137</w:t>
            </w:r>
            <w:r>
              <w:rPr>
                <w:caps w:val="false"/>
                <w:smallCaps w:val="false"/>
              </w:rPr>
              <w:t xml:space="preserve"> </w:t>
            </w:r>
            <w:r>
              <w:rPr>
                <w:rFonts w:ascii="Times New Roman;Times;serif" w:hAnsi="Times New Roman;Times;serif"/>
                <w:b w:val="false"/>
                <w:i w:val="false"/>
                <w:caps w:val="false"/>
                <w:smallCaps w:val="false"/>
                <w:sz w:val="18"/>
              </w:rPr>
              <w:t>home sale transactions, respectively. During the six months ended June 30, 2026 and 2025, the Latitude Margaritaville Watersound JV completed 169</w:t>
            </w:r>
            <w:r>
              <w:rPr>
                <w:caps w:val="false"/>
                <w:smallCaps w:val="false"/>
              </w:rPr>
              <w:t xml:space="preserve"> </w:t>
            </w:r>
            <w:r>
              <w:rPr>
                <w:rFonts w:ascii="Times New Roman;Times;serif" w:hAnsi="Times New Roman;Times;serif"/>
                <w:b w:val="false"/>
                <w:i w:val="false"/>
                <w:caps w:val="false"/>
                <w:smallCaps w:val="false"/>
                <w:sz w:val="18"/>
              </w:rPr>
              <w:t>and 329</w:t>
            </w:r>
            <w:r>
              <w:rPr>
                <w:caps w:val="false"/>
                <w:smallCaps w:val="false"/>
              </w:rPr>
              <w:t xml:space="preserve"> </w:t>
            </w:r>
            <w:r>
              <w:rPr>
                <w:rFonts w:ascii="Times New Roman;Times;serif" w:hAnsi="Times New Roman;Times;serif"/>
                <w:b w:val="false"/>
                <w:i w:val="false"/>
                <w:caps w:val="false"/>
                <w:smallCaps w:val="false"/>
                <w:sz w:val="18"/>
              </w:rPr>
              <w:t>home sale transactions, respectively.</w:t>
            </w:r>
          </w:p>
        </w:tc>
      </w:tr>
    </w:tbl>
    <w:tbl>
      <w:tblPr>
        <w:tblW w:w="2927" w:type="dxa"/>
        <w:jc w:val="left"/>
        <w:tblInd w:w="0" w:type="dxa"/>
        <w:tblLayout w:type="fixed"/>
        <w:tblCellMar>
          <w:top w:w="0" w:type="dxa"/>
          <w:left w:w="0" w:type="dxa"/>
          <w:bottom w:w="0" w:type="dxa"/>
          <w:right w:w="0" w:type="dxa"/>
        </w:tblCellMar>
      </w:tblPr>
      <w:tblGrid>
        <w:gridCol w:w="331"/>
        <w:gridCol w:w="259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2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community is under lease-up. </w:t>
            </w:r>
          </w:p>
        </w:tc>
      </w:tr>
    </w:tbl>
    <w:tbl>
      <w:tblPr>
        <w:tblW w:w="7832" w:type="dxa"/>
        <w:jc w:val="left"/>
        <w:tblInd w:w="0" w:type="dxa"/>
        <w:tblLayout w:type="fixed"/>
        <w:tblCellMar>
          <w:top w:w="0" w:type="dxa"/>
          <w:left w:w="0" w:type="dxa"/>
          <w:bottom w:w="0" w:type="dxa"/>
          <w:right w:w="0" w:type="dxa"/>
        </w:tblCellMar>
      </w:tblPr>
      <w:tblGrid>
        <w:gridCol w:w="316"/>
        <w:gridCol w:w="75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six months ended June 30, 2025, include start-up, depreciation and interest expenses for the project.</w:t>
            </w:r>
          </w:p>
        </w:tc>
      </w:tr>
    </w:tbl>
    <w:tbl>
      <w:tblPr>
        <w:tblW w:w="8267" w:type="dxa"/>
        <w:jc w:val="left"/>
        <w:tblInd w:w="0" w:type="dxa"/>
        <w:tblLayout w:type="fixed"/>
        <w:tblCellMar>
          <w:top w:w="0" w:type="dxa"/>
          <w:left w:w="0" w:type="dxa"/>
          <w:bottom w:w="0" w:type="dxa"/>
          <w:right w:w="0" w:type="dxa"/>
        </w:tblCellMar>
      </w:tblPr>
      <w:tblGrid>
        <w:gridCol w:w="331"/>
        <w:gridCol w:w="793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0" w:after="240"/>
        <w:ind w:left="36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Summarized balance sheets for the Company’s unconsolidated JVs are as follows:</w:t>
      </w:r>
    </w:p>
    <w:tbl>
      <w:tblPr>
        <w:tblW w:w="10205" w:type="dxa"/>
        <w:jc w:val="left"/>
        <w:tblInd w:w="0" w:type="dxa"/>
        <w:tblLayout w:type="fixed"/>
        <w:tblCellMar>
          <w:top w:w="0" w:type="dxa"/>
          <w:left w:w="0" w:type="dxa"/>
          <w:bottom w:w="0" w:type="dxa"/>
          <w:right w:w="0" w:type="dxa"/>
        </w:tblCellMar>
      </w:tblPr>
      <w:tblGrid>
        <w:gridCol w:w="1401"/>
        <w:gridCol w:w="109"/>
        <w:gridCol w:w="259"/>
        <w:gridCol w:w="917"/>
        <w:gridCol w:w="215"/>
        <w:gridCol w:w="279"/>
        <w:gridCol w:w="862"/>
        <w:gridCol w:w="109"/>
        <w:gridCol w:w="206"/>
        <w:gridCol w:w="634"/>
        <w:gridCol w:w="109"/>
        <w:gridCol w:w="204"/>
        <w:gridCol w:w="626"/>
        <w:gridCol w:w="109"/>
        <w:gridCol w:w="198"/>
        <w:gridCol w:w="610"/>
        <w:gridCol w:w="109"/>
        <w:gridCol w:w="276"/>
        <w:gridCol w:w="725"/>
        <w:gridCol w:w="109"/>
        <w:gridCol w:w="353"/>
        <w:gridCol w:w="677"/>
        <w:gridCol w:w="109"/>
        <w:gridCol w:w="196"/>
        <w:gridCol w:w="804"/>
      </w:tblGrid>
      <w:tr>
        <w:trPr/>
        <w:tc>
          <w:tcPr>
            <w:tcW w:w="1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889635" cy="175260"/>
                      <wp:effectExtent l="0" t="0" r="0" b="0"/>
                      <wp:wrapNone/>
                      <wp:docPr id="187" name="Frame187"/>
                      <a:graphic xmlns:a="http://schemas.openxmlformats.org/drawingml/2006/main">
                        <a:graphicData uri="http://schemas.microsoft.com/office/word/2010/wordprocessingShape">
                          <wps:wsp>
                            <wps:cNvSpPr txBox="1"/>
                            <wps:spPr>
                              <a:xfrm>
                                <a:off x="0" y="0"/>
                                <a:ext cx="88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64465" cy="175260"/>
                      <wp:effectExtent l="0" t="0" r="0" b="0"/>
                      <wp:wrapNone/>
                      <wp:docPr id="189" name="Frame18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82295" cy="175260"/>
                      <wp:effectExtent l="0" t="0" r="0" b="0"/>
                      <wp:wrapNone/>
                      <wp:docPr id="190" name="Frame19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6525" cy="175260"/>
                      <wp:effectExtent l="0" t="0" r="0" b="0"/>
                      <wp:wrapNone/>
                      <wp:docPr id="191" name="Frame19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7165" cy="175260"/>
                      <wp:effectExtent l="0" t="0" r="0" b="0"/>
                      <wp:wrapNone/>
                      <wp:docPr id="192" name="Frame192"/>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47370" cy="175260"/>
                      <wp:effectExtent l="0" t="0" r="0" b="0"/>
                      <wp:wrapNone/>
                      <wp:docPr id="193" name="Frame193"/>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0810" cy="175260"/>
                      <wp:effectExtent l="0" t="0" r="0" b="0"/>
                      <wp:wrapNone/>
                      <wp:docPr id="195" name="Frame19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02590" cy="175260"/>
                      <wp:effectExtent l="0" t="0" r="0" b="0"/>
                      <wp:wrapNone/>
                      <wp:docPr id="196" name="Frame196"/>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9540" cy="175260"/>
                      <wp:effectExtent l="0" t="0" r="0" b="0"/>
                      <wp:wrapNone/>
                      <wp:docPr id="198" name="Frame19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97510" cy="175260"/>
                      <wp:effectExtent l="0" t="0" r="0" b="0"/>
                      <wp:wrapNone/>
                      <wp:docPr id="199" name="Frame199"/>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5730" cy="175260"/>
                      <wp:effectExtent l="0" t="0" r="0" b="0"/>
                      <wp:wrapNone/>
                      <wp:docPr id="201" name="Frame201"/>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87350" cy="175260"/>
                      <wp:effectExtent l="0" t="0" r="0" b="0"/>
                      <wp:wrapNone/>
                      <wp:docPr id="202" name="Frame202"/>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75260" cy="175260"/>
                      <wp:effectExtent l="0" t="0" r="0" b="0"/>
                      <wp:wrapNone/>
                      <wp:docPr id="204" name="Frame204"/>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60375" cy="175260"/>
                      <wp:effectExtent l="0" t="0" r="0" b="0"/>
                      <wp:wrapNone/>
                      <wp:docPr id="205" name="Frame205"/>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24155" cy="175260"/>
                      <wp:effectExtent l="0" t="0" r="0" b="0"/>
                      <wp:wrapNone/>
                      <wp:docPr id="207" name="Frame20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9895" cy="175260"/>
                      <wp:effectExtent l="0" t="0" r="0" b="0"/>
                      <wp:wrapNone/>
                      <wp:docPr id="208" name="Frame20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24460" cy="175260"/>
                      <wp:effectExtent l="0" t="0" r="0" b="0"/>
                      <wp:wrapNone/>
                      <wp:docPr id="210"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10540" cy="175260"/>
                      <wp:effectExtent l="0" t="0" r="0" b="0"/>
                      <wp:wrapNone/>
                      <wp:docPr id="211" name="Frame211"/>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695"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2026</w:t>
            </w:r>
          </w:p>
        </w:tc>
      </w:tr>
      <w:tr>
        <w:trPr/>
        <w:tc>
          <w:tcPr>
            <w:tcW w:w="1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Latitude Margaritaville Watersound JV</w:t>
            </w:r>
          </w:p>
        </w:tc>
        <w:tc>
          <w:tcPr>
            <w:tcW w:w="215"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Fountains Independent Living JV</w:t>
            </w:r>
          </w:p>
        </w:tc>
        <w:tc>
          <w:tcPr>
            <w:tcW w:w="109" w:type="dxa"/>
            <w:tcBorders/>
            <w:vAlign w:val="center"/>
          </w:tcPr>
          <w:p>
            <w:pPr>
              <w:pStyle w:val="TableContents"/>
              <w:bidi w:val="0"/>
              <w:spacing w:before="0" w:after="0"/>
              <w:ind w:left="0" w:right="0" w:hanging="0"/>
              <w:jc w:val="center"/>
              <w:rPr/>
            </w:pPr>
            <w:r>
              <w:rPr/>
              <w:t>​</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0"/>
              <w:ind w:left="0" w:right="0" w:hanging="0"/>
              <w:jc w:val="center"/>
              <w:rPr/>
            </w:pPr>
            <w:r>
              <w:rPr/>
              <w:t>​</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vAlign w:val="center"/>
          </w:tcPr>
          <w:p>
            <w:pPr>
              <w:pStyle w:val="TableContents"/>
              <w:bidi w:val="0"/>
              <w:spacing w:before="0" w:after="0"/>
              <w:ind w:left="0" w:right="0" w:hanging="0"/>
              <w:jc w:val="center"/>
              <w:rPr/>
            </w:pPr>
            <w:r>
              <w:rPr/>
              <w:t>​</w:t>
            </w:r>
          </w:p>
        </w:tc>
        <w:tc>
          <w:tcPr>
            <w:tcW w:w="8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109" w:type="dxa"/>
            <w:tcBorders/>
            <w:vAlign w:val="center"/>
          </w:tcPr>
          <w:p>
            <w:pPr>
              <w:pStyle w:val="TableContents"/>
              <w:bidi w:val="0"/>
              <w:spacing w:before="0" w:after="0"/>
              <w:ind w:left="0" w:right="0" w:hanging="0"/>
              <w:jc w:val="center"/>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4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r>
      <w:tr>
        <w:trPr/>
        <w:tc>
          <w:tcPr>
            <w:tcW w:w="1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real estate, net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93,104</w:t>
            </w:r>
          </w:p>
        </w:tc>
        <w:tc>
          <w:tcPr>
            <w:tcW w:w="215" w:type="dxa"/>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(a)</w:t>
            </w:r>
          </w:p>
        </w:tc>
        <w:tc>
          <w:tcPr>
            <w:tcW w:w="2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46,483</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11,256</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29,434</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7,394</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4,779</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192,450</w:t>
            </w:r>
          </w:p>
        </w:tc>
      </w:tr>
      <w:tr>
        <w:trPr/>
        <w:tc>
          <w:tcPr>
            <w:tcW w:w="14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39,248</w:t>
            </w:r>
          </w:p>
        </w:tc>
        <w:tc>
          <w:tcPr>
            <w:tcW w:w="215"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812</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1,133</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43,669</w:t>
            </w:r>
          </w:p>
        </w:tc>
      </w:tr>
      <w:tr>
        <w:trPr/>
        <w:tc>
          <w:tcPr>
            <w:tcW w:w="1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1,749</w:t>
            </w:r>
          </w:p>
        </w:tc>
        <w:tc>
          <w:tcPr>
            <w:tcW w:w="215" w:type="dxa"/>
            <w:tcBorders/>
            <w:vAlign w:val="center"/>
          </w:tcPr>
          <w:p>
            <w:pPr>
              <w:pStyle w:val="TableContents"/>
              <w:bidi w:val="0"/>
              <w:spacing w:before="0" w:after="0"/>
              <w:ind w:left="0" w:right="0" w:hanging="0"/>
              <w:jc w:val="righ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w:t>
            </w:r>
          </w:p>
        </w:tc>
        <w:tc>
          <w:tcPr>
            <w:tcW w:w="109" w:type="dxa"/>
            <w:tcBorders/>
            <w:vAlign w:val="center"/>
          </w:tcPr>
          <w:p>
            <w:pPr>
              <w:pStyle w:val="TableContents"/>
              <w:bidi w:val="0"/>
              <w:spacing w:before="0" w:after="0"/>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c>
          <w:tcPr>
            <w:tcW w:w="109"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10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1,895</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4,872</w:t>
            </w:r>
          </w:p>
        </w:tc>
      </w:tr>
      <w:tr>
        <w:trPr/>
        <w:tc>
          <w:tcPr>
            <w:tcW w:w="14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134,101</w:t>
            </w:r>
          </w:p>
        </w:tc>
        <w:tc>
          <w:tcPr>
            <w:tcW w:w="215" w:type="dxa"/>
            <w:tcBorders/>
            <w:shd w:fill="CCEEFF" w:val="clear"/>
            <w:vAlign w:val="center"/>
          </w:tcPr>
          <w:p>
            <w:pPr>
              <w:pStyle w:val="TableContents"/>
              <w:bidi w:val="0"/>
              <w:spacing w:before="0" w:after="0"/>
              <w:ind w:left="0" w:right="0" w:hanging="0"/>
              <w:jc w:val="righ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47,711</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12,304</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30,728</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10,111</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5,905</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240,991</w:t>
            </w:r>
          </w:p>
        </w:tc>
      </w:tr>
      <w:tr>
        <w:trPr/>
        <w:tc>
          <w:tcPr>
            <w:tcW w:w="1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279"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r>
      <w:tr>
        <w:trPr/>
        <w:tc>
          <w:tcPr>
            <w:tcW w:w="14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EQUITY</w:t>
            </w:r>
          </w:p>
        </w:tc>
        <w:tc>
          <w:tcPr>
            <w:tcW w:w="109" w:type="dxa"/>
            <w:tcBorders/>
            <w:shd w:fill="CCEEFF" w:val="clear"/>
            <w:vAlign w:val="center"/>
          </w:tcPr>
          <w:p>
            <w:pPr>
              <w:pStyle w:val="TableContents"/>
              <w:bidi w:val="0"/>
              <w:spacing w:before="0" w:after="0"/>
              <w:ind w:left="0" w:right="0" w:hanging="0"/>
              <w:jc w:val="center"/>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4"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 </w:t>
            </w:r>
          </w:p>
        </w:tc>
      </w:tr>
      <w:tr>
        <w:trPr/>
        <w:tc>
          <w:tcPr>
            <w:tcW w:w="1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net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40,869</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10,728</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16,011</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4,849</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4,373</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76,830</w:t>
            </w:r>
          </w:p>
        </w:tc>
      </w:tr>
      <w:tr>
        <w:trPr/>
        <w:tc>
          <w:tcPr>
            <w:tcW w:w="14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33,037</w:t>
            </w:r>
          </w:p>
        </w:tc>
        <w:tc>
          <w:tcPr>
            <w:tcW w:w="215"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35,469</w:t>
            </w:r>
          </w:p>
        </w:tc>
      </w:tr>
      <w:tr>
        <w:trPr/>
        <w:tc>
          <w:tcPr>
            <w:tcW w:w="1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101,064</w:t>
            </w:r>
          </w:p>
        </w:tc>
        <w:tc>
          <w:tcPr>
            <w:tcW w:w="215" w:type="dxa"/>
            <w:tcBorders/>
            <w:vAlign w:val="center"/>
          </w:tcPr>
          <w:p>
            <w:pPr>
              <w:pStyle w:val="TableContents"/>
              <w:bidi w:val="0"/>
              <w:spacing w:before="0" w:after="0"/>
              <w:ind w:left="0" w:right="0" w:hanging="0"/>
              <w:jc w:val="righ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5,917</w:t>
            </w:r>
          </w:p>
        </w:tc>
        <w:tc>
          <w:tcPr>
            <w:tcW w:w="109"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1,271</w:t>
            </w:r>
          </w:p>
        </w:tc>
        <w:tc>
          <w:tcPr>
            <w:tcW w:w="109"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14,320</w:t>
            </w:r>
          </w:p>
        </w:tc>
        <w:tc>
          <w:tcPr>
            <w:tcW w:w="10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128,692</w:t>
            </w:r>
          </w:p>
        </w:tc>
      </w:tr>
      <w:tr>
        <w:trPr/>
        <w:tc>
          <w:tcPr>
            <w:tcW w:w="14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134,101</w:t>
            </w:r>
          </w:p>
        </w:tc>
        <w:tc>
          <w:tcPr>
            <w:tcW w:w="215" w:type="dxa"/>
            <w:tcBorders/>
            <w:shd w:fill="CCEEFF" w:val="clear"/>
            <w:vAlign w:val="center"/>
          </w:tcPr>
          <w:p>
            <w:pPr>
              <w:pStyle w:val="TableContents"/>
              <w:bidi w:val="0"/>
              <w:spacing w:before="0" w:after="0"/>
              <w:ind w:left="0" w:right="0" w:hanging="0"/>
              <w:jc w:val="righ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47,711</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12,304</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30,728</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10,111</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5,905</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240,991</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Investment in real estate, net includes the initial land contributed to the Latitude Margaritaville Watersound JV at the Company’s historical cost basis and additional completed infrastructure improvements.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21" w:name="Tc_jHU42uWom0udskH8QH-RpA_14_23"/>
      <w:bookmarkStart w:id="1322" w:name="Tc_KPWWNF6dAEi-iX9GrK3Z8w_14_20"/>
      <w:bookmarkStart w:id="1323" w:name="Tc_IQHjBcQ_ukmGwjf3Xx48pA_14_17"/>
      <w:bookmarkStart w:id="1324" w:name="Tc_5B7NpUAt_USeK9OVGElu3g_14_14"/>
      <w:bookmarkStart w:id="1325" w:name="Tc_Y3L--J76akmCHlBkzOIzyQ_14_11"/>
      <w:bookmarkStart w:id="1326" w:name="Tc_XlnkOkc5vUe4640TElZosQ_14_8"/>
      <w:bookmarkStart w:id="1327" w:name="Tc_gwb6qx3ZWUKa6wvhUP-kWQ_14_5"/>
      <w:bookmarkStart w:id="1328" w:name="Tc_9Vyxmd8quUKyeTLxhbBcYg_14_2"/>
      <w:bookmarkStart w:id="1329" w:name="Tc_78ROiE2kKUSayTZopqxXng_14_0"/>
      <w:bookmarkStart w:id="1330" w:name="Tc_zEdysXrF2EK3w4Xsv6HcFg_13_21"/>
      <w:bookmarkStart w:id="1331" w:name="Tc_rIjXA-Fhd0qoNjHNeqTNEA_13_0"/>
      <w:bookmarkStart w:id="1332" w:name="Tc_YArbl_-WBE6vPDPq7RfyLQ_12_21"/>
      <w:bookmarkStart w:id="1333" w:name="Tc_uZHSErK_Tk-BK2UvbIQUQg_12_16"/>
      <w:bookmarkStart w:id="1334" w:name="Tc_pZzCUF6N3EGzf2wF1KgHpg_12_12"/>
      <w:bookmarkStart w:id="1335" w:name="Tc_cFRynAZR4EqVhrdC6GILjQ_12_0"/>
      <w:bookmarkStart w:id="1336" w:name="Tc_4llDBbSyl0eINHZRYWVOHg_11_21"/>
      <w:bookmarkStart w:id="1337" w:name="Tc_j2TrTB7goEaDAc-wrPVy1A_11_3"/>
      <w:bookmarkStart w:id="1338" w:name="Tc_BoydE02URU2tLAgccgljOg_11_0"/>
      <w:bookmarkStart w:id="1339" w:name="Tc_M8GUAOtEik2weGdr0CHeOw_10_0"/>
      <w:bookmarkStart w:id="1340" w:name="Tc_2Yr__idzIkeuPLXE2e6x7A_9_0"/>
      <w:bookmarkStart w:id="1341" w:name="Tc_YkP5_Luj9kG_QXpGAqNlQQ_8_0"/>
      <w:bookmarkStart w:id="1342" w:name="Tc_Hw_MGjNc2E2bjQqeogL0xw_7_21"/>
      <w:bookmarkStart w:id="1343" w:name="Tc_m-kELgNtk0qvWwmBJfY0OA_7_0"/>
      <w:bookmarkStart w:id="1344" w:name="Tc_uKVBEEAf6EuCSNzTFi95rQ_6_21"/>
      <w:bookmarkStart w:id="1345" w:name="Tc_TqUWrXfbTkWg-2UVGpcpGw_6_15"/>
      <w:bookmarkStart w:id="1346" w:name="Tc_1y9pK3BILEGlIJxd8UZnhg_6_12"/>
      <w:bookmarkStart w:id="1347" w:name="Tc_XUOkKrcypkCSn2qyXKqkrA_6_9"/>
      <w:bookmarkStart w:id="1348" w:name="Tc_t09IE2TMAUO3ZIspOdVYig_6_6"/>
      <w:bookmarkStart w:id="1349" w:name="Tc_i6eOz6qVTUmyrvcW-fgS4g_6_0"/>
      <w:bookmarkStart w:id="1350" w:name="Tc_nkbNuuhXIEq7dBM_fNuj8g_5_0"/>
      <w:bookmarkStart w:id="1351" w:name="Tc_3NP8R2uLXE-arncmOCNTZQ_4_0"/>
      <w:bookmarkStart w:id="1352" w:name="Tc_vbkF5luo8UuGyUXgj_8ggQ_3_23"/>
      <w:bookmarkStart w:id="1353" w:name="Tc_QzUBrDVQeUai052LK3Vlew_3_20"/>
      <w:bookmarkStart w:id="1354" w:name="Tc_ewCZQrsNDEmeeL_0Ypl9LA_3_17"/>
      <w:bookmarkStart w:id="1355" w:name="Tc_aCeFDNG1cU-ioPMheiINTg_3_14"/>
      <w:bookmarkStart w:id="1356" w:name="Tc_TDs8GGpovUuzQEfkdMDw2w_3_11"/>
      <w:bookmarkStart w:id="1357" w:name="Tc_N0SWoC3zaEWVzO60Lp_p3Q_3_8"/>
      <w:bookmarkStart w:id="1358" w:name="Tc_o8dvu3MwSkmLNdeZUMsvuQ_3_5"/>
      <w:bookmarkStart w:id="1359" w:name="Tc_EQpH7DI3uES4FP1HuUIECQ_3_2"/>
      <w:bookmarkStart w:id="1360" w:name="Tc_D9vZ7iJgOUW1Is70q9ZOZw_3_0"/>
      <w:bookmarkStart w:id="1361" w:name="Tc_tfUllDg3Mk2e0A1JLRvHVA_2_24"/>
      <w:bookmarkStart w:id="1362" w:name="Tc_-X7kcduCAUSfrnHpDvSqYQ_2_20"/>
      <w:bookmarkStart w:id="1363" w:name="Tc_0vW2iCeI8EiCsk_EMkVfiA_2_17"/>
      <w:bookmarkStart w:id="1364" w:name="Tc_LxxC8DOqTE6T4o3t9yJqAw_2_14"/>
      <w:bookmarkStart w:id="1365" w:name="Tc__TkLebdYBkWgtEdiZGhOfw_2_11"/>
      <w:bookmarkStart w:id="1366" w:name="Tc_zZkLsV4R70yu0lN0TvHJjg_2_8"/>
      <w:bookmarkStart w:id="1367" w:name="Tc_GX-oJgVDeEy0C9iiBqeJrw_2_5"/>
      <w:bookmarkStart w:id="1368" w:name="Tc_kO5nfp_Xakan8vhj6UYuEw_2_2"/>
      <w:bookmarkStart w:id="1369" w:name="Tc_gKf_ss14aUGQkYJXKhoB_g_1_2"/>
      <w:bookmarkStart w:id="1370" w:name="_e6ecc8ea_719c_4ae8_8f1e_480f5dcf03c7"/>
      <w:bookmarkStart w:id="1371" w:name="Tc_TJGMO6VvfkS6EvP9eqqeWQ_13_23"/>
      <w:bookmarkStart w:id="1372" w:name="Tc_kPFrVZAJaU-a-obcXCa8Tw_13_20"/>
      <w:bookmarkStart w:id="1373" w:name="Tc_Zv_oZCu4sU6HPFZTp3wW7A_13_17"/>
      <w:bookmarkStart w:id="1374" w:name="Tc_9g8jDlBsrkuvw686BiEE2w_13_14"/>
      <w:bookmarkStart w:id="1375" w:name="Tc_B6KGSDYyl02mVRpXx9ROQg_13_11"/>
      <w:bookmarkStart w:id="1376" w:name="Tc_8nfw8HW-K0u2gigc2K2UtA_13_8"/>
      <w:bookmarkStart w:id="1377" w:name="Tc_SmisghdL_USox1FA5aH76w_13_5"/>
      <w:bookmarkStart w:id="1378" w:name="Tc_UPPYwjM-wUiKilgQ5Ecqig_13_2"/>
      <w:bookmarkStart w:id="1379" w:name="Tc_wNJad4_hPEOpCzbn0LN6ng_13_0"/>
      <w:bookmarkStart w:id="1380" w:name="Tc_l2Md3g_rYkSTjZM8iIaKDw_12_10"/>
      <w:bookmarkStart w:id="1381" w:name="Tc_HqCfKyW2UEqfy5yCZPAfxw_12_0"/>
      <w:bookmarkStart w:id="1382" w:name="Tc_9dkjmPC67EuhN1qs6xl8zg_11_0"/>
      <w:bookmarkStart w:id="1383" w:name="Tc_etqxoykldkeqbkepc6FqoA_10_23"/>
      <w:bookmarkStart w:id="1384" w:name="Tc_8fbjjuLIo0ua2692-EUY_w_10_21"/>
      <w:bookmarkStart w:id="1385" w:name="Tc_hbY2bF8_HUuNtUzQLJbFtQ_10_20"/>
      <w:bookmarkStart w:id="1386" w:name="Tc_wVsxNV9CXkmEdnuB8eFWlA_10_17"/>
      <w:bookmarkStart w:id="1387" w:name="Tc_i8pmWnuaRk2EYitJEPTPLw_10_14"/>
      <w:bookmarkStart w:id="1388" w:name="Tc_D82tLzNRM0-FHZrfoknxMw_10_11"/>
      <w:bookmarkStart w:id="1389" w:name="Tc_L6wsqhs9p0WNqgqZTBbxoQ_10_8"/>
      <w:bookmarkStart w:id="1390" w:name="Tc_r5vGVMUWcUuMQK3pDrMtbw_10_5"/>
      <w:bookmarkStart w:id="1391" w:name="Tc_jbstaZNiYkuK2i6DZUveGg_10_3"/>
      <w:bookmarkStart w:id="1392" w:name="Tc_qqEJxGAYpkiUnigSAL8ydg_10_2"/>
      <w:bookmarkStart w:id="1393" w:name="Tc_URakqEOyD0mJEF1G55ydgA_10_0"/>
      <w:bookmarkStart w:id="1394" w:name="Tc_BtZHBLvBe0uBh4EICz-TvQ_9_0"/>
      <w:bookmarkStart w:id="1395" w:name="Tc_HPoNnWytJ0GqVdF5-8LUzg_7_23"/>
      <w:bookmarkStart w:id="1396" w:name="Tc_hWU7sh19YEaY48qdohI3ow_7_20"/>
      <w:bookmarkStart w:id="1397" w:name="Tc_dLZ7DcqFUkCJ5PcS4xLmEA_7_17"/>
      <w:bookmarkStart w:id="1398" w:name="Tc_pLc_TAy7hk65qGF7V6FvhA_7_14"/>
      <w:bookmarkStart w:id="1399" w:name="Tc_9rvQPYdu8EWS1y96YRnamA_7_11"/>
      <w:bookmarkStart w:id="1400" w:name="Tc_zrKxIU0Wg0G2VudtpnYNuA_7_8"/>
      <w:bookmarkStart w:id="1401" w:name="Tc_mgMoP0XLuUqVhEV84SXbNQ_7_5"/>
      <w:bookmarkStart w:id="1402" w:name="Tc_MacD64Divke95tdCkL0jbw_7_2"/>
      <w:bookmarkStart w:id="1403" w:name="Tc_5yScHdJCO020wpVMpHbQjQ_7_0"/>
      <w:bookmarkStart w:id="1404" w:name="Tc_zQqihATd4kSj6gq39gkS-Q_6_0"/>
      <w:bookmarkStart w:id="1405" w:name="Tc_wIKqzTMDWkmOBUOx9R8fig_5_0"/>
      <w:bookmarkStart w:id="1406" w:name="Tc_VAjJG1NrPEK84-HC1sAcwQ_4_23"/>
      <w:bookmarkStart w:id="1407" w:name="Tc_Vfsq7sGnY0inObcDwapuGg_4_21"/>
      <w:bookmarkStart w:id="1408" w:name="Tc_M-te9X0OHUStWUHk0m_YcA_4_20"/>
      <w:bookmarkStart w:id="1409" w:name="Tc_j_17VX6jhESE5KhE3ng34w_4_17"/>
      <w:bookmarkStart w:id="1410" w:name="Tc_jQy9MiqNVEKYuLHApS5aIA_4_14"/>
      <w:bookmarkStart w:id="1411" w:name="Tc_h19PmfqiNEyJGZRYXKsLaw_4_11"/>
      <w:bookmarkStart w:id="1412" w:name="Tc_ZQksFBbmekqnfx_eAzOATQ_4_8"/>
      <w:bookmarkStart w:id="1413" w:name="Tc_BPZZLG4dmEi4dOOyl-8pmA_4_5"/>
      <w:bookmarkStart w:id="1414" w:name="Tc_21mP9wHwXkurGNhrDjXLRw_4_4"/>
      <w:bookmarkStart w:id="1415" w:name="Tc_XfwtGj5uFUKSGUivmDtG4g_4_2"/>
      <w:bookmarkStart w:id="1416" w:name="Tc_j9rwSPR5zUGK2tkKHBYBRA_4_0"/>
      <w:bookmarkStart w:id="1417" w:name="Tc_OAarm-8v40OQHT1rcXaNnw_3_0"/>
      <w:bookmarkStart w:id="1418" w:name="Tc_7jgnFolz10WxT-GQ75xb7g_2_23"/>
      <w:bookmarkStart w:id="1419" w:name="Tc_k25wsS9cyEC9YX5fb1i-VA_2_20"/>
      <w:bookmarkStart w:id="1420" w:name="Tc_TwlP2nNhuUmWMbADAxVZvA_2_17"/>
      <w:bookmarkStart w:id="1421" w:name="Tc_PvFiE25W3EyB7kfZQa74ng_2_14"/>
      <w:bookmarkStart w:id="1422" w:name="Tc_eq7psJ3vv02o4tkMv6pEyw_2_11"/>
      <w:bookmarkStart w:id="1423" w:name="Tc_qXp3iua2tkmo4wU_Kz25Gg_2_8"/>
      <w:bookmarkStart w:id="1424" w:name="Tc_wVJIwmU8i06d1IWm_43aCg_2_5"/>
      <w:bookmarkStart w:id="1425" w:name="Tc_PFfTG0yvz0yuzY2uYT7yLg_2_2"/>
      <w:bookmarkStart w:id="1426" w:name="Tc_r0Z8DL_F1EGlXBR6ymrYPg_1_2"/>
      <w:bookmarkStart w:id="1427" w:name="_8ed9ef7a_8a5f_455f_8222_c6b68ec29d2f"/>
      <w:bookmarkStart w:id="1428" w:name="Tc_jHU42uWom0udskH8QH-RpA_14_23"/>
      <w:bookmarkStart w:id="1429" w:name="Tc_KPWWNF6dAEi-iX9GrK3Z8w_14_20"/>
      <w:bookmarkStart w:id="1430" w:name="Tc_IQHjBcQ_ukmGwjf3Xx48pA_14_17"/>
      <w:bookmarkStart w:id="1431" w:name="Tc_5B7NpUAt_USeK9OVGElu3g_14_14"/>
      <w:bookmarkStart w:id="1432" w:name="Tc_Y3L--J76akmCHlBkzOIzyQ_14_11"/>
      <w:bookmarkStart w:id="1433" w:name="Tc_XlnkOkc5vUe4640TElZosQ_14_8"/>
      <w:bookmarkStart w:id="1434" w:name="Tc_gwb6qx3ZWUKa6wvhUP-kWQ_14_5"/>
      <w:bookmarkStart w:id="1435" w:name="Tc_9Vyxmd8quUKyeTLxhbBcYg_14_2"/>
      <w:bookmarkStart w:id="1436" w:name="Tc_78ROiE2kKUSayTZopqxXng_14_0"/>
      <w:bookmarkStart w:id="1437" w:name="Tc_zEdysXrF2EK3w4Xsv6HcFg_13_21"/>
      <w:bookmarkStart w:id="1438" w:name="Tc_rIjXA-Fhd0qoNjHNeqTNEA_13_0"/>
      <w:bookmarkStart w:id="1439" w:name="Tc_YArbl_-WBE6vPDPq7RfyLQ_12_21"/>
      <w:bookmarkStart w:id="1440" w:name="Tc_uZHSErK_Tk-BK2UvbIQUQg_12_16"/>
      <w:bookmarkStart w:id="1441" w:name="Tc_pZzCUF6N3EGzf2wF1KgHpg_12_12"/>
      <w:bookmarkStart w:id="1442" w:name="Tc_cFRynAZR4EqVhrdC6GILjQ_12_0"/>
      <w:bookmarkStart w:id="1443" w:name="Tc_4llDBbSyl0eINHZRYWVOHg_11_21"/>
      <w:bookmarkStart w:id="1444" w:name="Tc_j2TrTB7goEaDAc-wrPVy1A_11_3"/>
      <w:bookmarkStart w:id="1445" w:name="Tc_BoydE02URU2tLAgccgljOg_11_0"/>
      <w:bookmarkStart w:id="1446" w:name="Tc_M8GUAOtEik2weGdr0CHeOw_10_0"/>
      <w:bookmarkStart w:id="1447" w:name="Tc_2Yr__idzIkeuPLXE2e6x7A_9_0"/>
      <w:bookmarkStart w:id="1448" w:name="Tc_YkP5_Luj9kG_QXpGAqNlQQ_8_0"/>
      <w:bookmarkStart w:id="1449" w:name="Tc_Hw_MGjNc2E2bjQqeogL0xw_7_21"/>
      <w:bookmarkStart w:id="1450" w:name="Tc_m-kELgNtk0qvWwmBJfY0OA_7_0"/>
      <w:bookmarkStart w:id="1451" w:name="Tc_uKVBEEAf6EuCSNzTFi95rQ_6_21"/>
      <w:bookmarkStart w:id="1452" w:name="Tc_TqUWrXfbTkWg-2UVGpcpGw_6_15"/>
      <w:bookmarkStart w:id="1453" w:name="Tc_1y9pK3BILEGlIJxd8UZnhg_6_12"/>
      <w:bookmarkStart w:id="1454" w:name="Tc_XUOkKrcypkCSn2qyXKqkrA_6_9"/>
      <w:bookmarkStart w:id="1455" w:name="Tc_t09IE2TMAUO3ZIspOdVYig_6_6"/>
      <w:bookmarkStart w:id="1456" w:name="Tc_i6eOz6qVTUmyrvcW-fgS4g_6_0"/>
      <w:bookmarkStart w:id="1457" w:name="Tc_nkbNuuhXIEq7dBM_fNuj8g_5_0"/>
      <w:bookmarkStart w:id="1458" w:name="Tc_3NP8R2uLXE-arncmOCNTZQ_4_0"/>
      <w:bookmarkStart w:id="1459" w:name="Tc_vbkF5luo8UuGyUXgj_8ggQ_3_23"/>
      <w:bookmarkStart w:id="1460" w:name="Tc_QzUBrDVQeUai052LK3Vlew_3_20"/>
      <w:bookmarkStart w:id="1461" w:name="Tc_ewCZQrsNDEmeeL_0Ypl9LA_3_17"/>
      <w:bookmarkStart w:id="1462" w:name="Tc_aCeFDNG1cU-ioPMheiINTg_3_14"/>
      <w:bookmarkStart w:id="1463" w:name="Tc_TDs8GGpovUuzQEfkdMDw2w_3_11"/>
      <w:bookmarkStart w:id="1464" w:name="Tc_N0SWoC3zaEWVzO60Lp_p3Q_3_8"/>
      <w:bookmarkStart w:id="1465" w:name="Tc_o8dvu3MwSkmLNdeZUMsvuQ_3_5"/>
      <w:bookmarkStart w:id="1466" w:name="Tc_EQpH7DI3uES4FP1HuUIECQ_3_2"/>
      <w:bookmarkStart w:id="1467" w:name="Tc_D9vZ7iJgOUW1Is70q9ZOZw_3_0"/>
      <w:bookmarkStart w:id="1468" w:name="Tc_tfUllDg3Mk2e0A1JLRvHVA_2_24"/>
      <w:bookmarkStart w:id="1469" w:name="Tc_-X7kcduCAUSfrnHpDvSqYQ_2_20"/>
      <w:bookmarkStart w:id="1470" w:name="Tc_0vW2iCeI8EiCsk_EMkVfiA_2_17"/>
      <w:bookmarkStart w:id="1471" w:name="Tc_LxxC8DOqTE6T4o3t9yJqAw_2_14"/>
      <w:bookmarkStart w:id="1472" w:name="Tc__TkLebdYBkWgtEdiZGhOfw_2_11"/>
      <w:bookmarkStart w:id="1473" w:name="Tc_zZkLsV4R70yu0lN0TvHJjg_2_8"/>
      <w:bookmarkStart w:id="1474" w:name="Tc_GX-oJgVDeEy0C9iiBqeJrw_2_5"/>
      <w:bookmarkStart w:id="1475" w:name="Tc_kO5nfp_Xakan8vhj6UYuEw_2_2"/>
      <w:bookmarkStart w:id="1476" w:name="Tc_gKf_ss14aUGQkYJXKhoB_g_1_2"/>
      <w:bookmarkStart w:id="1477" w:name="_e6ecc8ea_719c_4ae8_8f1e_480f5dcf03c7"/>
      <w:bookmarkStart w:id="1478" w:name="Tc_TJGMO6VvfkS6EvP9eqqeWQ_13_23"/>
      <w:bookmarkStart w:id="1479" w:name="Tc_kPFrVZAJaU-a-obcXCa8Tw_13_20"/>
      <w:bookmarkStart w:id="1480" w:name="Tc_Zv_oZCu4sU6HPFZTp3wW7A_13_17"/>
      <w:bookmarkStart w:id="1481" w:name="Tc_9g8jDlBsrkuvw686BiEE2w_13_14"/>
      <w:bookmarkStart w:id="1482" w:name="Tc_B6KGSDYyl02mVRpXx9ROQg_13_11"/>
      <w:bookmarkStart w:id="1483" w:name="Tc_8nfw8HW-K0u2gigc2K2UtA_13_8"/>
      <w:bookmarkStart w:id="1484" w:name="Tc_SmisghdL_USox1FA5aH76w_13_5"/>
      <w:bookmarkStart w:id="1485" w:name="Tc_UPPYwjM-wUiKilgQ5Ecqig_13_2"/>
      <w:bookmarkStart w:id="1486" w:name="Tc_wNJad4_hPEOpCzbn0LN6ng_13_0"/>
      <w:bookmarkStart w:id="1487" w:name="Tc_l2Md3g_rYkSTjZM8iIaKDw_12_10"/>
      <w:bookmarkStart w:id="1488" w:name="Tc_HqCfKyW2UEqfy5yCZPAfxw_12_0"/>
      <w:bookmarkStart w:id="1489" w:name="Tc_9dkjmPC67EuhN1qs6xl8zg_11_0"/>
      <w:bookmarkStart w:id="1490" w:name="Tc_etqxoykldkeqbkepc6FqoA_10_23"/>
      <w:bookmarkStart w:id="1491" w:name="Tc_8fbjjuLIo0ua2692-EUY_w_10_21"/>
      <w:bookmarkStart w:id="1492" w:name="Tc_hbY2bF8_HUuNtUzQLJbFtQ_10_20"/>
      <w:bookmarkStart w:id="1493" w:name="Tc_wVsxNV9CXkmEdnuB8eFWlA_10_17"/>
      <w:bookmarkStart w:id="1494" w:name="Tc_i8pmWnuaRk2EYitJEPTPLw_10_14"/>
      <w:bookmarkStart w:id="1495" w:name="Tc_D82tLzNRM0-FHZrfoknxMw_10_11"/>
      <w:bookmarkStart w:id="1496" w:name="Tc_L6wsqhs9p0WNqgqZTBbxoQ_10_8"/>
      <w:bookmarkStart w:id="1497" w:name="Tc_r5vGVMUWcUuMQK3pDrMtbw_10_5"/>
      <w:bookmarkStart w:id="1498" w:name="Tc_jbstaZNiYkuK2i6DZUveGg_10_3"/>
      <w:bookmarkStart w:id="1499" w:name="Tc_qqEJxGAYpkiUnigSAL8ydg_10_2"/>
      <w:bookmarkStart w:id="1500" w:name="Tc_URakqEOyD0mJEF1G55ydgA_10_0"/>
      <w:bookmarkStart w:id="1501" w:name="Tc_BtZHBLvBe0uBh4EICz-TvQ_9_0"/>
      <w:bookmarkStart w:id="1502" w:name="Tc_HPoNnWytJ0GqVdF5-8LUzg_7_23"/>
      <w:bookmarkStart w:id="1503" w:name="Tc_hWU7sh19YEaY48qdohI3ow_7_20"/>
      <w:bookmarkStart w:id="1504" w:name="Tc_dLZ7DcqFUkCJ5PcS4xLmEA_7_17"/>
      <w:bookmarkStart w:id="1505" w:name="Tc_pLc_TAy7hk65qGF7V6FvhA_7_14"/>
      <w:bookmarkStart w:id="1506" w:name="Tc_9rvQPYdu8EWS1y96YRnamA_7_11"/>
      <w:bookmarkStart w:id="1507" w:name="Tc_zrKxIU0Wg0G2VudtpnYNuA_7_8"/>
      <w:bookmarkStart w:id="1508" w:name="Tc_mgMoP0XLuUqVhEV84SXbNQ_7_5"/>
      <w:bookmarkStart w:id="1509" w:name="Tc_MacD64Divke95tdCkL0jbw_7_2"/>
      <w:bookmarkStart w:id="1510" w:name="Tc_5yScHdJCO020wpVMpHbQjQ_7_0"/>
      <w:bookmarkStart w:id="1511" w:name="Tc_zQqihATd4kSj6gq39gkS-Q_6_0"/>
      <w:bookmarkStart w:id="1512" w:name="Tc_wIKqzTMDWkmOBUOx9R8fig_5_0"/>
      <w:bookmarkStart w:id="1513" w:name="Tc_VAjJG1NrPEK84-HC1sAcwQ_4_23"/>
      <w:bookmarkStart w:id="1514" w:name="Tc_Vfsq7sGnY0inObcDwapuGg_4_21"/>
      <w:bookmarkStart w:id="1515" w:name="Tc_M-te9X0OHUStWUHk0m_YcA_4_20"/>
      <w:bookmarkStart w:id="1516" w:name="Tc_j_17VX6jhESE5KhE3ng34w_4_17"/>
      <w:bookmarkStart w:id="1517" w:name="Tc_jQy9MiqNVEKYuLHApS5aIA_4_14"/>
      <w:bookmarkStart w:id="1518" w:name="Tc_h19PmfqiNEyJGZRYXKsLaw_4_11"/>
      <w:bookmarkStart w:id="1519" w:name="Tc_ZQksFBbmekqnfx_eAzOATQ_4_8"/>
      <w:bookmarkStart w:id="1520" w:name="Tc_BPZZLG4dmEi4dOOyl-8pmA_4_5"/>
      <w:bookmarkStart w:id="1521" w:name="Tc_21mP9wHwXkurGNhrDjXLRw_4_4"/>
      <w:bookmarkStart w:id="1522" w:name="Tc_XfwtGj5uFUKSGUivmDtG4g_4_2"/>
      <w:bookmarkStart w:id="1523" w:name="Tc_j9rwSPR5zUGK2tkKHBYBRA_4_0"/>
      <w:bookmarkStart w:id="1524" w:name="Tc_OAarm-8v40OQHT1rcXaNnw_3_0"/>
      <w:bookmarkStart w:id="1525" w:name="Tc_7jgnFolz10WxT-GQ75xb7g_2_23"/>
      <w:bookmarkStart w:id="1526" w:name="Tc_k25wsS9cyEC9YX5fb1i-VA_2_20"/>
      <w:bookmarkStart w:id="1527" w:name="Tc_TwlP2nNhuUmWMbADAxVZvA_2_17"/>
      <w:bookmarkStart w:id="1528" w:name="Tc_PvFiE25W3EyB7kfZQa74ng_2_14"/>
      <w:bookmarkStart w:id="1529" w:name="Tc_eq7psJ3vv02o4tkMv6pEyw_2_11"/>
      <w:bookmarkStart w:id="1530" w:name="Tc_qXp3iua2tkmo4wU_Kz25Gg_2_8"/>
      <w:bookmarkStart w:id="1531" w:name="Tc_wVJIwmU8i06d1IWm_43aCg_2_5"/>
      <w:bookmarkStart w:id="1532" w:name="Tc_PFfTG0yvz0yuzY2uYT7yLg_2_2"/>
      <w:bookmarkStart w:id="1533" w:name="Tc_r0Z8DL_F1EGlXBR6ymrYPg_1_2"/>
      <w:bookmarkStart w:id="1534" w:name="_8ed9ef7a_8a5f_455f_8222_c6b68ec29d2f"/>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p>
    <w:tbl>
      <w:tblPr>
        <w:tblW w:w="10205" w:type="dxa"/>
        <w:jc w:val="left"/>
        <w:tblInd w:w="0" w:type="dxa"/>
        <w:tblLayout w:type="fixed"/>
        <w:tblCellMar>
          <w:top w:w="0" w:type="dxa"/>
          <w:left w:w="0" w:type="dxa"/>
          <w:bottom w:w="0" w:type="dxa"/>
          <w:right w:w="0" w:type="dxa"/>
        </w:tblCellMar>
      </w:tblPr>
      <w:tblGrid>
        <w:gridCol w:w="1380"/>
        <w:gridCol w:w="109"/>
        <w:gridCol w:w="254"/>
        <w:gridCol w:w="899"/>
        <w:gridCol w:w="214"/>
        <w:gridCol w:w="271"/>
        <w:gridCol w:w="838"/>
        <w:gridCol w:w="109"/>
        <w:gridCol w:w="204"/>
        <w:gridCol w:w="630"/>
        <w:gridCol w:w="229"/>
        <w:gridCol w:w="203"/>
        <w:gridCol w:w="622"/>
        <w:gridCol w:w="109"/>
        <w:gridCol w:w="198"/>
        <w:gridCol w:w="609"/>
        <w:gridCol w:w="109"/>
        <w:gridCol w:w="272"/>
        <w:gridCol w:w="714"/>
        <w:gridCol w:w="109"/>
        <w:gridCol w:w="347"/>
        <w:gridCol w:w="667"/>
        <w:gridCol w:w="109"/>
        <w:gridCol w:w="196"/>
        <w:gridCol w:w="804"/>
      </w:tblGrid>
      <w:tr>
        <w:trPr/>
        <w:tc>
          <w:tcPr>
            <w:tcW w:w="1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76300" cy="175260"/>
                      <wp:effectExtent l="0" t="0" r="0" b="0"/>
                      <wp:wrapNone/>
                      <wp:docPr id="212" name="Frame212"/>
                      <a:graphic xmlns:a="http://schemas.openxmlformats.org/drawingml/2006/main">
                        <a:graphicData uri="http://schemas.microsoft.com/office/word/2010/wordprocessingShape">
                          <wps:wsp>
                            <wps:cNvSpPr txBox="1"/>
                            <wps:spPr>
                              <a:xfrm>
                                <a:off x="0" y="0"/>
                                <a:ext cx="876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1290" cy="175260"/>
                      <wp:effectExtent l="0" t="0" r="0" b="0"/>
                      <wp:wrapNone/>
                      <wp:docPr id="214" name="Frame21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70865" cy="175260"/>
                      <wp:effectExtent l="0" t="0" r="0" b="0"/>
                      <wp:wrapNone/>
                      <wp:docPr id="215" name="Frame215"/>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5890" cy="175260"/>
                      <wp:effectExtent l="0" t="0" r="0" b="0"/>
                      <wp:wrapNone/>
                      <wp:docPr id="216" name="Frame21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72085" cy="175260"/>
                      <wp:effectExtent l="0" t="0" r="0" b="0"/>
                      <wp:wrapNone/>
                      <wp:docPr id="217" name="Frame21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32130" cy="175260"/>
                      <wp:effectExtent l="0" t="0" r="0" b="0"/>
                      <wp:wrapNone/>
                      <wp:docPr id="218" name="Frame218"/>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29540" cy="175260"/>
                      <wp:effectExtent l="0" t="0" r="0" b="0"/>
                      <wp:wrapNone/>
                      <wp:docPr id="220" name="Frame220"/>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00050" cy="175260"/>
                      <wp:effectExtent l="0" t="0" r="0" b="0"/>
                      <wp:wrapNone/>
                      <wp:docPr id="221" name="Frame221"/>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5415" cy="175260"/>
                      <wp:effectExtent l="0" t="0" r="0" b="0"/>
                      <wp:wrapNone/>
                      <wp:docPr id="222" name="Frame222"/>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28905" cy="175260"/>
                      <wp:effectExtent l="0" t="0" r="0" b="0"/>
                      <wp:wrapNone/>
                      <wp:docPr id="223" name="Frame223"/>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94970" cy="175260"/>
                      <wp:effectExtent l="0" t="0" r="0" b="0"/>
                      <wp:wrapNone/>
                      <wp:docPr id="224" name="Frame224"/>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5730" cy="175260"/>
                      <wp:effectExtent l="0" t="0" r="0" b="0"/>
                      <wp:wrapNone/>
                      <wp:docPr id="226" name="Frame226"/>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86715" cy="175260"/>
                      <wp:effectExtent l="0" t="0" r="0" b="0"/>
                      <wp:wrapNone/>
                      <wp:docPr id="227" name="Frame227"/>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72720" cy="175260"/>
                      <wp:effectExtent l="0" t="0" r="0" b="0"/>
                      <wp:wrapNone/>
                      <wp:docPr id="229" name="Frame22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53390" cy="175260"/>
                      <wp:effectExtent l="0" t="0" r="0" b="0"/>
                      <wp:wrapNone/>
                      <wp:docPr id="230" name="Frame230"/>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20345" cy="175260"/>
                      <wp:effectExtent l="0" t="0" r="0" b="0"/>
                      <wp:wrapNone/>
                      <wp:docPr id="232" name="Frame23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23545" cy="175260"/>
                      <wp:effectExtent l="0" t="0" r="0" b="0"/>
                      <wp:wrapNone/>
                      <wp:docPr id="233" name="Frame233"/>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235" name="Frame2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10540" cy="175260"/>
                      <wp:effectExtent l="0" t="0" r="0" b="0"/>
                      <wp:wrapNone/>
                      <wp:docPr id="236" name="Frame236"/>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6"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December 31, 2025</w:t>
            </w:r>
          </w:p>
        </w:tc>
      </w:tr>
      <w:tr>
        <w:trPr/>
        <w:tc>
          <w:tcPr>
            <w:tcW w:w="13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Latitude Margaritaville Watersound JV</w:t>
            </w:r>
          </w:p>
        </w:tc>
        <w:tc>
          <w:tcPr>
            <w:tcW w:w="214" w:type="dxa"/>
            <w:tcBorders/>
            <w:vAlign w:val="center"/>
          </w:tcPr>
          <w:p>
            <w:pPr>
              <w:pStyle w:val="TableContents"/>
              <w:bidi w:val="0"/>
              <w:spacing w:before="0" w:after="0"/>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Fountains Independent Living JV</w:t>
            </w:r>
          </w:p>
        </w:tc>
        <w:tc>
          <w:tcPr>
            <w:tcW w:w="109" w:type="dxa"/>
            <w:tcBorders/>
            <w:vAlign w:val="center"/>
          </w:tcPr>
          <w:p>
            <w:pPr>
              <w:pStyle w:val="TableContents"/>
              <w:bidi w:val="0"/>
              <w:spacing w:before="0" w:after="0"/>
              <w:ind w:left="0" w:right="0" w:hanging="0"/>
              <w:jc w:val="center"/>
              <w:rPr/>
            </w:pPr>
            <w:r>
              <w:rPr/>
              <w:t>​</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229" w:type="dxa"/>
            <w:tcBorders/>
            <w:vAlign w:val="center"/>
          </w:tcPr>
          <w:p>
            <w:pPr>
              <w:pStyle w:val="TableContents"/>
              <w:bidi w:val="0"/>
              <w:spacing w:before="0" w:after="0"/>
              <w:ind w:left="0" w:right="0" w:hanging="0"/>
              <w:jc w:val="center"/>
              <w:rPr/>
            </w:pPr>
            <w:r>
              <w:rPr/>
              <w:t>​</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vAlign w:val="center"/>
          </w:tcPr>
          <w:p>
            <w:pPr>
              <w:pStyle w:val="TableContents"/>
              <w:bidi w:val="0"/>
              <w:spacing w:before="0" w:after="0"/>
              <w:ind w:left="0" w:right="0" w:hanging="0"/>
              <w:jc w:val="center"/>
              <w:rPr/>
            </w:pPr>
            <w:r>
              <w:rPr/>
              <w:t>​</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109" w:type="dxa"/>
            <w:tcBorders/>
            <w:vAlign w:val="center"/>
          </w:tcPr>
          <w:p>
            <w:pPr>
              <w:pStyle w:val="TableContents"/>
              <w:bidi w:val="0"/>
              <w:spacing w:before="0" w:after="0"/>
              <w:ind w:left="0" w:right="0" w:hanging="0"/>
              <w:jc w:val="center"/>
              <w:rPr/>
            </w:pPr>
            <w:r>
              <w:rPr/>
              <w:t>​</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38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r>
      <w:tr>
        <w:trPr/>
        <w:tc>
          <w:tcPr>
            <w:tcW w:w="138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real estate, net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108,617</w:t>
            </w:r>
          </w:p>
        </w:tc>
        <w:tc>
          <w:tcPr>
            <w:tcW w:w="214" w:type="dxa"/>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(a)</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47,929</w:t>
            </w:r>
          </w:p>
        </w:tc>
        <w:tc>
          <w:tcPr>
            <w:tcW w:w="109" w:type="dxa"/>
            <w:tcBorders/>
            <w:vAlign w:val="center"/>
          </w:tcPr>
          <w:p>
            <w:pPr>
              <w:pStyle w:val="TableContents"/>
              <w:bidi w:val="0"/>
              <w:spacing w:before="0" w:after="0"/>
              <w:ind w:left="0" w:right="0" w:hanging="0"/>
              <w:jc w:val="righ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11,469</w:t>
            </w:r>
          </w:p>
        </w:tc>
        <w:tc>
          <w:tcPr>
            <w:tcW w:w="22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30,773</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7,643</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4,904</w:t>
            </w:r>
          </w:p>
        </w:tc>
        <w:tc>
          <w:tcPr>
            <w:tcW w:w="109"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211,335</w:t>
            </w:r>
          </w:p>
        </w:tc>
      </w:tr>
      <w:tr>
        <w:trPr/>
        <w:tc>
          <w:tcPr>
            <w:tcW w:w="13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11,121</w:t>
            </w:r>
          </w:p>
        </w:tc>
        <w:tc>
          <w:tcPr>
            <w:tcW w:w="214"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109" w:type="dxa"/>
            <w:tcBorders/>
            <w:shd w:fill="CCEEFF" w:val="clear"/>
            <w:vAlign w:val="center"/>
          </w:tcPr>
          <w:p>
            <w:pPr>
              <w:pStyle w:val="TableContents"/>
              <w:bidi w:val="0"/>
              <w:spacing w:before="0" w:after="0"/>
              <w:ind w:left="0" w:right="0" w:hanging="0"/>
              <w:jc w:val="righ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w:t>
            </w:r>
          </w:p>
        </w:tc>
        <w:tc>
          <w:tcPr>
            <w:tcW w:w="22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1,005</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712</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13,791</w:t>
            </w:r>
          </w:p>
        </w:tc>
      </w:tr>
      <w:tr>
        <w:trPr/>
        <w:tc>
          <w:tcPr>
            <w:tcW w:w="138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w:t>
            </w:r>
          </w:p>
        </w:tc>
        <w:tc>
          <w:tcPr>
            <w:tcW w:w="214" w:type="dxa"/>
            <w:tcBorders/>
            <w:vAlign w:val="center"/>
          </w:tcPr>
          <w:p>
            <w:pPr>
              <w:pStyle w:val="TableContents"/>
              <w:bidi w:val="0"/>
              <w:spacing w:before="0" w:after="0"/>
              <w:ind w:left="0" w:right="0" w:hanging="0"/>
              <w:jc w:val="righ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109" w:type="dxa"/>
            <w:tcBorders/>
            <w:vAlign w:val="center"/>
          </w:tcPr>
          <w:p>
            <w:pPr>
              <w:pStyle w:val="TableContents"/>
              <w:bidi w:val="0"/>
              <w:spacing w:before="0" w:after="0"/>
              <w:ind w:left="0" w:right="0" w:hanging="0"/>
              <w:jc w:val="righ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w:t>
            </w:r>
          </w:p>
        </w:tc>
        <w:tc>
          <w:tcPr>
            <w:tcW w:w="229"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10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1,701</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w:t>
            </w:r>
          </w:p>
        </w:tc>
        <w:tc>
          <w:tcPr>
            <w:tcW w:w="109"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3,961</w:t>
            </w:r>
          </w:p>
        </w:tc>
      </w:tr>
      <w:tr>
        <w:trPr/>
        <w:tc>
          <w:tcPr>
            <w:tcW w:w="138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120,827</w:t>
            </w:r>
          </w:p>
        </w:tc>
        <w:tc>
          <w:tcPr>
            <w:tcW w:w="214" w:type="dxa"/>
            <w:tcBorders/>
            <w:shd w:fill="CCEEFF" w:val="clear"/>
            <w:vAlign w:val="center"/>
          </w:tcPr>
          <w:p>
            <w:pPr>
              <w:pStyle w:val="TableContents"/>
              <w:bidi w:val="0"/>
              <w:spacing w:before="0" w:after="0"/>
              <w:ind w:left="0" w:right="0" w:hanging="0"/>
              <w:jc w:val="righ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48,419</w:t>
            </w:r>
          </w:p>
        </w:tc>
        <w:tc>
          <w:tcPr>
            <w:tcW w:w="109" w:type="dxa"/>
            <w:tcBorders/>
            <w:shd w:fill="CCEEFF" w:val="clear"/>
            <w:vAlign w:val="center"/>
          </w:tcPr>
          <w:p>
            <w:pPr>
              <w:pStyle w:val="TableContents"/>
              <w:bidi w:val="0"/>
              <w:spacing w:before="0" w:after="0"/>
              <w:ind w:left="0" w:right="0" w:hanging="0"/>
              <w:jc w:val="righ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11,904</w:t>
            </w:r>
          </w:p>
        </w:tc>
        <w:tc>
          <w:tcPr>
            <w:tcW w:w="229"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31,269</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10,349</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6,145</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229,087</w:t>
            </w:r>
          </w:p>
        </w:tc>
      </w:tr>
      <w:tr>
        <w:trPr/>
        <w:tc>
          <w:tcPr>
            <w:tcW w:w="13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4"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r>
      <w:tr>
        <w:trPr/>
        <w:tc>
          <w:tcPr>
            <w:tcW w:w="138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EQUITY</w:t>
            </w:r>
          </w:p>
        </w:tc>
        <w:tc>
          <w:tcPr>
            <w:tcW w:w="109" w:type="dxa"/>
            <w:tcBorders/>
            <w:shd w:fill="CCEEFF" w:val="clear"/>
            <w:vAlign w:val="center"/>
          </w:tcPr>
          <w:p>
            <w:pPr>
              <w:pStyle w:val="TableContents"/>
              <w:bidi w:val="0"/>
              <w:spacing w:before="0" w:after="0"/>
              <w:ind w:left="0" w:right="0" w:hanging="0"/>
              <w:jc w:val="center"/>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 </w:t>
            </w:r>
          </w:p>
        </w:tc>
        <w:tc>
          <w:tcPr>
            <w:tcW w:w="22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0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 </w:t>
            </w:r>
          </w:p>
        </w:tc>
      </w:tr>
      <w:tr>
        <w:trPr/>
        <w:tc>
          <w:tcPr>
            <w:tcW w:w="138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net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41,037</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12,802</w:t>
            </w:r>
          </w:p>
        </w:tc>
        <w:tc>
          <w:tcPr>
            <w:tcW w:w="22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15,965</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5,025</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4,430</w:t>
            </w:r>
          </w:p>
        </w:tc>
        <w:tc>
          <w:tcPr>
            <w:tcW w:w="109"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79,259</w:t>
            </w:r>
          </w:p>
        </w:tc>
      </w:tr>
      <w:tr>
        <w:trPr/>
        <w:tc>
          <w:tcPr>
            <w:tcW w:w="13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30,670</w:t>
            </w:r>
          </w:p>
        </w:tc>
        <w:tc>
          <w:tcPr>
            <w:tcW w:w="214"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w:t>
            </w:r>
          </w:p>
        </w:tc>
        <w:tc>
          <w:tcPr>
            <w:tcW w:w="22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32,914</w:t>
            </w:r>
          </w:p>
        </w:tc>
      </w:tr>
      <w:tr>
        <w:trPr/>
        <w:tc>
          <w:tcPr>
            <w:tcW w:w="138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(deficit)</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90,157</w:t>
            </w:r>
          </w:p>
        </w:tc>
        <w:tc>
          <w:tcPr>
            <w:tcW w:w="214" w:type="dxa"/>
            <w:tcBorders/>
            <w:vAlign w:val="center"/>
          </w:tcPr>
          <w:p>
            <w:pPr>
              <w:pStyle w:val="TableContents"/>
              <w:bidi w:val="0"/>
              <w:spacing w:before="0" w:after="0"/>
              <w:ind w:left="0" w:right="0" w:hanging="0"/>
              <w:jc w:val="righ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6,390</w:t>
            </w:r>
          </w:p>
        </w:tc>
        <w:tc>
          <w:tcPr>
            <w:tcW w:w="109"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(1,079)</w:t>
            </w:r>
          </w:p>
        </w:tc>
        <w:tc>
          <w:tcPr>
            <w:tcW w:w="229"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(b)</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14,983</w:t>
            </w:r>
          </w:p>
        </w:tc>
        <w:tc>
          <w:tcPr>
            <w:tcW w:w="10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4,981</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1,361</w:t>
            </w:r>
          </w:p>
        </w:tc>
        <w:tc>
          <w:tcPr>
            <w:tcW w:w="109"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116,914</w:t>
            </w:r>
          </w:p>
        </w:tc>
      </w:tr>
      <w:tr>
        <w:trPr/>
        <w:tc>
          <w:tcPr>
            <w:tcW w:w="138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120,827</w:t>
            </w:r>
          </w:p>
        </w:tc>
        <w:tc>
          <w:tcPr>
            <w:tcW w:w="214" w:type="dxa"/>
            <w:tcBorders/>
            <w:shd w:fill="CCEEFF" w:val="clear"/>
            <w:vAlign w:val="center"/>
          </w:tcPr>
          <w:p>
            <w:pPr>
              <w:pStyle w:val="TableContents"/>
              <w:bidi w:val="0"/>
              <w:spacing w:before="0" w:after="0"/>
              <w:ind w:left="0" w:right="0" w:hanging="0"/>
              <w:jc w:val="righ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48,419</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11,904</w:t>
            </w:r>
          </w:p>
        </w:tc>
        <w:tc>
          <w:tcPr>
            <w:tcW w:w="229"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31,269</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10,349</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6,145</w:t>
            </w:r>
          </w:p>
        </w:tc>
        <w:tc>
          <w:tcPr>
            <w:tcW w:w="109" w:type="dxa"/>
            <w:tcBorders/>
            <w:shd w:fill="CCEEFF" w:val="clear"/>
            <w:vAlign w:val="center"/>
          </w:tcPr>
          <w:p>
            <w:pPr>
              <w:pStyle w:val="TableContents"/>
              <w:bidi w:val="0"/>
              <w:spacing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229,087</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Investment in real estate includes the initial land contributed to the Latitude Margaritaville Watersound JV at the Company’s historical cost basis and additional completed infrastructure improvements.</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Deficit includes cash distributions and non-cash depreciation and amortization expense. As of December 31, 2025, the Company and JV partner</w:t>
            </w:r>
            <w:r>
              <w:rPr>
                <w:caps w:val="false"/>
                <w:smallCaps w:val="false"/>
              </w:rPr>
              <w:t xml:space="preserve"> </w:t>
            </w:r>
            <w:r>
              <w:rPr>
                <w:rFonts w:ascii="Times New Roman;Times;serif" w:hAnsi="Times New Roman;Times;serif"/>
                <w:b w:val="false"/>
                <w:i w:val="false"/>
                <w:caps w:val="false"/>
                <w:smallCaps w:val="false"/>
                <w:sz w:val="18"/>
              </w:rPr>
              <w:t>each contributed assets valued at $3.1</w:t>
            </w:r>
            <w:r>
              <w:rPr>
                <w:caps w:val="false"/>
                <w:smallCaps w:val="false"/>
              </w:rPr>
              <w:t xml:space="preserve"> </w:t>
            </w:r>
            <w:r>
              <w:rPr>
                <w:rFonts w:ascii="Times New Roman;Times;serif" w:hAnsi="Times New Roman;Times;serif"/>
                <w:b w:val="false"/>
                <w:i w:val="false"/>
                <w:caps w:val="false"/>
                <w:smallCaps w:val="false"/>
                <w:sz w:val="18"/>
              </w:rPr>
              <w:t>million to the JV, which included land, cash and mitigation credits. As of December 31, 2025, cash of $2.9</w:t>
            </w:r>
            <w:r>
              <w:rPr>
                <w:caps w:val="false"/>
                <w:smallCaps w:val="false"/>
              </w:rPr>
              <w:t xml:space="preserve"> </w:t>
            </w:r>
            <w:r>
              <w:rPr>
                <w:rFonts w:ascii="Times New Roman;Times;serif" w:hAnsi="Times New Roman;Times;serif"/>
                <w:b w:val="false"/>
                <w:i w:val="false"/>
                <w:caps w:val="false"/>
                <w:smallCaps w:val="false"/>
                <w:sz w:val="18"/>
              </w:rPr>
              <w:t>million had been distributed to each the Company and JV partner over the past several years.</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Summarized statements of operations for the Company’s unconsolidated JVs are as follows:</w:t>
      </w:r>
    </w:p>
    <w:tbl>
      <w:tblPr>
        <w:tblW w:w="10205" w:type="dxa"/>
        <w:jc w:val="left"/>
        <w:tblInd w:w="0" w:type="dxa"/>
        <w:tblLayout w:type="fixed"/>
        <w:tblCellMar>
          <w:top w:w="0" w:type="dxa"/>
          <w:left w:w="0" w:type="dxa"/>
          <w:bottom w:w="0" w:type="dxa"/>
          <w:right w:w="0" w:type="dxa"/>
        </w:tblCellMar>
      </w:tblPr>
      <w:tblGrid>
        <w:gridCol w:w="1253"/>
        <w:gridCol w:w="109"/>
        <w:gridCol w:w="322"/>
        <w:gridCol w:w="988"/>
        <w:gridCol w:w="109"/>
        <w:gridCol w:w="334"/>
        <w:gridCol w:w="979"/>
        <w:gridCol w:w="109"/>
        <w:gridCol w:w="221"/>
        <w:gridCol w:w="576"/>
        <w:gridCol w:w="109"/>
        <w:gridCol w:w="215"/>
        <w:gridCol w:w="562"/>
        <w:gridCol w:w="109"/>
        <w:gridCol w:w="205"/>
        <w:gridCol w:w="536"/>
        <w:gridCol w:w="218"/>
        <w:gridCol w:w="298"/>
        <w:gridCol w:w="781"/>
        <w:gridCol w:w="109"/>
        <w:gridCol w:w="377"/>
        <w:gridCol w:w="723"/>
        <w:gridCol w:w="109"/>
        <w:gridCol w:w="196"/>
        <w:gridCol w:w="658"/>
      </w:tblGrid>
      <w:tr>
        <w:trPr/>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95655" cy="175260"/>
                      <wp:effectExtent l="0" t="0" r="0" b="0"/>
                      <wp:wrapNone/>
                      <wp:docPr id="237" name="Frame237"/>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4470" cy="175260"/>
                      <wp:effectExtent l="0" t="0" r="0" b="0"/>
                      <wp:wrapNone/>
                      <wp:docPr id="239" name="Frame239"/>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27380" cy="175260"/>
                      <wp:effectExtent l="0" t="0" r="0" b="0"/>
                      <wp:wrapNone/>
                      <wp:docPr id="240" name="Frame240"/>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2090" cy="175260"/>
                      <wp:effectExtent l="0" t="0" r="0" b="0"/>
                      <wp:wrapNone/>
                      <wp:docPr id="242" name="Frame242"/>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21665" cy="175260"/>
                      <wp:effectExtent l="0" t="0" r="0" b="0"/>
                      <wp:wrapNone/>
                      <wp:docPr id="243" name="Frame243"/>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40335" cy="175260"/>
                      <wp:effectExtent l="0" t="0" r="0" b="0"/>
                      <wp:wrapNone/>
                      <wp:docPr id="245" name="Frame24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65760" cy="175260"/>
                      <wp:effectExtent l="0" t="0" r="0" b="0"/>
                      <wp:wrapNone/>
                      <wp:docPr id="246" name="Frame246"/>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6525" cy="175260"/>
                      <wp:effectExtent l="0" t="0" r="0" b="0"/>
                      <wp:wrapNone/>
                      <wp:docPr id="248" name="Frame24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56870" cy="175260"/>
                      <wp:effectExtent l="0" t="0" r="0" b="0"/>
                      <wp:wrapNone/>
                      <wp:docPr id="249" name="Frame249"/>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0175" cy="175260"/>
                      <wp:effectExtent l="0" t="0" r="0" b="0"/>
                      <wp:wrapNone/>
                      <wp:docPr id="251" name="Frame251"/>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40360" cy="175260"/>
                      <wp:effectExtent l="0" t="0" r="0" b="0"/>
                      <wp:wrapNone/>
                      <wp:docPr id="252" name="Frame252"/>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8430" cy="175260"/>
                      <wp:effectExtent l="0" t="0" r="0" b="0"/>
                      <wp:wrapNone/>
                      <wp:docPr id="253" name="Frame25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89230" cy="175260"/>
                      <wp:effectExtent l="0" t="0" r="0" b="0"/>
                      <wp:wrapNone/>
                      <wp:docPr id="254" name="Frame254"/>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95935" cy="175260"/>
                      <wp:effectExtent l="0" t="0" r="0" b="0"/>
                      <wp:wrapNone/>
                      <wp:docPr id="255" name="Frame2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39395" cy="175260"/>
                      <wp:effectExtent l="0" t="0" r="0" b="0"/>
                      <wp:wrapNone/>
                      <wp:docPr id="257" name="Frame25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59105" cy="175260"/>
                      <wp:effectExtent l="0" t="0" r="0" b="0"/>
                      <wp:wrapNone/>
                      <wp:docPr id="258" name="Frame258"/>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24460" cy="175260"/>
                      <wp:effectExtent l="0" t="0" r="0" b="0"/>
                      <wp:wrapNone/>
                      <wp:docPr id="260" name="Frame2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17830" cy="175260"/>
                      <wp:effectExtent l="0" t="0" r="0" b="0"/>
                      <wp:wrapNone/>
                      <wp:docPr id="261" name="Frame261"/>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43"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2026</w:t>
            </w:r>
          </w:p>
        </w:tc>
      </w:tr>
      <w:tr>
        <w:trPr/>
        <w:tc>
          <w:tcPr>
            <w:tcW w:w="12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1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vAlign w:val="center"/>
          </w:tcPr>
          <w:p>
            <w:pPr>
              <w:pStyle w:val="TableContents"/>
              <w:bidi w:val="0"/>
              <w:spacing w:before="0" w:after="0"/>
              <w:ind w:left="0" w:right="0" w:hanging="0"/>
              <w:jc w:val="center"/>
              <w:rPr/>
            </w:pPr>
            <w:r>
              <w:rPr/>
              <w:t>​</w:t>
            </w:r>
          </w:p>
        </w:tc>
        <w:tc>
          <w:tcPr>
            <w:tcW w:w="131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Watersound Fountains Independent Living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0"/>
              <w:ind w:left="0" w:right="0" w:hanging="0"/>
              <w:jc w:val="center"/>
              <w:rPr/>
            </w:pPr>
            <w:r>
              <w:rPr/>
              <w:t>​</w:t>
            </w:r>
          </w:p>
        </w:tc>
        <w:tc>
          <w:tcPr>
            <w:tcW w:w="7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vAlign w:val="center"/>
          </w:tcPr>
          <w:p>
            <w:pPr>
              <w:pStyle w:val="TableContents"/>
              <w:bidi w:val="0"/>
              <w:spacing w:before="0" w:after="0"/>
              <w:ind w:left="0" w:right="0" w:hanging="0"/>
              <w:jc w:val="left"/>
              <w:rPr/>
            </w:pPr>
            <w:r>
              <w:rPr/>
              <w:t>​</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18" w:type="dxa"/>
            <w:tcBorders/>
            <w:vAlign w:val="center"/>
          </w:tcPr>
          <w:p>
            <w:pPr>
              <w:pStyle w:val="TableContents"/>
              <w:bidi w:val="0"/>
              <w:spacing w:before="0" w:after="0"/>
              <w:ind w:left="0" w:right="0" w:hanging="0"/>
              <w:jc w:val="center"/>
              <w:rPr/>
            </w:pPr>
            <w:r>
              <w:rPr/>
              <w:t>​</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Electric Cart Watersound JV </w:t>
            </w:r>
          </w:p>
        </w:tc>
        <w:tc>
          <w:tcPr>
            <w:tcW w:w="109" w:type="dxa"/>
            <w:tcBorders/>
            <w:vAlign w:val="center"/>
          </w:tcPr>
          <w:p>
            <w:pPr>
              <w:pStyle w:val="TableContents"/>
              <w:bidi w:val="0"/>
              <w:spacing w:before="0" w:after="0"/>
              <w:ind w:left="0" w:right="0" w:hanging="0"/>
              <w:jc w:val="center"/>
              <w:rPr/>
            </w:pPr>
            <w:r>
              <w:rPr/>
              <w:t>​</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2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48,098</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1,160</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1,547</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1,751</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4,406</w:t>
            </w:r>
          </w:p>
        </w:tc>
        <w:tc>
          <w:tcPr>
            <w:tcW w:w="218"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1,425</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59,000</w:t>
            </w:r>
          </w:p>
        </w:tc>
      </w:tr>
      <w:tr>
        <w:trPr/>
        <w:tc>
          <w:tcPr>
            <w:tcW w:w="1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Expenses:</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53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r>
      <w:tr>
        <w:trPr/>
        <w:tc>
          <w:tcPr>
            <w:tcW w:w="125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Cost of revenue </w:t>
            </w:r>
            <w:r>
              <w:rPr>
                <w:rFonts w:ascii="Times New Roman;Times;serif" w:hAnsi="Times New Roman;Times;serif"/>
                <w:sz w:val="14"/>
              </w:rPr>
              <w:t>(c)</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33,913</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1,406</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813</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4,100</w:t>
            </w:r>
          </w:p>
        </w:tc>
        <w:tc>
          <w:tcPr>
            <w:tcW w:w="218"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1,215</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42,883</w:t>
            </w:r>
          </w:p>
        </w:tc>
      </w:tr>
      <w:tr>
        <w:trPr/>
        <w:tc>
          <w:tcPr>
            <w:tcW w:w="1253"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operating expenses </w:t>
            </w:r>
            <w:r>
              <w:rPr>
                <w:rFonts w:ascii="Times New Roman;Times;serif" w:hAnsi="Times New Roman;Times;serif"/>
                <w:sz w:val="14"/>
              </w:rPr>
              <w:t>(c)</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4,277</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53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4,278</w:t>
            </w:r>
          </w:p>
        </w:tc>
      </w:tr>
      <w:tr>
        <w:trPr/>
        <w:tc>
          <w:tcPr>
            <w:tcW w:w="125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Depreciation and amortization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218"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1,919</w:t>
            </w:r>
          </w:p>
        </w:tc>
      </w:tr>
      <w:tr>
        <w:trPr/>
        <w:tc>
          <w:tcPr>
            <w:tcW w:w="1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expenses</w:t>
            </w:r>
          </w:p>
        </w:tc>
        <w:tc>
          <w:tcPr>
            <w:tcW w:w="109"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38,362</w:t>
            </w:r>
          </w:p>
        </w:tc>
        <w:tc>
          <w:tcPr>
            <w:tcW w:w="109"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2,170</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1,576</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4,237</w:t>
            </w:r>
          </w:p>
        </w:tc>
        <w:tc>
          <w:tcPr>
            <w:tcW w:w="218"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1,278</w:t>
            </w:r>
          </w:p>
        </w:tc>
        <w:tc>
          <w:tcPr>
            <w:tcW w:w="109" w:type="dxa"/>
            <w:tcBorders/>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49,080</w:t>
            </w:r>
          </w:p>
        </w:tc>
      </w:tr>
      <w:tr>
        <w:trPr/>
        <w:tc>
          <w:tcPr>
            <w:tcW w:w="12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9,736</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w:t>
            </w:r>
          </w:p>
        </w:tc>
        <w:tc>
          <w:tcPr>
            <w:tcW w:w="218"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9,920</w:t>
            </w:r>
          </w:p>
        </w:tc>
      </w:tr>
      <w:tr>
        <w:trPr/>
        <w:tc>
          <w:tcPr>
            <w:tcW w:w="1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53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r>
      <w:tr>
        <w:trPr/>
        <w:tc>
          <w:tcPr>
            <w:tcW w:w="12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218"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(1,136)</w:t>
            </w:r>
          </w:p>
        </w:tc>
      </w:tr>
      <w:tr>
        <w:trPr/>
        <w:tc>
          <w:tcPr>
            <w:tcW w:w="1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109"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w:t>
            </w:r>
          </w:p>
        </w:tc>
        <w:tc>
          <w:tcPr>
            <w:tcW w:w="109"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218"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(e)</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w:t>
            </w:r>
          </w:p>
        </w:tc>
      </w:tr>
      <w:tr>
        <w:trPr/>
        <w:tc>
          <w:tcPr>
            <w:tcW w:w="12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218"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(851)</w:t>
            </w:r>
          </w:p>
        </w:tc>
      </w:tr>
      <w:tr>
        <w:trPr/>
        <w:tc>
          <w:tcPr>
            <w:tcW w:w="1253"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109" w:type="dxa"/>
            <w:tcBorders/>
            <w:vAlign w:val="center"/>
          </w:tcPr>
          <w:p>
            <w:pPr>
              <w:pStyle w:val="TableContents"/>
              <w:bidi w:val="0"/>
              <w:spacing w:before="0" w:after="0"/>
              <w:ind w:left="0" w:right="0" w:hanging="0"/>
              <w:jc w:val="lef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9,992</w:t>
            </w:r>
          </w:p>
        </w:tc>
        <w:tc>
          <w:tcPr>
            <w:tcW w:w="109" w:type="dxa"/>
            <w:tcBorders/>
            <w:vAlign w:val="center"/>
          </w:tcPr>
          <w:p>
            <w:pPr>
              <w:pStyle w:val="TableContents"/>
              <w:bidi w:val="0"/>
              <w:spacing w:before="0" w:after="0"/>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(1,626)</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469</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(92)</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153</w:t>
            </w:r>
          </w:p>
        </w:tc>
        <w:tc>
          <w:tcPr>
            <w:tcW w:w="218"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92</w:t>
            </w:r>
          </w:p>
        </w:tc>
        <w:tc>
          <w:tcPr>
            <w:tcW w:w="109" w:type="dxa"/>
            <w:tcBorders/>
            <w:vAlign w:val="center"/>
          </w:tcPr>
          <w:p>
            <w:pPr>
              <w:pStyle w:val="TableContents"/>
              <w:bidi w:val="0"/>
              <w:spacing w:before="0" w:after="0"/>
              <w:ind w:left="0" w:right="0" w:hanging="0"/>
              <w:jc w:val="left"/>
              <w:rPr/>
            </w:pPr>
            <w:r>
              <w:rPr/>
              <w:t>​</w:t>
            </w:r>
          </w:p>
        </w:tc>
        <w:tc>
          <w:tcPr>
            <w:tcW w:w="3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5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9,069</w:t>
            </w:r>
          </w:p>
        </w:tc>
      </w:tr>
    </w:tbl>
    <w:tbl>
      <w:tblPr>
        <w:tblW w:w="9467" w:type="dxa"/>
        <w:jc w:val="left"/>
        <w:tblInd w:w="0" w:type="dxa"/>
        <w:tblLayout w:type="fixed"/>
        <w:tblCellMar>
          <w:top w:w="0" w:type="dxa"/>
          <w:left w:w="0" w:type="dxa"/>
          <w:bottom w:w="0" w:type="dxa"/>
          <w:right w:w="0" w:type="dxa"/>
        </w:tblCellMar>
      </w:tblPr>
      <w:tblGrid>
        <w:gridCol w:w="316"/>
        <w:gridCol w:w="91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1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 86</w:t>
            </w:r>
            <w:r>
              <w:rPr>
                <w:caps w:val="false"/>
                <w:smallCaps w:val="false"/>
              </w:rPr>
              <w:t xml:space="preserve"> </w:t>
            </w:r>
            <w:r>
              <w:rPr>
                <w:rFonts w:ascii="Times New Roman;Times;serif" w:hAnsi="Times New Roman;Times;serif"/>
                <w:b w:val="false"/>
                <w:i w:val="false"/>
                <w:caps w:val="false"/>
                <w:smallCaps w:val="false"/>
                <w:sz w:val="18"/>
              </w:rPr>
              <w:t>home sale transactions during the three months ended June 30, 2026.</w:t>
            </w:r>
          </w:p>
        </w:tc>
      </w:tr>
    </w:tbl>
    <w:tbl>
      <w:tblPr>
        <w:tblW w:w="2882" w:type="dxa"/>
        <w:jc w:val="left"/>
        <w:tblInd w:w="0" w:type="dxa"/>
        <w:tblLayout w:type="fixed"/>
        <w:tblCellMar>
          <w:top w:w="0" w:type="dxa"/>
          <w:left w:w="0" w:type="dxa"/>
          <w:bottom w:w="0" w:type="dxa"/>
          <w:right w:w="0" w:type="dxa"/>
        </w:tblCellMar>
      </w:tblPr>
      <w:tblGrid>
        <w:gridCol w:w="331"/>
        <w:gridCol w:w="25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2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community is under lease-up.</w:t>
            </w:r>
          </w:p>
        </w:tc>
      </w:tr>
    </w:tbl>
    <w:tbl>
      <w:tblPr>
        <w:tblW w:w="5132" w:type="dxa"/>
        <w:jc w:val="left"/>
        <w:tblInd w:w="0" w:type="dxa"/>
        <w:tblLayout w:type="fixed"/>
        <w:tblCellMar>
          <w:top w:w="0" w:type="dxa"/>
          <w:left w:w="0" w:type="dxa"/>
          <w:bottom w:w="0" w:type="dxa"/>
          <w:right w:w="0" w:type="dxa"/>
        </w:tblCellMar>
      </w:tblPr>
      <w:tblGrid>
        <w:gridCol w:w="316"/>
        <w:gridCol w:w="48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4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and amortization, shown separately above.</w:t>
            </w:r>
          </w:p>
        </w:tc>
      </w:tr>
    </w:tbl>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Depreciation is a non-cash, GAAP expense, which is amortized over an asset’s useful life.</w:t>
            </w:r>
          </w:p>
        </w:tc>
      </w:tr>
    </w:tbl>
    <w:tbl>
      <w:tblPr>
        <w:tblW w:w="8252" w:type="dxa"/>
        <w:jc w:val="left"/>
        <w:tblInd w:w="0" w:type="dxa"/>
        <w:tblLayout w:type="fixed"/>
        <w:tblCellMar>
          <w:top w:w="0" w:type="dxa"/>
          <w:left w:w="0" w:type="dxa"/>
          <w:bottom w:w="0" w:type="dxa"/>
          <w:right w:w="0" w:type="dxa"/>
        </w:tblCellMar>
      </w:tblPr>
      <w:tblGrid>
        <w:gridCol w:w="316"/>
        <w:gridCol w:w="793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bookmarkStart w:id="1535" w:name="Tc_gs9WzPVr8kq_UNNsoR1Psw_14_23"/>
      <w:bookmarkStart w:id="1536" w:name="Tc_7AP-PxpIWEi_qyFKrvC5aA_14_20"/>
      <w:bookmarkStart w:id="1537" w:name="Tc_3YaT1CquDEeTqXS0rJxsSA_14_17"/>
      <w:bookmarkStart w:id="1538" w:name="Tc_nHHVqAYHwEmhWN7ckqebaA_14_14"/>
      <w:bookmarkStart w:id="1539" w:name="Tc_e_cQTe6x3Umh9jiqQNM3zw_14_11"/>
      <w:bookmarkStart w:id="1540" w:name="Tc_i2vX0em240qtrRJyG4A8RQ_14_8"/>
      <w:bookmarkStart w:id="1541" w:name="Tc_B5obfTs40k-4B2EsCRQj3g_14_5"/>
      <w:bookmarkStart w:id="1542" w:name="Tc_2t066II_LkuFnHVfylWI0A_14_2"/>
      <w:bookmarkStart w:id="1543" w:name="Tc_YIsUc-yGXUSameafUPQ26g_14_0"/>
      <w:bookmarkStart w:id="1544" w:name="Tc_-Hn9wLnKkkCijVxIKQvBRg_13_21"/>
      <w:bookmarkStart w:id="1545" w:name="Tc_XfwA_rgQskmJ3vj1pE3ESA_13_0"/>
      <w:bookmarkStart w:id="1546" w:name="Tc_tCXaN8aWzUa3nqP0n3dJrw_12_21"/>
      <w:bookmarkStart w:id="1547" w:name="Tc_rG9cjrzrn0GPFng120BA9Q_12_16"/>
      <w:bookmarkStart w:id="1548" w:name="Tc_yyYSK10yGk20HnVOvNs_ag_12_12"/>
      <w:bookmarkStart w:id="1549" w:name="Tc_ePWh-EHO3066FfK05ymLOA_12_0"/>
      <w:bookmarkStart w:id="1550" w:name="Tc_W6tyw_AvP0a3EK6j2x-BhA_11_21"/>
      <w:bookmarkStart w:id="1551" w:name="Tc_WQWMyYg6a0yjWVoyTRiijg_11_3"/>
      <w:bookmarkStart w:id="1552" w:name="Tc_jip0Sv8mj0e1vhJoWcaXzg_11_0"/>
      <w:bookmarkStart w:id="1553" w:name="Tc_SKPdfpZo6Ui5GF-5gQBxYw_10_0"/>
      <w:bookmarkStart w:id="1554" w:name="Tc_0qfm_4MX5UiuQRQq4UfwUQ_9_0"/>
      <w:bookmarkStart w:id="1555" w:name="Tc_UdONWS-V2kyPDkg5vVV5IQ_8_0"/>
      <w:bookmarkStart w:id="1556" w:name="Tc_bWFHAczhUUCla0rRYtdTtA_7_21"/>
      <w:bookmarkStart w:id="1557" w:name="Tc_u0nqraBTOEuJy9pLktli9g_7_0"/>
      <w:bookmarkStart w:id="1558" w:name="Tc_0aeMzpsWDEiUFrIP2Dm8RQ_6_21"/>
      <w:bookmarkStart w:id="1559" w:name="Tc_MGpQRHqFykaFjCfEriDT1w_6_15"/>
      <w:bookmarkStart w:id="1560" w:name="Tc_4q5GOj7VJk-UNG-c69gAUg_6_12"/>
      <w:bookmarkStart w:id="1561" w:name="Tc_0aQWPUr4xk-C4Lw5omNQ1g_6_9"/>
      <w:bookmarkStart w:id="1562" w:name="Tc_xXoyGuPFMk6zdEZflgIFRQ_6_6"/>
      <w:bookmarkStart w:id="1563" w:name="Tc_QlpVPwojGUWIahVfMk3IhQ_6_0"/>
      <w:bookmarkStart w:id="1564" w:name="Tc_GpZrKKnu9E68IPJZ_iBJjQ_5_0"/>
      <w:bookmarkStart w:id="1565" w:name="Tc_ewa1Qc1NsUCwGto3wxqP2g_4_0"/>
      <w:bookmarkStart w:id="1566" w:name="Tc_YRdRJsjzuUCMUkFrH6MSbQ_3_23"/>
      <w:bookmarkStart w:id="1567" w:name="Tc_6iX15_Aq2Uq0i9pZIH6QSg_3_20"/>
      <w:bookmarkStart w:id="1568" w:name="Tc_l1EewQuCykmJnD12Xj6ZLA_3_17"/>
      <w:bookmarkStart w:id="1569" w:name="Tc_RJgeI5-UCkOXgJrd_JeYNg_3_14"/>
      <w:bookmarkStart w:id="1570" w:name="Tc_U8Sj1r0QYEeGuqK80fMp4Q_3_11"/>
      <w:bookmarkStart w:id="1571" w:name="Tc_jxdQBgLpSkCOu4BYYlKhLg_3_8"/>
      <w:bookmarkStart w:id="1572" w:name="Tc_k8aIvfsCyUOEyZ5MpjqSPA_3_5"/>
      <w:bookmarkStart w:id="1573" w:name="Tc_0vxdFsveRkq8MC3UVQUbhg_3_2"/>
      <w:bookmarkStart w:id="1574" w:name="Tc_cCAlkSR2E0-jbqlqK2TlHA_3_0"/>
      <w:bookmarkStart w:id="1575" w:name="Tc_NfPI30I2TUC-mLq9JDDlbw_2_24"/>
      <w:bookmarkStart w:id="1576" w:name="Tc_3BIlPck_KEW4Yw0rjTS_5g_2_20"/>
      <w:bookmarkStart w:id="1577" w:name="Tc_Me4aUxPUN0Wktlgmk1wSlA_2_17"/>
      <w:bookmarkStart w:id="1578" w:name="Tc_AMllTjp_lUyJwafXtUizhA_2_14"/>
      <w:bookmarkStart w:id="1579" w:name="Tc_9Ixsqg09C0qbSm72QCSO1Q_2_11"/>
      <w:bookmarkStart w:id="1580" w:name="Tc_zkncOxrg_06ePQ9IGkZWKg_2_8"/>
      <w:bookmarkStart w:id="1581" w:name="Tc_659GUc-KNUSED0zR1cPp9Q_2_5"/>
      <w:bookmarkStart w:id="1582" w:name="Tc_2uOc0DrzF0yUqSTpR9pkGQ_2_2"/>
      <w:bookmarkStart w:id="1583" w:name="Tc_QZMBp9hONkWjRdajyDr0YA_1_2"/>
      <w:bookmarkStart w:id="1584" w:name="_5b46166a_c8ad_4c42_9b43_591d6c820b05"/>
      <w:bookmarkStart w:id="1585" w:name="Tc_Anxp8j8MPkSFyQMNdGi54A_14_23"/>
      <w:bookmarkStart w:id="1586" w:name="Tc_SyMB_p20UUerjdVeF1BLdw_14_20"/>
      <w:bookmarkStart w:id="1587" w:name="Tc_ZXes9GitPEy5KJBH88a-mA_14_18"/>
      <w:bookmarkStart w:id="1588" w:name="Tc_ZX_z-Vbp2Eu9Krpp2GkeVw_14_17"/>
      <w:bookmarkStart w:id="1589" w:name="Tc_-TojLDWW9USJfImg-K4e3A_14_14"/>
      <w:bookmarkStart w:id="1590" w:name="Tc_2WhcANDjzUKFZ8hMcnJarQ_14_11"/>
      <w:bookmarkStart w:id="1591" w:name="Tc_GRcFINgRsEGkkhJWXkihAg_14_8"/>
      <w:bookmarkStart w:id="1592" w:name="Tc_eAinwRzgpE-BbuHcknraUQ_14_5"/>
      <w:bookmarkStart w:id="1593" w:name="Tc_TWWwZixIVUKiMxY1c-XNrg_14_2"/>
      <w:bookmarkStart w:id="1594" w:name="Tc_nviW27gGHke4rWgue5PPAw_14_0"/>
      <w:bookmarkStart w:id="1595" w:name="Tc_MBR0RYrIR0S11ZlslfjFTg_13_21"/>
      <w:bookmarkStart w:id="1596" w:name="Tc_m6ty8o5MFky4ErOkZ-rOTw_13_0"/>
      <w:bookmarkStart w:id="1597" w:name="Tc_i8fpv3LgFkC9a3oT6JqZNw_12_21"/>
      <w:bookmarkStart w:id="1598" w:name="Tc_BQjzrOA470mnI45ff1cuaQ_12_16"/>
      <w:bookmarkStart w:id="1599" w:name="Tc_r0WbtWmntUW45n6bhQEEWg_12_0"/>
      <w:bookmarkStart w:id="1600" w:name="Tc_BhzyweXYp06r1IOggyjiXw_11_21"/>
      <w:bookmarkStart w:id="1601" w:name="Tc_-kFBqPGHd0u5fjNrRb86SA_11_3"/>
      <w:bookmarkStart w:id="1602" w:name="Tc_n9hJ-pS2b0eYm9tjkMbN_g_11_0"/>
      <w:bookmarkStart w:id="1603" w:name="Tc_favah1Cpt0yqaVkdHFd88w_10_0"/>
      <w:bookmarkStart w:id="1604" w:name="Tc_rg1HxWPV5kyt0NrkhZj4JA_9_0"/>
      <w:bookmarkStart w:id="1605" w:name="Tc_Np2JdEp8P0mb9EvRZUBzHw_8_0"/>
      <w:bookmarkStart w:id="1606" w:name="Tc_2g_TXt9jDkaHZ_2DZM-YrQ_7_21"/>
      <w:bookmarkStart w:id="1607" w:name="Tc_ZTGWeFGPq0WtLHEkGbSnBw_7_0"/>
      <w:bookmarkStart w:id="1608" w:name="Tc__Vuu2V_n80-RDhNCgWlFJQ_6_21"/>
      <w:bookmarkStart w:id="1609" w:name="Tc_FSk-z9HLZ0C4sOa4yQ9_dQ_6_18"/>
      <w:bookmarkStart w:id="1610" w:name="Tc_4xsLZTgyGkSP-d3p64GzOA_6_15"/>
      <w:bookmarkStart w:id="1611" w:name="Tc_MUNTAgiIykq1HczTu0YhBw_6_12"/>
      <w:bookmarkStart w:id="1612" w:name="Tc_c6fLase1Bk6lqRziermfuw_6_9"/>
      <w:bookmarkStart w:id="1613" w:name="Tc_rU0tC3DV-ECIG-wpTAQxYg_6_6"/>
      <w:bookmarkStart w:id="1614" w:name="Tc_Lqn7ZkglVkKI65xShBvOyw_6_0"/>
      <w:bookmarkStart w:id="1615" w:name="Tc_mFD7MXHYw0i0I-VhtC-KtA_5_0"/>
      <w:bookmarkStart w:id="1616" w:name="Tc_s09Lq1cRJ0KQiuff5rBuUA_4_0"/>
      <w:bookmarkStart w:id="1617" w:name="Tc_7tPWhpGT6EiZ6WgfxVwflg_3_23"/>
      <w:bookmarkStart w:id="1618" w:name="Tc_X0BGBXvwVU6NEUjVIK2Bnw_3_20"/>
      <w:bookmarkStart w:id="1619" w:name="Tc_t_KZy5aw8kq37y4floOsIw_3_17"/>
      <w:bookmarkStart w:id="1620" w:name="Tc_tD8rW_y9MUSkFS6RpFfi_Q_3_14"/>
      <w:bookmarkStart w:id="1621" w:name="Tc_DYPdK8OjFEWSej4skyVl3g_3_11"/>
      <w:bookmarkStart w:id="1622" w:name="Tc_pKqqpPmVA0O8RJV5uRWVWg_3_8"/>
      <w:bookmarkStart w:id="1623" w:name="Tc_yFXkl6QDDUWps-rrqwxojA_3_5"/>
      <w:bookmarkStart w:id="1624" w:name="Tc_3yUPIAQ3VEus8W-rLpr5WQ_3_2"/>
      <w:bookmarkStart w:id="1625" w:name="Tc_TsUdhLw7VEivi1_6uf3bKw_3_0"/>
      <w:bookmarkStart w:id="1626" w:name="Tc_B1exGPhcskeceP2tIXte0g_2_23"/>
      <w:bookmarkStart w:id="1627" w:name="Tc_GS0dPIQCT0OgiSdmBBfDjA_2_20"/>
      <w:bookmarkStart w:id="1628" w:name="Tc_RJLwQG5JskOfrIi2KVg9Cw_2_17"/>
      <w:bookmarkStart w:id="1629" w:name="Tc_u6OYZxnuMEioEfQVP5-ILQ_2_14"/>
      <w:bookmarkStart w:id="1630" w:name="Tc_25x02a97YUmTsIP1JRiNFw_2_11"/>
      <w:bookmarkStart w:id="1631" w:name="Tc_jZ4oW0nIBkyTNCI6eyeDQA_2_8"/>
      <w:bookmarkStart w:id="1632" w:name="Tc_iY_rKw8oCUOzGyBM74ZI_g_2_5"/>
      <w:bookmarkStart w:id="1633" w:name="Tc_FhhBbiRONkOz-Px3BS_38g_2_2"/>
      <w:bookmarkStart w:id="1634" w:name="Tc_WB_-5BZnHEWLM7i_V3QWYQ_1_2"/>
      <w:bookmarkStart w:id="1635" w:name="_f665a110_3441_4f19_a914_3313d74f6b57"/>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r>
        <w:rPr/>
        <w:t>​</w:t>
      </w:r>
    </w:p>
    <w:tbl>
      <w:tblPr>
        <w:tblW w:w="10205" w:type="dxa"/>
        <w:jc w:val="left"/>
        <w:tblInd w:w="0" w:type="dxa"/>
        <w:tblLayout w:type="fixed"/>
        <w:tblCellMar>
          <w:top w:w="0" w:type="dxa"/>
          <w:left w:w="0" w:type="dxa"/>
          <w:bottom w:w="0" w:type="dxa"/>
          <w:right w:w="0" w:type="dxa"/>
        </w:tblCellMar>
      </w:tblPr>
      <w:tblGrid>
        <w:gridCol w:w="1245"/>
        <w:gridCol w:w="109"/>
        <w:gridCol w:w="319"/>
        <w:gridCol w:w="981"/>
        <w:gridCol w:w="109"/>
        <w:gridCol w:w="331"/>
        <w:gridCol w:w="969"/>
        <w:gridCol w:w="109"/>
        <w:gridCol w:w="220"/>
        <w:gridCol w:w="574"/>
        <w:gridCol w:w="109"/>
        <w:gridCol w:w="215"/>
        <w:gridCol w:w="560"/>
        <w:gridCol w:w="109"/>
        <w:gridCol w:w="205"/>
        <w:gridCol w:w="535"/>
        <w:gridCol w:w="217"/>
        <w:gridCol w:w="294"/>
        <w:gridCol w:w="772"/>
        <w:gridCol w:w="109"/>
        <w:gridCol w:w="375"/>
        <w:gridCol w:w="719"/>
        <w:gridCol w:w="109"/>
        <w:gridCol w:w="196"/>
        <w:gridCol w:w="715"/>
      </w:tblGrid>
      <w:tr>
        <w:trPr/>
        <w:tc>
          <w:tcPr>
            <w:tcW w:w="1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r>
      <w:tr>
        <w:trPr/>
        <w:tc>
          <w:tcPr>
            <w:tcW w:w="1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51"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2025</w:t>
            </w:r>
          </w:p>
        </w:tc>
      </w:tr>
      <w:tr>
        <w:trPr/>
        <w:tc>
          <w:tcPr>
            <w:tcW w:w="1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vAlign w:val="center"/>
          </w:tcPr>
          <w:p>
            <w:pPr>
              <w:pStyle w:val="TableContents"/>
              <w:bidi w:val="0"/>
              <w:spacing w:before="0" w:after="0"/>
              <w:ind w:left="0" w:right="0" w:hanging="0"/>
              <w:jc w:val="center"/>
              <w:rPr/>
            </w:pPr>
            <w:r>
              <w:rPr/>
              <w:t>​</w:t>
            </w:r>
          </w:p>
        </w:tc>
        <w:tc>
          <w:tcPr>
            <w:tcW w:w="130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Watersound Fountains Independent Living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vAlign w:val="center"/>
          </w:tcPr>
          <w:p>
            <w:pPr>
              <w:pStyle w:val="TableContents"/>
              <w:bidi w:val="0"/>
              <w:spacing w:before="0" w:after="0"/>
              <w:ind w:left="0" w:right="0" w:hanging="0"/>
              <w:jc w:val="center"/>
              <w:rPr/>
            </w:pPr>
            <w:r>
              <w:rPr/>
              <w:t>​</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0"/>
              <w:ind w:left="0" w:right="0" w:hanging="0"/>
              <w:jc w:val="center"/>
              <w:rPr/>
            </w:pPr>
            <w:r>
              <w:rPr/>
              <w:t>​</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vAlign w:val="center"/>
          </w:tcPr>
          <w:p>
            <w:pPr>
              <w:pStyle w:val="TableContents"/>
              <w:bidi w:val="0"/>
              <w:spacing w:before="0" w:after="0"/>
              <w:ind w:left="0" w:right="0" w:hanging="0"/>
              <w:jc w:val="left"/>
              <w:rPr/>
            </w:pPr>
            <w:r>
              <w:rPr/>
              <w:t>​</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17" w:type="dxa"/>
            <w:tcBorders/>
            <w:vAlign w:val="center"/>
          </w:tcPr>
          <w:p>
            <w:pPr>
              <w:pStyle w:val="TableContents"/>
              <w:bidi w:val="0"/>
              <w:spacing w:before="0" w:after="0"/>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9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79,878</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1,566</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4,206</w:t>
            </w:r>
          </w:p>
        </w:tc>
        <w:tc>
          <w:tcPr>
            <w:tcW w:w="217"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89,921</w:t>
            </w:r>
          </w:p>
        </w:tc>
      </w:tr>
      <w:tr>
        <w:trPr/>
        <w:tc>
          <w:tcPr>
            <w:tcW w:w="12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Expenses:</w:t>
            </w:r>
          </w:p>
        </w:tc>
        <w:tc>
          <w:tcPr>
            <w:tcW w:w="109"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124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Cost of revenue </w:t>
            </w:r>
            <w:r>
              <w:rPr>
                <w:rFonts w:ascii="Times New Roman;Times;serif" w:hAnsi="Times New Roman;Times;serif"/>
                <w:sz w:val="14"/>
              </w:rPr>
              <w:t>(c)</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58,543</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3,907</w:t>
            </w:r>
          </w:p>
        </w:tc>
        <w:tc>
          <w:tcPr>
            <w:tcW w:w="217"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973</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66,901</w:t>
            </w:r>
          </w:p>
        </w:tc>
      </w:tr>
      <w:tr>
        <w:trPr/>
        <w:tc>
          <w:tcPr>
            <w:tcW w:w="124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operating expenses </w:t>
            </w:r>
            <w:r>
              <w:rPr>
                <w:rFonts w:ascii="Times New Roman;Times;serif" w:hAnsi="Times New Roman;Times;serif"/>
                <w:sz w:val="14"/>
              </w:rPr>
              <w:t>(c)</w:t>
            </w:r>
          </w:p>
        </w:tc>
        <w:tc>
          <w:tcPr>
            <w:tcW w:w="109"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4,333</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4,333</w:t>
            </w:r>
          </w:p>
        </w:tc>
      </w:tr>
      <w:tr>
        <w:trPr/>
        <w:tc>
          <w:tcPr>
            <w:tcW w:w="124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Depreciation and amortization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691</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217"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1,997</w:t>
            </w:r>
          </w:p>
        </w:tc>
      </w:tr>
      <w:tr>
        <w:trPr/>
        <w:tc>
          <w:tcPr>
            <w:tcW w:w="12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expenses</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63,031</w:t>
            </w:r>
          </w:p>
        </w:tc>
        <w:tc>
          <w:tcPr>
            <w:tcW w:w="109"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1,861</w:t>
            </w:r>
          </w:p>
        </w:tc>
        <w:tc>
          <w:tcPr>
            <w:tcW w:w="109"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1,101</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1,622</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4,046</w:t>
            </w:r>
          </w:p>
        </w:tc>
        <w:tc>
          <w:tcPr>
            <w:tcW w:w="217"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1,036</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73,231</w:t>
            </w:r>
          </w:p>
        </w:tc>
      </w:tr>
      <w:tr>
        <w:trPr/>
        <w:tc>
          <w:tcPr>
            <w:tcW w:w="1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16,847</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(1,060)</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w:t>
            </w:r>
          </w:p>
        </w:tc>
        <w:tc>
          <w:tcPr>
            <w:tcW w:w="217"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16,690</w:t>
            </w:r>
          </w:p>
        </w:tc>
      </w:tr>
      <w:tr>
        <w:trPr/>
        <w:tc>
          <w:tcPr>
            <w:tcW w:w="12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w:t>
            </w:r>
          </w:p>
        </w:tc>
        <w:tc>
          <w:tcPr>
            <w:tcW w:w="109"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1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217"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(1,430)</w:t>
            </w:r>
          </w:p>
        </w:tc>
      </w:tr>
      <w:tr>
        <w:trPr/>
        <w:tc>
          <w:tcPr>
            <w:tcW w:w="12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109"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217"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(e)</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1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217"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(1,445)</w:t>
            </w:r>
          </w:p>
        </w:tc>
      </w:tr>
      <w:tr>
        <w:trPr/>
        <w:tc>
          <w:tcPr>
            <w:tcW w:w="124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16,869</w:t>
            </w:r>
          </w:p>
        </w:tc>
        <w:tc>
          <w:tcPr>
            <w:tcW w:w="109"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(1,741)</w:t>
            </w:r>
          </w:p>
        </w:tc>
        <w:tc>
          <w:tcPr>
            <w:tcW w:w="109"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292</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(323)</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65</w:t>
            </w:r>
          </w:p>
        </w:tc>
        <w:tc>
          <w:tcPr>
            <w:tcW w:w="217"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1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15,245</w:t>
            </w:r>
          </w:p>
        </w:tc>
      </w:tr>
    </w:tbl>
    <w:tbl>
      <w:tblPr>
        <w:tblW w:w="9557" w:type="dxa"/>
        <w:jc w:val="left"/>
        <w:tblInd w:w="0" w:type="dxa"/>
        <w:tblLayout w:type="fixed"/>
        <w:tblCellMar>
          <w:top w:w="0" w:type="dxa"/>
          <w:left w:w="0" w:type="dxa"/>
          <w:bottom w:w="0" w:type="dxa"/>
          <w:right w:w="0" w:type="dxa"/>
        </w:tblCellMar>
      </w:tblPr>
      <w:tblGrid>
        <w:gridCol w:w="316"/>
        <w:gridCol w:w="924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2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 137</w:t>
            </w:r>
            <w:r>
              <w:rPr>
                <w:caps w:val="false"/>
                <w:smallCaps w:val="false"/>
              </w:rPr>
              <w:t xml:space="preserve"> </w:t>
            </w:r>
            <w:r>
              <w:rPr>
                <w:rFonts w:ascii="Times New Roman;Times;serif" w:hAnsi="Times New Roman;Times;serif"/>
                <w:b w:val="false"/>
                <w:i w:val="false"/>
                <w:caps w:val="false"/>
                <w:smallCaps w:val="false"/>
                <w:sz w:val="18"/>
              </w:rPr>
              <w:t>home sale transactions during the three months ended June 30, 2025.</w:t>
            </w:r>
          </w:p>
        </w:tc>
      </w:tr>
    </w:tbl>
    <w:tbl>
      <w:tblPr>
        <w:tblW w:w="2882" w:type="dxa"/>
        <w:jc w:val="left"/>
        <w:tblInd w:w="0" w:type="dxa"/>
        <w:tblLayout w:type="fixed"/>
        <w:tblCellMar>
          <w:top w:w="0" w:type="dxa"/>
          <w:left w:w="0" w:type="dxa"/>
          <w:bottom w:w="0" w:type="dxa"/>
          <w:right w:w="0" w:type="dxa"/>
        </w:tblCellMar>
      </w:tblPr>
      <w:tblGrid>
        <w:gridCol w:w="331"/>
        <w:gridCol w:w="25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2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community is under lease-up.</w:t>
            </w:r>
          </w:p>
        </w:tc>
      </w:tr>
    </w:tbl>
    <w:tbl>
      <w:tblPr>
        <w:tblW w:w="5132" w:type="dxa"/>
        <w:jc w:val="left"/>
        <w:tblInd w:w="0" w:type="dxa"/>
        <w:tblLayout w:type="fixed"/>
        <w:tblCellMar>
          <w:top w:w="0" w:type="dxa"/>
          <w:left w:w="0" w:type="dxa"/>
          <w:bottom w:w="0" w:type="dxa"/>
          <w:right w:w="0" w:type="dxa"/>
        </w:tblCellMar>
      </w:tblPr>
      <w:tblGrid>
        <w:gridCol w:w="316"/>
        <w:gridCol w:w="48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4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and amortization, shown separately above.</w:t>
            </w:r>
          </w:p>
        </w:tc>
      </w:tr>
    </w:tbl>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Depreciation is a non-cash, GAAP expense, which is amortized over an asset’s useful life.</w:t>
            </w:r>
          </w:p>
        </w:tc>
      </w:tr>
    </w:tbl>
    <w:tbl>
      <w:tblPr>
        <w:tblW w:w="8252" w:type="dxa"/>
        <w:jc w:val="left"/>
        <w:tblInd w:w="0" w:type="dxa"/>
        <w:tblLayout w:type="fixed"/>
        <w:tblCellMar>
          <w:top w:w="0" w:type="dxa"/>
          <w:left w:w="0" w:type="dxa"/>
          <w:bottom w:w="0" w:type="dxa"/>
          <w:right w:w="0" w:type="dxa"/>
        </w:tblCellMar>
      </w:tblPr>
      <w:tblGrid>
        <w:gridCol w:w="316"/>
        <w:gridCol w:w="793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240"/>
        <w:gridCol w:w="109"/>
        <w:gridCol w:w="318"/>
        <w:gridCol w:w="976"/>
        <w:gridCol w:w="109"/>
        <w:gridCol w:w="329"/>
        <w:gridCol w:w="965"/>
        <w:gridCol w:w="109"/>
        <w:gridCol w:w="219"/>
        <w:gridCol w:w="572"/>
        <w:gridCol w:w="109"/>
        <w:gridCol w:w="214"/>
        <w:gridCol w:w="559"/>
        <w:gridCol w:w="109"/>
        <w:gridCol w:w="205"/>
        <w:gridCol w:w="535"/>
        <w:gridCol w:w="217"/>
        <w:gridCol w:w="293"/>
        <w:gridCol w:w="769"/>
        <w:gridCol w:w="109"/>
        <w:gridCol w:w="302"/>
        <w:gridCol w:w="788"/>
        <w:gridCol w:w="109"/>
        <w:gridCol w:w="196"/>
        <w:gridCol w:w="745"/>
      </w:tblGrid>
      <w:tr>
        <w:trPr/>
        <w:tc>
          <w:tcPr>
            <w:tcW w:w="1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87400" cy="175260"/>
                      <wp:effectExtent l="0" t="0" r="0" b="0"/>
                      <wp:wrapNone/>
                      <wp:docPr id="262" name="Frame262"/>
                      <a:graphic xmlns:a="http://schemas.openxmlformats.org/drawingml/2006/main">
                        <a:graphicData uri="http://schemas.microsoft.com/office/word/2010/wordprocessingShape">
                          <wps:wsp>
                            <wps:cNvSpPr txBox="1"/>
                            <wps:spPr>
                              <a:xfrm>
                                <a:off x="0" y="0"/>
                                <a:ext cx="787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1930" cy="175260"/>
                      <wp:effectExtent l="0" t="0" r="0" b="0"/>
                      <wp:wrapNone/>
                      <wp:docPr id="264" name="Frame264"/>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19760" cy="175260"/>
                      <wp:effectExtent l="0" t="0" r="0" b="0"/>
                      <wp:wrapNone/>
                      <wp:docPr id="265" name="Frame26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8915" cy="175260"/>
                      <wp:effectExtent l="0" t="0" r="0" b="0"/>
                      <wp:wrapNone/>
                      <wp:docPr id="267" name="Frame267"/>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12775" cy="175260"/>
                      <wp:effectExtent l="0" t="0" r="0" b="0"/>
                      <wp:wrapNone/>
                      <wp:docPr id="268" name="Frame268"/>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9065" cy="175260"/>
                      <wp:effectExtent l="0" t="0" r="0" b="0"/>
                      <wp:wrapNone/>
                      <wp:docPr id="270" name="Frame27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63220" cy="175260"/>
                      <wp:effectExtent l="0" t="0" r="0" b="0"/>
                      <wp:wrapNone/>
                      <wp:docPr id="271" name="Frame271"/>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5890" cy="175260"/>
                      <wp:effectExtent l="0" t="0" r="0" b="0"/>
                      <wp:wrapNone/>
                      <wp:docPr id="273" name="Frame27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54965" cy="175260"/>
                      <wp:effectExtent l="0" t="0" r="0" b="0"/>
                      <wp:wrapNone/>
                      <wp:docPr id="274" name="Frame274"/>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0175" cy="175260"/>
                      <wp:effectExtent l="0" t="0" r="0" b="0"/>
                      <wp:wrapNone/>
                      <wp:docPr id="276" name="Frame276"/>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39725" cy="175260"/>
                      <wp:effectExtent l="0" t="0" r="0" b="0"/>
                      <wp:wrapNone/>
                      <wp:docPr id="277" name="Frame277"/>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7795" cy="175260"/>
                      <wp:effectExtent l="0" t="0" r="0" b="0"/>
                      <wp:wrapNone/>
                      <wp:docPr id="278" name="Frame27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86055" cy="175260"/>
                      <wp:effectExtent l="0" t="0" r="0" b="0"/>
                      <wp:wrapNone/>
                      <wp:docPr id="279" name="Frame279"/>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88315" cy="175260"/>
                      <wp:effectExtent l="0" t="0" r="0" b="0"/>
                      <wp:wrapNone/>
                      <wp:docPr id="280" name="Frame280"/>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91770" cy="175260"/>
                      <wp:effectExtent l="0" t="0" r="0" b="0"/>
                      <wp:wrapNone/>
                      <wp:docPr id="282" name="Frame28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00380" cy="175260"/>
                      <wp:effectExtent l="0" t="0" r="0" b="0"/>
                      <wp:wrapNone/>
                      <wp:docPr id="283" name="Frame283"/>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24460" cy="175260"/>
                      <wp:effectExtent l="0" t="0" r="0" b="0"/>
                      <wp:wrapNone/>
                      <wp:docPr id="285" name="Frame2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73075" cy="175260"/>
                      <wp:effectExtent l="0" t="0" r="0" b="0"/>
                      <wp:wrapNone/>
                      <wp:docPr id="286" name="Frame286"/>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56"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2026</w:t>
            </w:r>
          </w:p>
        </w:tc>
      </w:tr>
      <w:tr>
        <w:trPr/>
        <w:tc>
          <w:tcPr>
            <w:tcW w:w="12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9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vAlign w:val="center"/>
          </w:tcPr>
          <w:p>
            <w:pPr>
              <w:pStyle w:val="TableContents"/>
              <w:bidi w:val="0"/>
              <w:spacing w:before="0" w:after="0"/>
              <w:ind w:left="0" w:right="0" w:hanging="0"/>
              <w:jc w:val="center"/>
              <w:rPr/>
            </w:pPr>
            <w:r>
              <w:rPr/>
              <w:t>​</w:t>
            </w:r>
          </w:p>
        </w:tc>
        <w:tc>
          <w:tcPr>
            <w:tcW w:w="129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Watersound Fountains Independent Living JV </w:t>
            </w:r>
            <w:r>
              <w:rPr>
                <w:rFonts w:ascii="Times New Roman;Times;serif" w:hAnsi="Times New Roman;Times;serif"/>
                <w:b/>
                <w:sz w:val="11"/>
              </w:rPr>
              <w:t>(b)</w:t>
            </w:r>
          </w:p>
        </w:tc>
        <w:tc>
          <w:tcPr>
            <w:tcW w:w="109" w:type="dxa"/>
            <w:tcBorders/>
            <w:vAlign w:val="center"/>
          </w:tcPr>
          <w:p>
            <w:pPr>
              <w:pStyle w:val="TableContents"/>
              <w:bidi w:val="0"/>
              <w:spacing w:before="0" w:after="0"/>
              <w:ind w:left="0" w:right="0" w:hanging="0"/>
              <w:jc w:val="center"/>
              <w:rPr/>
            </w:pPr>
            <w:r>
              <w:rPr/>
              <w:t>​</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0"/>
              <w:ind w:left="0" w:right="0" w:hanging="0"/>
              <w:jc w:val="center"/>
              <w:rPr/>
            </w:pPr>
            <w:r>
              <w:rPr/>
              <w:t>​</w:t>
            </w:r>
          </w:p>
        </w:tc>
        <w:tc>
          <w:tcPr>
            <w:tcW w:w="7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vAlign w:val="center"/>
          </w:tcPr>
          <w:p>
            <w:pPr>
              <w:pStyle w:val="TableContents"/>
              <w:bidi w:val="0"/>
              <w:spacing w:before="0" w:after="0"/>
              <w:ind w:left="0" w:right="0" w:hanging="0"/>
              <w:jc w:val="left"/>
              <w:rPr/>
            </w:pPr>
            <w:r>
              <w:rPr/>
              <w:t>​</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17" w:type="dxa"/>
            <w:tcBorders/>
            <w:vAlign w:val="center"/>
          </w:tcPr>
          <w:p>
            <w:pPr>
              <w:pStyle w:val="TableContents"/>
              <w:bidi w:val="0"/>
              <w:spacing w:before="0" w:after="0"/>
              <w:ind w:left="0" w:right="0" w:hanging="0"/>
              <w:jc w:val="center"/>
              <w:rPr/>
            </w:pPr>
            <w:r>
              <w:rPr/>
              <w:t>​</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2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97,074</w:t>
            </w:r>
          </w:p>
        </w:tc>
        <w:tc>
          <w:tcPr>
            <w:tcW w:w="109"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2,273</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2,213</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2,608</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7,232</w:t>
            </w:r>
          </w:p>
        </w:tc>
        <w:tc>
          <w:tcPr>
            <w:tcW w:w="217"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2,435</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115,147</w:t>
            </w:r>
          </w:p>
        </w:tc>
      </w:tr>
      <w:tr>
        <w:trPr/>
        <w:tc>
          <w:tcPr>
            <w:tcW w:w="12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Expenses:</w:t>
            </w:r>
          </w:p>
        </w:tc>
        <w:tc>
          <w:tcPr>
            <w:tcW w:w="109"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pPr>
            <w:r>
              <w:rPr/>
              <w:t>​</w:t>
            </w:r>
          </w:p>
        </w:tc>
      </w:tr>
      <w:tr>
        <w:trPr/>
        <w:tc>
          <w:tcPr>
            <w:tcW w:w="124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Cost of revenue </w:t>
            </w:r>
            <w:r>
              <w:rPr>
                <w:rFonts w:ascii="Times New Roman;Times;serif" w:hAnsi="Times New Roman;Times;serif"/>
                <w:sz w:val="14"/>
              </w:rPr>
              <w:t>(c)</w:t>
            </w:r>
          </w:p>
        </w:tc>
        <w:tc>
          <w:tcPr>
            <w:tcW w:w="109"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68,530</w:t>
            </w:r>
          </w:p>
        </w:tc>
        <w:tc>
          <w:tcPr>
            <w:tcW w:w="109"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2,852</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1,415</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1,633</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6,917</w:t>
            </w:r>
          </w:p>
        </w:tc>
        <w:tc>
          <w:tcPr>
            <w:tcW w:w="217"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2,142</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84,658</w:t>
            </w:r>
          </w:p>
        </w:tc>
      </w:tr>
      <w:tr>
        <w:trPr/>
        <w:tc>
          <w:tcPr>
            <w:tcW w:w="124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operating expenses </w:t>
            </w:r>
            <w:r>
              <w:rPr>
                <w:rFonts w:ascii="Times New Roman;Times;serif" w:hAnsi="Times New Roman;Times;serif"/>
                <w:sz w:val="14"/>
              </w:rPr>
              <w:t>(c)</w:t>
            </w:r>
          </w:p>
        </w:tc>
        <w:tc>
          <w:tcPr>
            <w:tcW w:w="109"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8,566</w:t>
            </w:r>
          </w:p>
        </w:tc>
        <w:tc>
          <w:tcPr>
            <w:tcW w:w="109"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8,567</w:t>
            </w:r>
          </w:p>
        </w:tc>
      </w:tr>
      <w:tr>
        <w:trPr/>
        <w:tc>
          <w:tcPr>
            <w:tcW w:w="124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Depreciation and amortization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109"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1,521</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1,341</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217"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3,842</w:t>
            </w:r>
          </w:p>
        </w:tc>
      </w:tr>
      <w:tr>
        <w:trPr/>
        <w:tc>
          <w:tcPr>
            <w:tcW w:w="12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expenses</w:t>
            </w:r>
          </w:p>
        </w:tc>
        <w:tc>
          <w:tcPr>
            <w:tcW w:w="109"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77,456</w:t>
            </w:r>
          </w:p>
        </w:tc>
        <w:tc>
          <w:tcPr>
            <w:tcW w:w="109"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4,373</w:t>
            </w:r>
          </w:p>
        </w:tc>
        <w:tc>
          <w:tcPr>
            <w:tcW w:w="10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1,638</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2,974</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7,189</w:t>
            </w:r>
          </w:p>
        </w:tc>
        <w:tc>
          <w:tcPr>
            <w:tcW w:w="217"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2,268</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97,067</w:t>
            </w:r>
          </w:p>
        </w:tc>
      </w:tr>
      <w:tr>
        <w:trPr/>
        <w:tc>
          <w:tcPr>
            <w:tcW w:w="12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19,618</w:t>
            </w:r>
          </w:p>
        </w:tc>
        <w:tc>
          <w:tcPr>
            <w:tcW w:w="109"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(2,100)</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217"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18,080</w:t>
            </w:r>
          </w:p>
        </w:tc>
      </w:tr>
      <w:tr>
        <w:trPr/>
        <w:tc>
          <w:tcPr>
            <w:tcW w:w="12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w:t>
            </w:r>
          </w:p>
        </w:tc>
        <w:tc>
          <w:tcPr>
            <w:tcW w:w="109"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pPr>
            <w:r>
              <w:rPr/>
              <w:t>​</w:t>
            </w:r>
          </w:p>
        </w:tc>
      </w:tr>
      <w:tr>
        <w:trPr/>
        <w:tc>
          <w:tcPr>
            <w:tcW w:w="12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(1,237)</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217"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(2,337)</w:t>
            </w:r>
          </w:p>
        </w:tc>
      </w:tr>
      <w:tr>
        <w:trPr/>
        <w:tc>
          <w:tcPr>
            <w:tcW w:w="12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109"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c>
          <w:tcPr>
            <w:tcW w:w="109"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217"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(e)</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w:t>
            </w:r>
          </w:p>
        </w:tc>
      </w:tr>
      <w:tr>
        <w:trPr/>
        <w:tc>
          <w:tcPr>
            <w:tcW w:w="12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c>
          <w:tcPr>
            <w:tcW w:w="109"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(1,227)</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217"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(1,799)</w:t>
            </w:r>
          </w:p>
        </w:tc>
      </w:tr>
      <w:tr>
        <w:trPr/>
        <w:tc>
          <w:tcPr>
            <w:tcW w:w="124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109"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20,117</w:t>
            </w:r>
          </w:p>
        </w:tc>
        <w:tc>
          <w:tcPr>
            <w:tcW w:w="109"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(3,327)</w:t>
            </w:r>
          </w:p>
        </w:tc>
        <w:tc>
          <w:tcPr>
            <w:tcW w:w="109"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163</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(863)</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w:t>
            </w:r>
          </w:p>
        </w:tc>
        <w:tc>
          <w:tcPr>
            <w:tcW w:w="217"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4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16,281</w:t>
            </w:r>
          </w:p>
        </w:tc>
      </w:tr>
    </w:tbl>
    <w:tbl>
      <w:tblPr>
        <w:tblW w:w="9422" w:type="dxa"/>
        <w:jc w:val="left"/>
        <w:tblInd w:w="0" w:type="dxa"/>
        <w:tblLayout w:type="fixed"/>
        <w:tblCellMar>
          <w:top w:w="0" w:type="dxa"/>
          <w:left w:w="0" w:type="dxa"/>
          <w:bottom w:w="0" w:type="dxa"/>
          <w:right w:w="0" w:type="dxa"/>
        </w:tblCellMar>
      </w:tblPr>
      <w:tblGrid>
        <w:gridCol w:w="316"/>
        <w:gridCol w:w="910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1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 169</w:t>
            </w:r>
            <w:r>
              <w:rPr>
                <w:caps w:val="false"/>
                <w:smallCaps w:val="false"/>
              </w:rPr>
              <w:t xml:space="preserve"> </w:t>
            </w:r>
            <w:r>
              <w:rPr>
                <w:rFonts w:ascii="Times New Roman;Times;serif" w:hAnsi="Times New Roman;Times;serif"/>
                <w:b w:val="false"/>
                <w:i w:val="false"/>
                <w:caps w:val="false"/>
                <w:smallCaps w:val="false"/>
                <w:sz w:val="18"/>
              </w:rPr>
              <w:t>home sale transactions during the six months ended June 30, 2026.</w:t>
            </w:r>
          </w:p>
        </w:tc>
      </w:tr>
    </w:tbl>
    <w:tbl>
      <w:tblPr>
        <w:tblW w:w="2882" w:type="dxa"/>
        <w:jc w:val="left"/>
        <w:tblInd w:w="0" w:type="dxa"/>
        <w:tblLayout w:type="fixed"/>
        <w:tblCellMar>
          <w:top w:w="0" w:type="dxa"/>
          <w:left w:w="0" w:type="dxa"/>
          <w:bottom w:w="0" w:type="dxa"/>
          <w:right w:w="0" w:type="dxa"/>
        </w:tblCellMar>
      </w:tblPr>
      <w:tblGrid>
        <w:gridCol w:w="331"/>
        <w:gridCol w:w="25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2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community is under lease-up.</w:t>
            </w:r>
          </w:p>
        </w:tc>
      </w:tr>
    </w:tbl>
    <w:tbl>
      <w:tblPr>
        <w:tblW w:w="5132" w:type="dxa"/>
        <w:jc w:val="left"/>
        <w:tblInd w:w="0" w:type="dxa"/>
        <w:tblLayout w:type="fixed"/>
        <w:tblCellMar>
          <w:top w:w="0" w:type="dxa"/>
          <w:left w:w="0" w:type="dxa"/>
          <w:bottom w:w="0" w:type="dxa"/>
          <w:right w:w="0" w:type="dxa"/>
        </w:tblCellMar>
      </w:tblPr>
      <w:tblGrid>
        <w:gridCol w:w="316"/>
        <w:gridCol w:w="48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4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and amortization, shown separately above.</w:t>
            </w:r>
          </w:p>
        </w:tc>
      </w:tr>
    </w:tbl>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Depreciation is a non-cash, GAAP expense, which is amortized over an asset’s useful life.</w:t>
            </w:r>
          </w:p>
        </w:tc>
      </w:tr>
    </w:tbl>
    <w:tbl>
      <w:tblPr>
        <w:tblW w:w="8252" w:type="dxa"/>
        <w:jc w:val="left"/>
        <w:tblInd w:w="0" w:type="dxa"/>
        <w:tblLayout w:type="fixed"/>
        <w:tblCellMar>
          <w:top w:w="0" w:type="dxa"/>
          <w:left w:w="0" w:type="dxa"/>
          <w:bottom w:w="0" w:type="dxa"/>
          <w:right w:w="0" w:type="dxa"/>
        </w:tblCellMar>
      </w:tblPr>
      <w:tblGrid>
        <w:gridCol w:w="316"/>
        <w:gridCol w:w="793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36" w:name="Tc_-NDtCUiPJEqRnaYZ7hpOVg_14_23"/>
      <w:bookmarkStart w:id="1637" w:name="Tc_tsG2kea2MkqHt-ROh4FY3g_14_20"/>
      <w:bookmarkStart w:id="1638" w:name="Tc_U_2hfC5TDkawVNmNEgw_Pg_14_17"/>
      <w:bookmarkStart w:id="1639" w:name="Tc_7fq01LnZL0e03EFvYbq4ug_14_14"/>
      <w:bookmarkStart w:id="1640" w:name="Tc_j6xxB-UrCE-M1ksFZJJNLQ_14_11"/>
      <w:bookmarkStart w:id="1641" w:name="Tc_9Q1v-PynFk62dgDmJFt2dw_14_8"/>
      <w:bookmarkStart w:id="1642" w:name="Tc_9GKL6FvTA0yjcJGJnLIlig_14_5"/>
      <w:bookmarkStart w:id="1643" w:name="Tc_k2PDWxB7K0qEJVDVFeZ0bg_14_2"/>
      <w:bookmarkStart w:id="1644" w:name="Tc_uctB0UjLMU67r2DbXndJzQ_14_0"/>
      <w:bookmarkStart w:id="1645" w:name="Tc_94tnF1zCu0eYV-YG9CBu8g_13_21"/>
      <w:bookmarkStart w:id="1646" w:name="Tc_YKQBPPCU4kCUDIgHjxi0NA_13_0"/>
      <w:bookmarkStart w:id="1647" w:name="Tc_yd_BBxHNaEi7hg0KtbZTWA_12_21"/>
      <w:bookmarkStart w:id="1648" w:name="Tc_AHtGTjWHfUynQfdn0-uW7A_12_16"/>
      <w:bookmarkStart w:id="1649" w:name="Tc_lna1xQNiOkOnWlJAZYmByQ_12_0"/>
      <w:bookmarkStart w:id="1650" w:name="Tc_mApZ9WTzZEmfbcYIRo0wcQ_11_21"/>
      <w:bookmarkStart w:id="1651" w:name="Tc_B4MmoNcS8kWHqFTwn_ZQpg_11_3"/>
      <w:bookmarkStart w:id="1652" w:name="Tc_6C30C9T8x0SXPsNYypnp6A_11_0"/>
      <w:bookmarkStart w:id="1653" w:name="Tc_WZ4aNgHIAUymDXRW4jIlkg_10_0"/>
      <w:bookmarkStart w:id="1654" w:name="Tc_zbloisfEVUmVgdjIDpQPWQ_9_0"/>
      <w:bookmarkStart w:id="1655" w:name="Tc_kgx8J1H40EeNBM96-YidAw_8_0"/>
      <w:bookmarkStart w:id="1656" w:name="Tc_rNwHQdUb60ex-AYSlDsyQw_7_21"/>
      <w:bookmarkStart w:id="1657" w:name="Tc_0PdZK0qJgkSV8bVLLUK-4w_7_0"/>
      <w:bookmarkStart w:id="1658" w:name="Tc_KxoPLkwmM0-OMPC8XCK01g_6_21"/>
      <w:bookmarkStart w:id="1659" w:name="Tc_zQ7d2zNqq0S3nRK6xe0LNA_6_18"/>
      <w:bookmarkStart w:id="1660" w:name="Tc_-uP9s4D2pkqKdoYDHrshFQ_6_15"/>
      <w:bookmarkStart w:id="1661" w:name="Tc_62n2huWi8E2-q9OG18pRYQ_6_12"/>
      <w:bookmarkStart w:id="1662" w:name="Tc_tWIz2NdLz0uQvHyJByRZ9w_6_9"/>
      <w:bookmarkStart w:id="1663" w:name="Tc_L5kzgvxIMkC0tiOJEHvvgw_6_6"/>
      <w:bookmarkStart w:id="1664" w:name="Tc_jspLvdMecUW9oYFCFRPG1A_6_0"/>
      <w:bookmarkStart w:id="1665" w:name="Tc_7OhtN6WIxEeB_riZrCMjyw_5_0"/>
      <w:bookmarkStart w:id="1666" w:name="Tc_hVS4s23JakyXRnOV1ktTYg_4_0"/>
      <w:bookmarkStart w:id="1667" w:name="Tc_yGUh6TV8rkWXMLs6qlT_YQ_3_23"/>
      <w:bookmarkStart w:id="1668" w:name="Tc_vw6piP1s1kuDeM85JRC_Yw_3_20"/>
      <w:bookmarkStart w:id="1669" w:name="Tc_xCcvAzSJ7Eieb6_z8MCpHQ_3_17"/>
      <w:bookmarkStart w:id="1670" w:name="Tc_tJ7oKuuWRESUTvJPLXcV3A_3_14"/>
      <w:bookmarkStart w:id="1671" w:name="Tc_yQt4g4cm0USagGz6p-4JUQ_3_11"/>
      <w:bookmarkStart w:id="1672" w:name="Tc_ReNe0WVNIUSjLQgQUrWrrQ_3_8"/>
      <w:bookmarkStart w:id="1673" w:name="Tc_j18zChwaZkOntca2iMIs4A_3_5"/>
      <w:bookmarkStart w:id="1674" w:name="Tc_h4wZ-G4W5E2qEsho-FvO5w_3_2"/>
      <w:bookmarkStart w:id="1675" w:name="Tc_AcebknA7vkKG0u4Di_MBxg_3_0"/>
      <w:bookmarkStart w:id="1676" w:name="Tc_gQVQYVSeUkmAmlIaMs63Aw_2_23"/>
      <w:bookmarkStart w:id="1677" w:name="Tc_0X-X9CqJX06cPXAk-9Dqgg_2_20"/>
      <w:bookmarkStart w:id="1678" w:name="Tc_mDBZXsmhOkeh1ZtV8vXRuQ_2_17"/>
      <w:bookmarkStart w:id="1679" w:name="Tc__bMHo14p0ECrMfb9iAAbBg_2_14"/>
      <w:bookmarkStart w:id="1680" w:name="Tc_FW8f_BGy2kGh4kZYw3a9vQ_2_11"/>
      <w:bookmarkStart w:id="1681" w:name="Tc_XIjiUhJD3027zJWPZ15zYg_2_8"/>
      <w:bookmarkStart w:id="1682" w:name="Tc_81rHGNuWnEaekTKg9ueHvQ_2_5"/>
      <w:bookmarkStart w:id="1683" w:name="Tc_7Y8OHREZ8E6a052MnBprMg_2_2"/>
      <w:bookmarkStart w:id="1684" w:name="Tc_qPvXfEi7tkaK4XZE_Qg6ow_1_2"/>
      <w:bookmarkStart w:id="1685" w:name="_712ab56a_7a9a_4b56_93ad_4fc91674471b"/>
      <w:bookmarkStart w:id="1686" w:name="Tc_-NDtCUiPJEqRnaYZ7hpOVg_14_23"/>
      <w:bookmarkStart w:id="1687" w:name="Tc_tsG2kea2MkqHt-ROh4FY3g_14_20"/>
      <w:bookmarkStart w:id="1688" w:name="Tc_U_2hfC5TDkawVNmNEgw_Pg_14_17"/>
      <w:bookmarkStart w:id="1689" w:name="Tc_7fq01LnZL0e03EFvYbq4ug_14_14"/>
      <w:bookmarkStart w:id="1690" w:name="Tc_j6xxB-UrCE-M1ksFZJJNLQ_14_11"/>
      <w:bookmarkStart w:id="1691" w:name="Tc_9Q1v-PynFk62dgDmJFt2dw_14_8"/>
      <w:bookmarkStart w:id="1692" w:name="Tc_9GKL6FvTA0yjcJGJnLIlig_14_5"/>
      <w:bookmarkStart w:id="1693" w:name="Tc_k2PDWxB7K0qEJVDVFeZ0bg_14_2"/>
      <w:bookmarkStart w:id="1694" w:name="Tc_uctB0UjLMU67r2DbXndJzQ_14_0"/>
      <w:bookmarkStart w:id="1695" w:name="Tc_94tnF1zCu0eYV-YG9CBu8g_13_21"/>
      <w:bookmarkStart w:id="1696" w:name="Tc_YKQBPPCU4kCUDIgHjxi0NA_13_0"/>
      <w:bookmarkStart w:id="1697" w:name="Tc_yd_BBxHNaEi7hg0KtbZTWA_12_21"/>
      <w:bookmarkStart w:id="1698" w:name="Tc_AHtGTjWHfUynQfdn0-uW7A_12_16"/>
      <w:bookmarkStart w:id="1699" w:name="Tc_lna1xQNiOkOnWlJAZYmByQ_12_0"/>
      <w:bookmarkStart w:id="1700" w:name="Tc_mApZ9WTzZEmfbcYIRo0wcQ_11_21"/>
      <w:bookmarkStart w:id="1701" w:name="Tc_B4MmoNcS8kWHqFTwn_ZQpg_11_3"/>
      <w:bookmarkStart w:id="1702" w:name="Tc_6C30C9T8x0SXPsNYypnp6A_11_0"/>
      <w:bookmarkStart w:id="1703" w:name="Tc_WZ4aNgHIAUymDXRW4jIlkg_10_0"/>
      <w:bookmarkStart w:id="1704" w:name="Tc_zbloisfEVUmVgdjIDpQPWQ_9_0"/>
      <w:bookmarkStart w:id="1705" w:name="Tc_kgx8J1H40EeNBM96-YidAw_8_0"/>
      <w:bookmarkStart w:id="1706" w:name="Tc_rNwHQdUb60ex-AYSlDsyQw_7_21"/>
      <w:bookmarkStart w:id="1707" w:name="Tc_0PdZK0qJgkSV8bVLLUK-4w_7_0"/>
      <w:bookmarkStart w:id="1708" w:name="Tc_KxoPLkwmM0-OMPC8XCK01g_6_21"/>
      <w:bookmarkStart w:id="1709" w:name="Tc_zQ7d2zNqq0S3nRK6xe0LNA_6_18"/>
      <w:bookmarkStart w:id="1710" w:name="Tc_-uP9s4D2pkqKdoYDHrshFQ_6_15"/>
      <w:bookmarkStart w:id="1711" w:name="Tc_62n2huWi8E2-q9OG18pRYQ_6_12"/>
      <w:bookmarkStart w:id="1712" w:name="Tc_tWIz2NdLz0uQvHyJByRZ9w_6_9"/>
      <w:bookmarkStart w:id="1713" w:name="Tc_L5kzgvxIMkC0tiOJEHvvgw_6_6"/>
      <w:bookmarkStart w:id="1714" w:name="Tc_jspLvdMecUW9oYFCFRPG1A_6_0"/>
      <w:bookmarkStart w:id="1715" w:name="Tc_7OhtN6WIxEeB_riZrCMjyw_5_0"/>
      <w:bookmarkStart w:id="1716" w:name="Tc_hVS4s23JakyXRnOV1ktTYg_4_0"/>
      <w:bookmarkStart w:id="1717" w:name="Tc_yGUh6TV8rkWXMLs6qlT_YQ_3_23"/>
      <w:bookmarkStart w:id="1718" w:name="Tc_vw6piP1s1kuDeM85JRC_Yw_3_20"/>
      <w:bookmarkStart w:id="1719" w:name="Tc_xCcvAzSJ7Eieb6_z8MCpHQ_3_17"/>
      <w:bookmarkStart w:id="1720" w:name="Tc_tJ7oKuuWRESUTvJPLXcV3A_3_14"/>
      <w:bookmarkStart w:id="1721" w:name="Tc_yQt4g4cm0USagGz6p-4JUQ_3_11"/>
      <w:bookmarkStart w:id="1722" w:name="Tc_ReNe0WVNIUSjLQgQUrWrrQ_3_8"/>
      <w:bookmarkStart w:id="1723" w:name="Tc_j18zChwaZkOntca2iMIs4A_3_5"/>
      <w:bookmarkStart w:id="1724" w:name="Tc_h4wZ-G4W5E2qEsho-FvO5w_3_2"/>
      <w:bookmarkStart w:id="1725" w:name="Tc_AcebknA7vkKG0u4Di_MBxg_3_0"/>
      <w:bookmarkStart w:id="1726" w:name="Tc_gQVQYVSeUkmAmlIaMs63Aw_2_23"/>
      <w:bookmarkStart w:id="1727" w:name="Tc_0X-X9CqJX06cPXAk-9Dqgg_2_20"/>
      <w:bookmarkStart w:id="1728" w:name="Tc_mDBZXsmhOkeh1ZtV8vXRuQ_2_17"/>
      <w:bookmarkStart w:id="1729" w:name="Tc__bMHo14p0ECrMfb9iAAbBg_2_14"/>
      <w:bookmarkStart w:id="1730" w:name="Tc_FW8f_BGy2kGh4kZYw3a9vQ_2_11"/>
      <w:bookmarkStart w:id="1731" w:name="Tc_XIjiUhJD3027zJWPZ15zYg_2_8"/>
      <w:bookmarkStart w:id="1732" w:name="Tc_81rHGNuWnEaekTKg9ueHvQ_2_5"/>
      <w:bookmarkStart w:id="1733" w:name="Tc_7Y8OHREZ8E6a052MnBprMg_2_2"/>
      <w:bookmarkStart w:id="1734" w:name="Tc_qPvXfEi7tkaK4XZE_Qg6ow_1_2"/>
      <w:bookmarkStart w:id="1735" w:name="_712ab56a_7a9a_4b56_93ad_4fc91674471b"/>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p>
    <w:tbl>
      <w:tblPr>
        <w:tblW w:w="10205" w:type="dxa"/>
        <w:jc w:val="left"/>
        <w:tblInd w:w="0" w:type="dxa"/>
        <w:tblLayout w:type="fixed"/>
        <w:tblCellMar>
          <w:top w:w="0" w:type="dxa"/>
          <w:left w:w="0" w:type="dxa"/>
          <w:bottom w:w="0" w:type="dxa"/>
          <w:right w:w="0" w:type="dxa"/>
        </w:tblCellMar>
      </w:tblPr>
      <w:tblGrid>
        <w:gridCol w:w="1231"/>
        <w:gridCol w:w="109"/>
        <w:gridCol w:w="282"/>
        <w:gridCol w:w="1000"/>
        <w:gridCol w:w="109"/>
        <w:gridCol w:w="325"/>
        <w:gridCol w:w="952"/>
        <w:gridCol w:w="109"/>
        <w:gridCol w:w="218"/>
        <w:gridCol w:w="570"/>
        <w:gridCol w:w="109"/>
        <w:gridCol w:w="212"/>
        <w:gridCol w:w="632"/>
        <w:gridCol w:w="109"/>
        <w:gridCol w:w="204"/>
        <w:gridCol w:w="534"/>
        <w:gridCol w:w="202"/>
        <w:gridCol w:w="292"/>
        <w:gridCol w:w="764"/>
        <w:gridCol w:w="109"/>
        <w:gridCol w:w="300"/>
        <w:gridCol w:w="784"/>
        <w:gridCol w:w="109"/>
        <w:gridCol w:w="196"/>
        <w:gridCol w:w="744"/>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81685" cy="175260"/>
                      <wp:effectExtent l="0" t="0" r="0" b="0"/>
                      <wp:wrapNone/>
                      <wp:docPr id="287" name="Frame28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79070" cy="175260"/>
                      <wp:effectExtent l="0" t="0" r="0" b="0"/>
                      <wp:wrapNone/>
                      <wp:docPr id="289" name="Frame28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35000" cy="175260"/>
                      <wp:effectExtent l="0" t="0" r="0" b="0"/>
                      <wp:wrapNone/>
                      <wp:docPr id="290" name="Frame290"/>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6375" cy="175260"/>
                      <wp:effectExtent l="0" t="0" r="0" b="0"/>
                      <wp:wrapNone/>
                      <wp:docPr id="292" name="Frame292"/>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04520" cy="175260"/>
                      <wp:effectExtent l="0" t="0" r="0" b="0"/>
                      <wp:wrapNone/>
                      <wp:docPr id="293" name="Frame293"/>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8430" cy="175260"/>
                      <wp:effectExtent l="0" t="0" r="0" b="0"/>
                      <wp:wrapNone/>
                      <wp:docPr id="295" name="Frame29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61950" cy="175260"/>
                      <wp:effectExtent l="0" t="0" r="0" b="0"/>
                      <wp:wrapNone/>
                      <wp:docPr id="296" name="Frame296"/>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4620" cy="175260"/>
                      <wp:effectExtent l="0" t="0" r="0" b="0"/>
                      <wp:wrapNone/>
                      <wp:docPr id="298" name="Frame29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01320" cy="175260"/>
                      <wp:effectExtent l="0" t="0" r="0" b="0"/>
                      <wp:wrapNone/>
                      <wp:docPr id="299" name="Frame299"/>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9540" cy="175260"/>
                      <wp:effectExtent l="0" t="0" r="0" b="0"/>
                      <wp:wrapNone/>
                      <wp:docPr id="301" name="Frame301"/>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39090" cy="175260"/>
                      <wp:effectExtent l="0" t="0" r="0" b="0"/>
                      <wp:wrapNone/>
                      <wp:docPr id="302" name="Frame302"/>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8270" cy="175260"/>
                      <wp:effectExtent l="0" t="0" r="0" b="0"/>
                      <wp:wrapNone/>
                      <wp:docPr id="303" name="Frame303"/>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85420" cy="175260"/>
                      <wp:effectExtent l="0" t="0" r="0" b="0"/>
                      <wp:wrapNone/>
                      <wp:docPr id="304" name="Frame304"/>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85140" cy="175260"/>
                      <wp:effectExtent l="0" t="0" r="0" b="0"/>
                      <wp:wrapNone/>
                      <wp:docPr id="305" name="Frame305"/>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90500" cy="175260"/>
                      <wp:effectExtent l="0" t="0" r="0" b="0"/>
                      <wp:wrapNone/>
                      <wp:docPr id="307" name="Frame30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97840" cy="175260"/>
                      <wp:effectExtent l="0" t="0" r="0" b="0"/>
                      <wp:wrapNone/>
                      <wp:docPr id="308" name="Frame308"/>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9"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24460" cy="175260"/>
                      <wp:effectExtent l="0" t="0" r="0" b="0"/>
                      <wp:wrapNone/>
                      <wp:docPr id="310" name="Frame3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72440" cy="175260"/>
                      <wp:effectExtent l="0" t="0" r="0" b="0"/>
                      <wp:wrapNone/>
                      <wp:docPr id="311" name="Frame311"/>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5"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2025</w: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8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Watersound Fountains Independent Living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vAlign w:val="center"/>
          </w:tcPr>
          <w:p>
            <w:pPr>
              <w:pStyle w:val="TableContents"/>
              <w:bidi w:val="0"/>
              <w:spacing w:before="0" w:after="0"/>
              <w:ind w:left="0" w:right="0" w:hanging="0"/>
              <w:jc w:val="center"/>
              <w:rPr/>
            </w:pPr>
            <w:r>
              <w:rPr/>
              <w:t>​</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0"/>
              <w:ind w:left="0" w:right="0" w:hanging="0"/>
              <w:jc w:val="center"/>
              <w:rPr/>
            </w:pPr>
            <w:r>
              <w:rPr/>
              <w:t>​</w:t>
            </w:r>
          </w:p>
        </w:tc>
        <w:tc>
          <w:tcPr>
            <w:tcW w:w="84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Pier Park RI JV </w:t>
            </w:r>
            <w:r>
              <w:rPr>
                <w:rFonts w:ascii="Times New Roman;Times;serif" w:hAnsi="Times New Roman;Times;serif"/>
                <w:b/>
                <w:sz w:val="11"/>
              </w:rPr>
              <w:t>(c)</w:t>
            </w:r>
          </w:p>
        </w:tc>
        <w:tc>
          <w:tcPr>
            <w:tcW w:w="109" w:type="dxa"/>
            <w:tcBorders/>
            <w:vAlign w:val="center"/>
          </w:tcPr>
          <w:p>
            <w:pPr>
              <w:pStyle w:val="TableContents"/>
              <w:bidi w:val="0"/>
              <w:spacing w:before="0" w:after="0"/>
              <w:ind w:left="0" w:right="0" w:hanging="0"/>
              <w:jc w:val="left"/>
              <w:rPr/>
            </w:pPr>
            <w:r>
              <w:rPr/>
              <w:t>​</w:t>
            </w:r>
          </w:p>
        </w:tc>
        <w:tc>
          <w:tcPr>
            <w:tcW w:w="7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02" w:type="dxa"/>
            <w:tcBorders/>
            <w:vAlign w:val="center"/>
          </w:tcPr>
          <w:p>
            <w:pPr>
              <w:pStyle w:val="TableContents"/>
              <w:bidi w:val="0"/>
              <w:spacing w:before="0" w:after="0"/>
              <w:ind w:left="0" w:right="0" w:hanging="0"/>
              <w:jc w:val="center"/>
              <w:rPr/>
            </w:pPr>
            <w:r>
              <w:rPr/>
              <w:t>​</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196,280</w:t>
            </w:r>
          </w:p>
        </w:tc>
        <w:tc>
          <w:tcPr>
            <w:tcW w:w="109"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1,542</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2,213</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2,534</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7,128</w:t>
            </w:r>
          </w:p>
        </w:tc>
        <w:tc>
          <w:tcPr>
            <w:tcW w:w="202"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2,176</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213,153</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Expenses:</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202"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pPr>
            <w:r>
              <w:rPr/>
              <w:t>​</w:t>
            </w:r>
          </w:p>
        </w:tc>
      </w:tr>
      <w:tr>
        <w:trPr/>
        <w:tc>
          <w:tcPr>
            <w:tcW w:w="12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Cost of revenue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144,745</w:t>
            </w:r>
          </w:p>
        </w:tc>
        <w:tc>
          <w:tcPr>
            <w:tcW w:w="109"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1,569</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1,634</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6,826</w:t>
            </w:r>
          </w:p>
        </w:tc>
        <w:tc>
          <w:tcPr>
            <w:tcW w:w="202"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1,926</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160,148</w:t>
            </w:r>
          </w:p>
        </w:tc>
      </w:tr>
      <w:tr>
        <w:trPr/>
        <w:tc>
          <w:tcPr>
            <w:tcW w:w="123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operating expenses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9,044</w:t>
            </w:r>
          </w:p>
        </w:tc>
        <w:tc>
          <w:tcPr>
            <w:tcW w:w="109"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202"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9,044</w:t>
            </w:r>
          </w:p>
        </w:tc>
      </w:tr>
      <w:tr>
        <w:trPr/>
        <w:tc>
          <w:tcPr>
            <w:tcW w:w="12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Depreciation and amortization </w:t>
            </w:r>
            <w:r>
              <w:rPr>
                <w:rFonts w:ascii="Times New Roman;Times;serif" w:hAnsi="Times New Roman;Times;serif"/>
                <w:sz w:val="14"/>
              </w:rPr>
              <w:t>(e)</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w:t>
            </w:r>
          </w:p>
        </w:tc>
        <w:tc>
          <w:tcPr>
            <w:tcW w:w="109"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1,505</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1,858</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c>
          <w:tcPr>
            <w:tcW w:w="202"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4,604</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expenses</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154,076</w:t>
            </w:r>
          </w:p>
        </w:tc>
        <w:tc>
          <w:tcPr>
            <w:tcW w:w="109"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3,828</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2,125</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3,492</w:t>
            </w:r>
          </w:p>
        </w:tc>
        <w:tc>
          <w:tcPr>
            <w:tcW w:w="109"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7,099</w:t>
            </w:r>
          </w:p>
        </w:tc>
        <w:tc>
          <w:tcPr>
            <w:tcW w:w="202"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2,051</w:t>
            </w:r>
          </w:p>
        </w:tc>
        <w:tc>
          <w:tcPr>
            <w:tcW w:w="109"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173,796</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42,204</w:t>
            </w:r>
          </w:p>
        </w:tc>
        <w:tc>
          <w:tcPr>
            <w:tcW w:w="109"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(958)</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202"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39,357</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202"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pPr>
            <w:r>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(861)</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202"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(2,804)</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109"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w:t>
            </w:r>
          </w:p>
        </w:tc>
        <w:tc>
          <w:tcPr>
            <w:tcW w:w="109"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w:t>
            </w:r>
          </w:p>
        </w:tc>
        <w:tc>
          <w:tcPr>
            <w:tcW w:w="202"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(f)</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109"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(1,566)</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202"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109"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(3,581)</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42,269</w:t>
            </w:r>
          </w:p>
        </w:tc>
        <w:tc>
          <w:tcPr>
            <w:tcW w:w="109"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(3,649)</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(254)</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(2,524)</w:t>
            </w:r>
          </w:p>
        </w:tc>
        <w:tc>
          <w:tcPr>
            <w:tcW w:w="109"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(212)</w:t>
            </w:r>
          </w:p>
        </w:tc>
        <w:tc>
          <w:tcPr>
            <w:tcW w:w="202"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w:t>
            </w:r>
          </w:p>
        </w:tc>
        <w:tc>
          <w:tcPr>
            <w:tcW w:w="109"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4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35,776</w:t>
            </w:r>
          </w:p>
        </w:tc>
      </w:tr>
    </w:tbl>
    <w:tbl>
      <w:tblPr>
        <w:tblW w:w="9437" w:type="dxa"/>
        <w:jc w:val="left"/>
        <w:tblInd w:w="0" w:type="dxa"/>
        <w:tblLayout w:type="fixed"/>
        <w:tblCellMar>
          <w:top w:w="0" w:type="dxa"/>
          <w:left w:w="0" w:type="dxa"/>
          <w:bottom w:w="0" w:type="dxa"/>
          <w:right w:w="0" w:type="dxa"/>
        </w:tblCellMar>
      </w:tblPr>
      <w:tblGrid>
        <w:gridCol w:w="316"/>
        <w:gridCol w:w="912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1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w:t>
            </w:r>
            <w:r>
              <w:rPr>
                <w:caps w:val="false"/>
                <w:smallCaps w:val="false"/>
              </w:rPr>
              <w:t xml:space="preserve"> </w:t>
            </w:r>
            <w:r>
              <w:rPr>
                <w:rFonts w:ascii="Times New Roman;Times;serif" w:hAnsi="Times New Roman;Times;serif"/>
                <w:b w:val="false"/>
                <w:i w:val="false"/>
                <w:caps w:val="false"/>
                <w:smallCaps w:val="false"/>
                <w:sz w:val="18"/>
              </w:rPr>
              <w:t>329</w:t>
            </w:r>
            <w:r>
              <w:rPr>
                <w:caps w:val="false"/>
                <w:smallCaps w:val="false"/>
              </w:rPr>
              <w:t xml:space="preserve"> </w:t>
            </w:r>
            <w:r>
              <w:rPr>
                <w:rFonts w:ascii="Times New Roman;Times;serif" w:hAnsi="Times New Roman;Times;serif"/>
                <w:b w:val="false"/>
                <w:i w:val="false"/>
                <w:caps w:val="false"/>
                <w:smallCaps w:val="false"/>
                <w:sz w:val="18"/>
              </w:rPr>
              <w:t>home sale transactions during the six months ended June 30, 2025.</w:t>
            </w:r>
          </w:p>
        </w:tc>
      </w:tr>
    </w:tbl>
    <w:tbl>
      <w:tblPr>
        <w:tblW w:w="2882" w:type="dxa"/>
        <w:jc w:val="left"/>
        <w:tblInd w:w="0" w:type="dxa"/>
        <w:tblLayout w:type="fixed"/>
        <w:tblCellMar>
          <w:top w:w="0" w:type="dxa"/>
          <w:left w:w="0" w:type="dxa"/>
          <w:bottom w:w="0" w:type="dxa"/>
          <w:right w:w="0" w:type="dxa"/>
        </w:tblCellMar>
      </w:tblPr>
      <w:tblGrid>
        <w:gridCol w:w="331"/>
        <w:gridCol w:w="25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2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community is under lease-up.</w:t>
            </w:r>
          </w:p>
        </w:tc>
      </w:tr>
    </w:tbl>
    <w:tbl>
      <w:tblPr>
        <w:tblW w:w="5822" w:type="dxa"/>
        <w:jc w:val="left"/>
        <w:tblInd w:w="0" w:type="dxa"/>
        <w:tblLayout w:type="fixed"/>
        <w:tblCellMar>
          <w:top w:w="0" w:type="dxa"/>
          <w:left w:w="0" w:type="dxa"/>
          <w:bottom w:w="0" w:type="dxa"/>
          <w:right w:w="0" w:type="dxa"/>
        </w:tblCellMar>
      </w:tblPr>
      <w:tblGrid>
        <w:gridCol w:w="316"/>
        <w:gridCol w:w="550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55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Activity includes start-up, depreciation and interest expenses for the project.</w:t>
            </w:r>
          </w:p>
        </w:tc>
      </w:tr>
    </w:tbl>
    <w:tbl>
      <w:tblPr>
        <w:tblW w:w="5147" w:type="dxa"/>
        <w:jc w:val="left"/>
        <w:tblInd w:w="0" w:type="dxa"/>
        <w:tblLayout w:type="fixed"/>
        <w:tblCellMar>
          <w:top w:w="0" w:type="dxa"/>
          <w:left w:w="0" w:type="dxa"/>
          <w:bottom w:w="0" w:type="dxa"/>
          <w:right w:w="0" w:type="dxa"/>
        </w:tblCellMar>
      </w:tblPr>
      <w:tblGrid>
        <w:gridCol w:w="331"/>
        <w:gridCol w:w="481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4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and amortization, shown separately above.</w:t>
            </w:r>
          </w:p>
        </w:tc>
      </w:tr>
    </w:tbl>
    <w:tbl>
      <w:tblPr>
        <w:tblW w:w="6872" w:type="dxa"/>
        <w:jc w:val="left"/>
        <w:tblInd w:w="0" w:type="dxa"/>
        <w:tblLayout w:type="fixed"/>
        <w:tblCellMar>
          <w:top w:w="0" w:type="dxa"/>
          <w:left w:w="0" w:type="dxa"/>
          <w:bottom w:w="0" w:type="dxa"/>
          <w:right w:w="0" w:type="dxa"/>
        </w:tblCellMar>
      </w:tblPr>
      <w:tblGrid>
        <w:gridCol w:w="316"/>
        <w:gridCol w:w="655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Depreciation is a non-cash, GAAP expense, which is amortized over an asset’s useful life.</w:t>
            </w:r>
          </w:p>
        </w:tc>
      </w:tr>
    </w:tbl>
    <w:tbl>
      <w:tblPr>
        <w:tblW w:w="8237" w:type="dxa"/>
        <w:jc w:val="left"/>
        <w:tblInd w:w="0" w:type="dxa"/>
        <w:tblLayout w:type="fixed"/>
        <w:tblCellMar>
          <w:top w:w="0" w:type="dxa"/>
          <w:left w:w="0" w:type="dxa"/>
          <w:bottom w:w="0" w:type="dxa"/>
          <w:right w:w="0" w:type="dxa"/>
        </w:tblCellMar>
      </w:tblPr>
      <w:tblGrid>
        <w:gridCol w:w="301"/>
        <w:gridCol w:w="7936"/>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Latitude Margaritaville Watersound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LMWS, LLC (“Latitude Margaritaville Watersound JV”) was formed in 2019, when the Company entered into a JV agreement to develop a 55+ active adult residential community in Bay County, Florida. As of June 30, 2026, the Latitude Margaritaville Watersound JV had 183 homes under contract and has completed 2,359 home sale transactions of the total estimated 3,700 homes planned in the community. As of June 30, 2026 and December 31, 2025, the Company owned a 50.0% interest in the JV. During the six months ended June 30, 2026 and 2025, the Company received $6.8 million and $13.4 million, respectively, of cash distributions from the JV. During the six months ended June 30, 2026, the Company and </w:t>
      </w:r>
      <w:r>
        <w:rPr>
          <w:rFonts w:ascii="Times New Roman;Times;serif" w:hAnsi="Times New Roman;Times;serif"/>
          <w:b w:val="false"/>
          <w:i w:val="false"/>
          <w:caps w:val="false"/>
          <w:smallCaps w:val="false"/>
          <w:sz w:val="20"/>
        </w:rPr>
        <w:t>JV partner</w:t>
      </w:r>
      <w:r>
        <w:rPr>
          <w:rFonts w:ascii="Times New Roman;Times;serif" w:hAnsi="Times New Roman;Times;serif"/>
          <w:sz w:val="20"/>
        </w:rPr>
        <w:t xml:space="preserve"> each made capital contributions of $0.6 million related to operations of the JV. During the six months ended June 30, 2025, the Company and </w:t>
      </w:r>
      <w:r>
        <w:rPr>
          <w:rFonts w:ascii="Times New Roman;Times;serif" w:hAnsi="Times New Roman;Times;serif"/>
          <w:b w:val="false"/>
          <w:i w:val="false"/>
          <w:caps w:val="false"/>
          <w:smallCaps w:val="false"/>
          <w:sz w:val="20"/>
        </w:rPr>
        <w:t>JV partner</w:t>
      </w:r>
      <w:r>
        <w:rPr>
          <w:rFonts w:ascii="Times New Roman;Times;serif" w:hAnsi="Times New Roman;Times;serif"/>
          <w:sz w:val="20"/>
        </w:rPr>
        <w:t xml:space="preserve"> did not make any capital contributions. The day-to-day activities of the JV are being managed through a board of managers, with each JV partner having equal voting rights. The Company has determined that Latitude Margaritaville Watersound JV is a VIE, but that the Company is not the primary beneficiary since it does not have the power to direct the activities that most significantly impact the economic performance of the JV. The Company’s investment in the Latitude Margaritaville Watersound JV is accounted for using the equity method. See Note 17. </w:t>
      </w:r>
      <w:r>
        <w:rPr>
          <w:rFonts w:ascii="TimesNewRomanPS-ItalicMT" w:hAnsi="TimesNewRomanPS-ItalicMT"/>
          <w:i/>
          <w:sz w:val="20"/>
        </w:rPr>
        <w:t xml:space="preserve">Commitments and Contingencies </w:t>
      </w:r>
      <w:r>
        <w:rPr>
          <w:rFonts w:ascii="Times New Roman;Times;serif" w:hAnsi="Times New Roman;Times;serif"/>
          <w:sz w:val="20"/>
        </w:rPr>
        <w:t xml:space="preserve">for additional information related to the guaranty by the Company. See Note 18. </w:t>
      </w:r>
      <w:r>
        <w:rPr>
          <w:rFonts w:ascii="Times New Roman;Times;serif" w:hAnsi="Times New Roman;Times;serif"/>
          <w:i/>
          <w:sz w:val="20"/>
        </w:rPr>
        <w:t>Related Party Transactions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December 2025, the Company sold an additional 34 acres of land to the Latitude Margaritaville Watersound JV with a contractual value of $1.2 million, which will be paid as each home is sold by the JV. The initial net present value of the additional land sale was $0.9 million and is included within other assets on the condensed consolidated balance sheets as of June 30, 2026 and December 31, 2025. The Company also eliminated intra-entity profit of $0.5 million, included in investment in unconsolidated joint ventures on the condensed consolidated balance sheets as of June 30, 2026 and December 31, 2025, a pro-rata portion of which will be recognized as each home on the land is sold by the JV.</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and December 31, 2025, the Company’s investment in the unconsolidated Latitude Margaritaville Watersound JV was $56.1 million and $51.6 million, respectively, which includes the net present value of the initial land contribution, cash contributions, additional completed infrastructure improvements and equity in income,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less distributions and intra-entity profit elimination of the additional land sale. As of June 30, 2026, the Company completed $8.4 million of the $9.2 million total agreed upon infrastructure improvements. The Company’s unimproved initial land contribution and agreed upon infrastructure improvements are being distributed at an average of $10,000 per home, as each home is sold by the JV.</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Watersound Fountains Independent Living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WOSL, LLC (“Watersound Fountains Independent Living JV”) was formed in 2021. The Company entered into a JV agreement to develop and manage a 148-unit independent senior living community located near the Watersound Origins residential community. As of June 30, 2026 and December 31, 2025, the Company owned a 53.8% interest in the JV. During the six months ended June 30, 2026 and 2025, the Company made capital contributions of $1.5 million and $2.1 million, respectively, and each member also made capital contributions based on their pro-rata ownership interest, related to operations of the JV. The Company’s partner is responsible for the day-to-day activities of the JV. The Company has determined that Watersound Fountains Independent Living JV is a VIE, but that the Company is not the primary beneficiary since it does not have the power to direct the activities that most significantly impact the economic performance of the JV. The Company’s investment in Watersound Fountains Independent Living JV is accounted for using the equity method. See Note 17.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TPS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Pier Park TPS, LLC (“Pier Park TPS JV”) was formed in 2018. The Company entered into a JV agreement to develop and operate a 124-room hotel in Panama City Beach, Florida. As of June 30, 2026 and December 31, 2025, the Company owned a 50.0% interest in the JV. During the six months ended June 30, 2026, the Company and </w:t>
      </w:r>
      <w:r>
        <w:rPr>
          <w:rFonts w:ascii="Times New Roman;Times;serif" w:hAnsi="Times New Roman;Times;serif"/>
          <w:b w:val="false"/>
          <w:i w:val="false"/>
          <w:caps w:val="false"/>
          <w:smallCaps w:val="false"/>
          <w:sz w:val="20"/>
        </w:rPr>
        <w:t>JV partner</w:t>
      </w:r>
      <w:r>
        <w:rPr>
          <w:rFonts w:ascii="Times New Roman;Times;serif" w:hAnsi="Times New Roman;Times;serif"/>
          <w:sz w:val="20"/>
        </w:rPr>
        <w:t xml:space="preserve"> each made capital contributions of $1.1 million related to financing and operations of the JV. During the </w:t>
      </w:r>
      <w:r>
        <w:rPr>
          <w:rFonts w:ascii="Times New Roman;Times;serif" w:hAnsi="Times New Roman;Times;serif"/>
          <w:b w:val="false"/>
          <w:i w:val="false"/>
          <w:caps w:val="false"/>
          <w:smallCaps w:val="false"/>
          <w:sz w:val="20"/>
        </w:rPr>
        <w:t>six months</w:t>
      </w:r>
      <w:r>
        <w:rPr>
          <w:rFonts w:ascii="Times New Roman;Times;serif" w:hAnsi="Times New Roman;Times;serif"/>
          <w:sz w:val="20"/>
        </w:rPr>
        <w:t xml:space="preserve"> ended June 30, 2025, the Company and JV partner did not make any capital contributions to the JV. The Company’s partner is responsible for the day-to-day activities of the JV. The Company has determined that Pier Park TPS JV is a VIE, but that the Company is not the primary beneficiary since it does not have the power to direct the activities that most significantly impact the economic performance of the JV. The Company’s investment in Pier Park TPS JV is accounted for using the equity method. See Note 17.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RI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Pier Park RI, LLC (“Pier Park RI JV”) was formed in 2022. The Company entered into a JV agreement to develop and operate a 121-room hotel in Panama City Beach, Florida. As of June 30, 2026 and December 31, 2025, the Company owned a 50.0% interest in the JV. During the six months ended June 30, 2026, the Company and </w:t>
      </w:r>
      <w:r>
        <w:rPr>
          <w:rFonts w:ascii="Times New Roman;Times;serif" w:hAnsi="Times New Roman;Times;serif"/>
          <w:b w:val="false"/>
          <w:i w:val="false"/>
          <w:caps w:val="false"/>
          <w:smallCaps w:val="false"/>
          <w:sz w:val="20"/>
        </w:rPr>
        <w:t>JV partner</w:t>
      </w:r>
      <w:r>
        <w:rPr>
          <w:rFonts w:ascii="Times New Roman;Times;serif" w:hAnsi="Times New Roman;Times;serif"/>
          <w:sz w:val="20"/>
        </w:rPr>
        <w:t xml:space="preserve"> each made capital contributions of $0.1 million related to operations of the JV. During the </w:t>
      </w:r>
      <w:r>
        <w:rPr>
          <w:rFonts w:ascii="Times New Roman;Times;serif" w:hAnsi="Times New Roman;Times;serif"/>
          <w:b w:val="false"/>
          <w:i w:val="false"/>
          <w:caps w:val="false"/>
          <w:smallCaps w:val="false"/>
          <w:sz w:val="20"/>
        </w:rPr>
        <w:t>six months</w:t>
      </w:r>
      <w:r>
        <w:rPr>
          <w:rFonts w:ascii="Times New Roman;Times;serif" w:hAnsi="Times New Roman;Times;serif"/>
          <w:sz w:val="20"/>
        </w:rPr>
        <w:t xml:space="preserve"> ended June 30, 2025, the Company and JV partner did not make any capital contributions to the JV. The Company’s partner is responsible for the day-to-day activities of the JV. The Company has determined that Pier Park RI JV is a VIE, but that the Company is not the primary beneficiary since it does not have the power to direct the activities that most significantly impact the economic performance of the JV. The Company’s investment in Pier Park RI JV is accounted for using the equity method.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2025, the JV refinanced into a $16.2 million loan (the “Pier Park RI JV Loan”). The Pier Park RI JV Loan bears interest at the Secured Overnight Financing Rate (“</w:t>
      </w:r>
      <w:r>
        <w:rPr>
          <w:rFonts w:ascii="Times New Roman;Times;serif" w:hAnsi="Times New Roman;Times;serif"/>
          <w:b w:val="false"/>
          <w:i w:val="false"/>
          <w:caps w:val="false"/>
          <w:smallCaps w:val="false"/>
          <w:sz w:val="20"/>
        </w:rPr>
        <w:t>SOFR</w:t>
      </w:r>
      <w:r>
        <w:rPr>
          <w:rFonts w:ascii="Times New Roman;Times;serif" w:hAnsi="Times New Roman;Times;serif"/>
          <w:sz w:val="20"/>
        </w:rPr>
        <w:t>”) plus 2.1%, with a floor of 3.1%. The loan requires interest only payments through November 2026 and monthly payments of principal and interest thereafter, with a final balloon payment at maturity in December 2030. The loan is secured by real property and certain other security interests. The Company’s JV partner is the sole guarantor and receives a fee related to the guarantee from the Company based on the Company’s ownership percentage. As of both June 30, 2026 and December 31, 2025, $16.2 million was outstanding on the Pier Park RI JV Loan.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736" w:name="_1b832d86_32cb_4f20_be2d_94af7795d7d2_3"/>
      <w:bookmarkStart w:id="1737" w:name="_1b832d86_32cb_4f20_be2d_94af7795d7d2_2"/>
      <w:bookmarkStart w:id="1738" w:name="_1b832d86_32cb_4f20_be2d_94af7795d7d2"/>
      <w:bookmarkStart w:id="1739" w:name="_6ffe4056_1b8d_4fde_ade0_33df17107538_3"/>
      <w:bookmarkStart w:id="1740" w:name="_6ffe4056_1b8d_4fde_ade0_33df17107538_2"/>
      <w:bookmarkStart w:id="1741" w:name="_6ffe4056_1b8d_4fde_ade0_33df17107538"/>
      <w:bookmarkEnd w:id="1736"/>
      <w:bookmarkEnd w:id="1737"/>
      <w:bookmarkEnd w:id="1738"/>
      <w:bookmarkEnd w:id="1739"/>
      <w:bookmarkEnd w:id="1740"/>
      <w:bookmarkEnd w:id="1741"/>
      <w:r>
        <w:rPr>
          <w:rFonts w:ascii="Times New Roman;Times;serif" w:hAnsi="Times New Roman;Times;serif"/>
          <w:i/>
          <w:sz w:val="20"/>
        </w:rPr>
        <w:t>Busy Bee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SJBB, LLC (“Busy Bee JV”) was formed in 2019, when the Company entered into a JV agreement to develop and manage a Busy Bee branded fuel station and convenience store, which includes a Starbucks, in Panama City Beach, Florida. As of June 30, 2026 and December 31, 2025, the Company owned a 50.0% interest in the JV. During the </w:t>
      </w:r>
      <w:r>
        <w:rPr>
          <w:rFonts w:ascii="Times New Roman;Times;serif" w:hAnsi="Times New Roman;Times;serif"/>
          <w:b w:val="false"/>
          <w:i w:val="false"/>
          <w:caps w:val="false"/>
          <w:smallCaps w:val="false"/>
          <w:sz w:val="20"/>
        </w:rPr>
        <w:t>six months</w:t>
      </w:r>
      <w:r>
        <w:rPr>
          <w:rFonts w:ascii="Times New Roman;Times;serif" w:hAnsi="Times New Roman;Times;serif"/>
          <w:sz w:val="20"/>
        </w:rPr>
        <w:t xml:space="preserve"> ended June 30, 2026, the Company and JV partner each received $0.2 million of cash distributions from the JV. During the </w:t>
      </w:r>
      <w:r>
        <w:rPr>
          <w:rFonts w:ascii="Times New Roman;Times;serif" w:hAnsi="Times New Roman;Times;serif"/>
          <w:b w:val="false"/>
          <w:i w:val="false"/>
          <w:caps w:val="false"/>
          <w:smallCaps w:val="false"/>
          <w:sz w:val="20"/>
        </w:rPr>
        <w:t>six months</w:t>
      </w:r>
      <w:r>
        <w:rPr>
          <w:rFonts w:ascii="Times New Roman;Times;serif" w:hAnsi="Times New Roman;Times;serif"/>
          <w:sz w:val="20"/>
        </w:rPr>
        <w:t xml:space="preserve"> ended June 30, 2025, the Company and JV partner did not receive any cash distributions from the JV. The Company’s partner is responsible for the day-to-day activities of the JV. The Company has determined that Busy Bee JV is a VIE, but that the Company is not the primary beneficiary since it does not have the power to direct the activities that most significantly impact the economic performance of the JV. The Company’s investment in the Busy Bee JV is accounted for using the equity method.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2019, the JV entered into a $5.4 million construction loan (the “Busy Bee JV Construction Loan”) and a $1.2 million equipment loan (the “Busy Bee JV Equipment Loan”). The Busy Bee JV Construction Loan and the Busy Bee JV Equipment Loan bear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1.6%. The Busy Bee JV Construction Loan provides for monthly principal and interest payments with a final balloon payment at maturity in November 2035. The Busy Bee JV Equipment Loan provides for monthly principal and interest payments through maturity in November 2027. The loans are secured by real and personal property and certain other security interests. The Company’s JV partner is the sole guarantor and receives a fee related to the guarantee from the Company based on the Company’s ownership percentage. The Busy Bee JV entered into an interest rate swap to hedge cash flows tied to changes in the underlying floating interest rate tied to SOFR for the Busy Bee JV Construction Loan and the Busy Bee JV Equipment Loan. The Busy Bee JV Construction Loan interest rate swap matures in November 2035 and fixed the variable rate debt, initially at $5.4 million amortizing to $2.8 million at swap maturity, to a rate of 2.7%. The Busy Bee JV Equipment Loan interest rate swap matures in November 2027 and fixed the variable rate debt, initially at $1.2 million to maturity, to a rate of 2.1%. As of June 30, 2026 and December 31, 2025, $4.6 million and $4.7 million, respectively, was outstanding on the Busy Bee JV Construction Loan. As of June 30, 2026 and December 31, 2025, $0.3 million and $0.4 million, respectively, was outstanding on the Busy Bee JV Equipment Loan.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Electric Cart Watersound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SJECC, LLC (“Electric Cart Watersound JV”) was formed in 2022, when the Company entered into a JV agreement to develop, manage and operate a golf cart and low speed vehicle “LSV” business at the Watersound West Bay Center adjacent to the Latitude Margaritaville Watersound residential community in Bay County, Florida. As of June 30, 2026 and December 31, 2025, the Company owned a 51.0% interest in the JV. The Company’s JV partner manages the day-to-day operations of the business. The Company has determined Electric Cart Watersound JV is a VIE, but that the Company is not the primary beneficiary since it does not have the power to direct the activities that most significantly impact the economic performance of the JV. The Company’s investment in Electric Cart Watersound JV is accounted for using the equity method.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both June 30, 2026 and December 31, 2025, the Electric Cart Watersound JV had $2.2 million of floorplan line of credit facilities to finance its golf cart and LSV inventory, which are secured by the JV. Borrowings under the line of credit facility bear interest at various rates based on the number of days outstanding after an interest free period ranging from two to six months. As of both June 30, 2026 and December 31, 2025, the JV had an outstanding principal balance of $0.2 million on these line of credit facilities. See Note 17.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Watersound Management JV</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Watersound Management, LLC was formed in 2021, when the Company entered into a JV agreement to lease, manage and operate multi-family housing developments for which the JV is the exclusive renting and management agent. All activity of Watersound Management JV is related to multi-family housing developments owned by the Company or by consolidated JVs of the Company. As of June 30, 2026 and December 31, 2025, the Company owned a 50.0% interest in the JV. During each the six months ended June 30, 2026 and 2025, the Company and JV partner each received less than $0.1 million of cash distributions from the JV. The day-to-day activities of the JV are being managed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through a board of managers, with each JV partner having equal voting rights. The Company has determined that Watersound Management JV is a voting interest entity, but that the Company does not have a majority voting interest. The Company’s investment in Watersound Management JV is accounted for using the equity method. See Note 18. </w:t>
      </w:r>
      <w:r>
        <w:rPr>
          <w:rFonts w:ascii="Times New Roman;Times;serif" w:hAnsi="Times New Roman;Times;serif"/>
          <w:i/>
          <w:sz w:val="20"/>
        </w:rPr>
        <w:t>Related Party Transactions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sz w:val="20"/>
        </w:rPr>
      </w:pPr>
      <w:bookmarkStart w:id="1742" w:name="Tc_O6_O8YbAs0e8LHWLQmnFlg_6_17"/>
      <w:bookmarkStart w:id="1743" w:name="Tc_9w3Hnj_GB0KRKR57PVWIZw_6_14"/>
      <w:bookmarkStart w:id="1744" w:name="Tc_2kaTLJ4TsEef4Tvnxdc3Xw_6_12"/>
      <w:bookmarkStart w:id="1745" w:name="Tc_e-JiKuTBvkmKf97dsHJY8Q_6_11"/>
      <w:bookmarkStart w:id="1746" w:name="Tc_zGAYxrAQ-0-6KrBU7YJcPg_6_9"/>
      <w:bookmarkStart w:id="1747" w:name="Tc_YusLGRizxUGFH5PXwjNdoQ_6_8"/>
      <w:bookmarkStart w:id="1748" w:name="Tc_sraVZzBhaUec-EiFh-R8_A_6_4"/>
      <w:bookmarkStart w:id="1749" w:name="Tc_HgNjBHGLCUyvWstGWCx3-w_6_2"/>
      <w:bookmarkStart w:id="1750" w:name="Tc_ZVrSIOMeqEWfmCTIw0VgDw_6_0"/>
      <w:bookmarkStart w:id="1751" w:name="Tc_NeVvmU0Yi0iAI-lHICPqxA_5_17"/>
      <w:bookmarkStart w:id="1752" w:name="Tc_CVcDZ9hjoUqGlLiM0IZTIg_5_14"/>
      <w:bookmarkStart w:id="1753" w:name="Tc_JVevJOI_gkuABdV1tP7tEA_5_11"/>
      <w:bookmarkStart w:id="1754" w:name="Tc_ON7Gm3XrGUCfLQhQJcpU2w_5_8"/>
      <w:bookmarkStart w:id="1755" w:name="Tc_Tjj8AmrsFkGuix-HPd24Dg_5_4"/>
      <w:bookmarkStart w:id="1756" w:name="Tc_kaeYu9xRSkub8HoL67nwLw_5_2"/>
      <w:bookmarkStart w:id="1757" w:name="Tc_4lJz4bIGEkOl83TeXdn8uQ_5_0"/>
      <w:bookmarkStart w:id="1758" w:name="Tc_axYfzhpWVkuLsvM0r9TMfg_4_11"/>
      <w:bookmarkStart w:id="1759" w:name="Tc_446_zUkTWUOt8UfM46lmjw_4_9"/>
      <w:bookmarkStart w:id="1760" w:name="Tc_J9qu_nDkh0qN_Yj3chbTHA_3_19"/>
      <w:bookmarkStart w:id="1761" w:name="Tc_3_x4Dqs3Pk6Am9ECyTSW0w_3_17"/>
      <w:bookmarkStart w:id="1762" w:name="Tc_rO_OMTq-6k2OaVNojOtzsQ_3_14"/>
      <w:bookmarkStart w:id="1763" w:name="Tc_BmqKAf65u0KWN0kelVLVVQ_3_11"/>
      <w:bookmarkStart w:id="1764" w:name="Tc_kTG1krj1rk2-_ZoOGERJXQ_3_8"/>
      <w:bookmarkStart w:id="1765" w:name="Tc_kxTSSp1Kmk-EGPYu1CWa9Q_3_6"/>
      <w:bookmarkStart w:id="1766" w:name="Tc_iKhjRn3tUUCSm3_PfyMElw_3_4"/>
      <w:bookmarkStart w:id="1767" w:name="Tc_Rrr6pO5PfEWT9gI3hkODuQ_3_2"/>
      <w:bookmarkStart w:id="1768" w:name="Tc_ln89fA6VnUGnP9vM-eD3hg_3_0"/>
      <w:bookmarkStart w:id="1769" w:name="Tc_rX8duZ9dXUq2pjzE_wEBBg_2_19"/>
      <w:bookmarkStart w:id="1770" w:name="Tc_eAvX1orXP0SwYv9VHPhoCQ_2_17"/>
      <w:bookmarkStart w:id="1771" w:name="Tc_iXlpXGz3qESOUgq1U5VFjw_2_11"/>
      <w:bookmarkStart w:id="1772" w:name="Tc_U50u3tccN02Y6-x4c--VQg_2_8"/>
      <w:bookmarkStart w:id="1773" w:name="Tc_xTSFydVNCUKEnbMhqBkutQ_2_6"/>
      <w:bookmarkStart w:id="1774" w:name="Tc_AJQrFovto0urWxWS3Q2YKw_2_4"/>
      <w:bookmarkStart w:id="1775" w:name="Tc_Lhs8GbC9pUCHQERFuj_8hw_2_2"/>
      <w:bookmarkStart w:id="1776" w:name="Tc__L8SUW87pUK8gdpzYyEgLA_1_19"/>
      <w:bookmarkStart w:id="1777" w:name="Tc_YMxoVpziHkKaqzcPqzHlkg_1_17"/>
      <w:bookmarkStart w:id="1778" w:name="Tc_FG1FSFEYbUyII7h6yYbz6w_1_8"/>
      <w:bookmarkStart w:id="1779" w:name="Tc_nlKsJldM10i9N18lzs3UtQ_1_6"/>
      <w:bookmarkStart w:id="1780" w:name="_e854f87e_4115_4887_92e1_6f4c4b7d9fae"/>
      <w:bookmarkStart w:id="1781" w:name="Tc_SUwj63mOqE-AXk0-yxlaVQ_7_11"/>
      <w:bookmarkStart w:id="1782" w:name="Tc_FlefF4gMckmHSwEfFQqbSA_7_9"/>
      <w:bookmarkStart w:id="1783" w:name="Tc_n3W8hP-b-k2zoNZ3zvTpnQ_7_8"/>
      <w:bookmarkStart w:id="1784" w:name="Tc_R9vA6_2HQ0ywUxFMkaxJYw_7_6"/>
      <w:bookmarkStart w:id="1785" w:name="Tc_PaQz88lw7UKs5NeICGhpRg_7_5"/>
      <w:bookmarkStart w:id="1786" w:name="Tc_lLRJCd_nPEqAezRyRXgRtA_7_2"/>
      <w:bookmarkStart w:id="1787" w:name="Tc_Ki7_iwxuRU6p3lhxw5pYHA_6_9"/>
      <w:bookmarkStart w:id="1788" w:name="Tc_-I8i3MSi2Uy97yQGVdDX_Q_6_6"/>
      <w:bookmarkStart w:id="1789" w:name="Tc_ML5tN3-EuUq0Ck1Jp45YQg_6_0"/>
      <w:bookmarkStart w:id="1790" w:name="Tc_LOJ7d87ErEWEcpxT1MpUBg_5_11"/>
      <w:bookmarkStart w:id="1791" w:name="Tc_xp687SKLRkugnp3HHqRZng_5_9"/>
      <w:bookmarkStart w:id="1792" w:name="Tc_O3w8xu_aikWlvIsI31-P3g_5_8"/>
      <w:bookmarkStart w:id="1793" w:name="Tc_rlS5Y9EgVE2HqK5TCi4G2w_5_6"/>
      <w:bookmarkStart w:id="1794" w:name="Tc_9LOmjXNgtUGSXz33DAWLpg_5_5"/>
      <w:bookmarkStart w:id="1795" w:name="Tc_sP2Ycfx_fE-6pArJWfHY8g_5_2"/>
      <w:bookmarkStart w:id="1796" w:name="Tc_63VM4vSP70mSeg4GBFgzRg_5_0"/>
      <w:bookmarkStart w:id="1797" w:name="Tc_rq28tzHZFUixJn33QlROCQ_4_0"/>
      <w:bookmarkStart w:id="1798" w:name="Tc_F-Gj42Qcy0ee0xaXCbe6yA_3_11"/>
      <w:bookmarkStart w:id="1799" w:name="Tc_BNy_lt7LUkC_so-78S9cQA_3_8"/>
      <w:bookmarkStart w:id="1800" w:name="Tc_ilsbC5uwxUicYg9oAwiXxg_3_5"/>
      <w:bookmarkStart w:id="1801" w:name="Tc_H0agjNNDZ0alWstIczlQ3Q_3_2"/>
      <w:bookmarkStart w:id="1802" w:name="Tc_lW10AfN1t0WqL-rMQogQKg_2_11"/>
      <w:bookmarkStart w:id="1803" w:name="Tc_jx086HtPckynHi5bHtpiLQ_1_2"/>
      <w:bookmarkStart w:id="1804" w:name="_0a69c73d_8a75_4e13_9e9f_3bef6f36cf65"/>
      <w:bookmarkStart w:id="1805" w:name="Tc_N1WuS6044kKvhSh-a0fe1g_7_11"/>
      <w:bookmarkStart w:id="1806" w:name="Tc_dlseMsmJzkOsqOcEbEiboQ_7_9"/>
      <w:bookmarkStart w:id="1807" w:name="Tc_5iMkbvKjgk2uk1xxjnoHaA_7_8"/>
      <w:bookmarkStart w:id="1808" w:name="Tc_5kAkDm-ukEecK7ryHdUaHg_7_6"/>
      <w:bookmarkStart w:id="1809" w:name="Tc_93QlCXRuqky-pYChKAZwsQ_7_5"/>
      <w:bookmarkStart w:id="1810" w:name="Tc_ZiVE7fI20U24EG4HXDiyRA_7_2"/>
      <w:bookmarkStart w:id="1811" w:name="Tc_6ZCfHe2amEm5u6Tr9hKSLg_6_9"/>
      <w:bookmarkStart w:id="1812" w:name="Tc_MGSOBqfRxEOaTEV3p90zhA_6_6"/>
      <w:bookmarkStart w:id="1813" w:name="Tc_es4bNK33FUqD2f7xpxrRmQ_6_0"/>
      <w:bookmarkStart w:id="1814" w:name="Tc_ieRH8wUZVUSnWHK4tcF-HA_5_11"/>
      <w:bookmarkStart w:id="1815" w:name="Tc_w6Hx9K9k1kOmzp8U4XzpLw_5_9"/>
      <w:bookmarkStart w:id="1816" w:name="Tc_DgqWjlwTCE-R-_Jr19TTjQ_5_8"/>
      <w:bookmarkStart w:id="1817" w:name="Tc_W0INOXRaR06dW0ZvxLEB4w_5_6"/>
      <w:bookmarkStart w:id="1818" w:name="Tc_0C9dwbU1WkCy-6n1FhrGcA_5_5"/>
      <w:bookmarkStart w:id="1819" w:name="Tc__fl-RoyGN0a5UoxxJjyjkg_5_2"/>
      <w:bookmarkStart w:id="1820" w:name="Tc_4LU7tyWVJEmdvnH1L31jaw_5_0"/>
      <w:bookmarkStart w:id="1821" w:name="Tc_zKSS6vjWv0u25CWuVyY86w_4_0"/>
      <w:bookmarkStart w:id="1822" w:name="Tc_so-y1NARhEaKRUWlBYgttw_3_11"/>
      <w:bookmarkStart w:id="1823" w:name="Tc_EvjuuF75bUqSxMOlK0hZ3g_3_8"/>
      <w:bookmarkStart w:id="1824" w:name="Tc_2jiOVfNWckqjKL2n9Q_YZA_3_5"/>
      <w:bookmarkStart w:id="1825" w:name="Tc_wNBUJQViXUSvEuDyaGThLg_3_2"/>
      <w:bookmarkStart w:id="1826" w:name="Tc_qnDCZ-mBRE-yIcVh-zm63w_2_11"/>
      <w:bookmarkStart w:id="1827" w:name="Tc_SPMmQ6Zjt0ub_FQsxzb_Og_1_2"/>
      <w:bookmarkStart w:id="1828" w:name="_1ade0f02_5789_4f1d_96c9_f96373e2d22f"/>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r>
        <w:rPr>
          <w:rFonts w:ascii="Times New Roman;Times;serif" w:hAnsi="Times New Roman;Times;serif"/>
          <w:b/>
          <w:sz w:val="20"/>
        </w:rPr>
        <w:t>5. Financial Instruments and Fair Value Measurements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financial instruments measured at fair value on a recurring basis are as follows:</w:t>
      </w:r>
    </w:p>
    <w:p>
      <w:pPr>
        <w:pStyle w:val="TextBody"/>
        <w:bidi w:val="0"/>
        <w:spacing w:before="0" w:after="0"/>
        <w:ind w:left="0" w:right="0" w:hanging="0"/>
        <w:jc w:val="left"/>
        <w:rPr/>
      </w:pPr>
      <w:r>
        <w:rPr/>
        <w:t>​</w:t>
      </w:r>
    </w:p>
    <w:tbl>
      <w:tblPr>
        <w:tblW w:w="6326" w:type="dxa"/>
        <w:jc w:val="left"/>
        <w:tblInd w:w="0" w:type="dxa"/>
        <w:tblLayout w:type="fixed"/>
        <w:tblCellMar>
          <w:top w:w="0" w:type="dxa"/>
          <w:left w:w="0" w:type="dxa"/>
          <w:bottom w:w="0" w:type="dxa"/>
          <w:right w:w="0" w:type="dxa"/>
        </w:tblCellMar>
      </w:tblPr>
      <w:tblGrid>
        <w:gridCol w:w="1801"/>
        <w:gridCol w:w="346"/>
        <w:gridCol w:w="211"/>
        <w:gridCol w:w="676"/>
        <w:gridCol w:w="346"/>
        <w:gridCol w:w="239"/>
        <w:gridCol w:w="392"/>
        <w:gridCol w:w="346"/>
        <w:gridCol w:w="239"/>
        <w:gridCol w:w="392"/>
        <w:gridCol w:w="346"/>
        <w:gridCol w:w="211"/>
        <w:gridCol w:w="78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143635" cy="175260"/>
                      <wp:effectExtent l="0" t="0" r="0" b="0"/>
                      <wp:wrapNone/>
                      <wp:docPr id="312" name="Frame31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29260" cy="175260"/>
                      <wp:effectExtent l="0" t="0" r="0" b="0"/>
                      <wp:wrapNone/>
                      <wp:docPr id="315" name="Frame3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51765" cy="175260"/>
                      <wp:effectExtent l="0" t="0" r="0" b="0"/>
                      <wp:wrapNone/>
                      <wp:docPr id="317" name="Frame31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48920" cy="175260"/>
                      <wp:effectExtent l="0" t="0" r="0" b="0"/>
                      <wp:wrapNone/>
                      <wp:docPr id="318" name="Frame31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51765" cy="175260"/>
                      <wp:effectExtent l="0" t="0" r="0" b="0"/>
                      <wp:wrapNone/>
                      <wp:docPr id="320" name="Frame32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48920" cy="175260"/>
                      <wp:effectExtent l="0" t="0" r="0" b="0"/>
                      <wp:wrapNone/>
                      <wp:docPr id="321" name="Frame32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95935" cy="175260"/>
                      <wp:effectExtent l="0" t="0" r="0" b="0"/>
                      <wp:wrapNone/>
                      <wp:docPr id="324" name="Frame3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7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63,864</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63,864</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65,166</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65,166</w:t>
            </w:r>
          </w:p>
        </w:tc>
      </w:tr>
    </w:tbl>
    <w:p>
      <w:pPr>
        <w:pStyle w:val="TextBody"/>
        <w:bidi w:val="0"/>
        <w:spacing w:before="0" w:after="240"/>
        <w:ind w:left="0" w:right="0" w:firstLine="360"/>
        <w:jc w:val="left"/>
        <w:rPr/>
      </w:pPr>
      <w:r>
        <w:rPr/>
        <w:t>​</w:t>
      </w:r>
    </w:p>
    <w:tbl>
      <w:tblPr>
        <w:tblW w:w="6326" w:type="dxa"/>
        <w:jc w:val="left"/>
        <w:tblInd w:w="0" w:type="dxa"/>
        <w:tblLayout w:type="fixed"/>
        <w:tblCellMar>
          <w:top w:w="0" w:type="dxa"/>
          <w:left w:w="0" w:type="dxa"/>
          <w:bottom w:w="0" w:type="dxa"/>
          <w:right w:w="0" w:type="dxa"/>
        </w:tblCellMar>
      </w:tblPr>
      <w:tblGrid>
        <w:gridCol w:w="1801"/>
        <w:gridCol w:w="346"/>
        <w:gridCol w:w="211"/>
        <w:gridCol w:w="676"/>
        <w:gridCol w:w="346"/>
        <w:gridCol w:w="239"/>
        <w:gridCol w:w="392"/>
        <w:gridCol w:w="346"/>
        <w:gridCol w:w="239"/>
        <w:gridCol w:w="392"/>
        <w:gridCol w:w="346"/>
        <w:gridCol w:w="211"/>
        <w:gridCol w:w="78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143635" cy="175260"/>
                      <wp:effectExtent l="0" t="0" r="0" b="0"/>
                      <wp:wrapNone/>
                      <wp:docPr id="325" name="Frame32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29260" cy="175260"/>
                      <wp:effectExtent l="0" t="0" r="0" b="0"/>
                      <wp:wrapNone/>
                      <wp:docPr id="328" name="Frame3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51765" cy="175260"/>
                      <wp:effectExtent l="0" t="0" r="0" b="0"/>
                      <wp:wrapNone/>
                      <wp:docPr id="330" name="Frame33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48920" cy="175260"/>
                      <wp:effectExtent l="0" t="0" r="0" b="0"/>
                      <wp:wrapNone/>
                      <wp:docPr id="331" name="Frame33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51765" cy="175260"/>
                      <wp:effectExtent l="0" t="0" r="0" b="0"/>
                      <wp:wrapNone/>
                      <wp:docPr id="333" name="Frame33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48920" cy="175260"/>
                      <wp:effectExtent l="0" t="0" r="0" b="0"/>
                      <wp:wrapNone/>
                      <wp:docPr id="334" name="Frame33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95935" cy="175260"/>
                      <wp:effectExtent l="0" t="0" r="0" b="0"/>
                      <wp:wrapNone/>
                      <wp:docPr id="337" name="Frame3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9" w:type="dxa"/>
            <w:tcBorders/>
            <w:vAlign w:val="center"/>
          </w:tcPr>
          <w:p>
            <w:pPr>
              <w:pStyle w:val="TableContents"/>
              <w:bidi w:val="0"/>
              <w:spacing w:before="0" w:after="0"/>
              <w:ind w:left="0" w:right="0" w:hanging="0"/>
              <w:jc w:val="center"/>
              <w:rPr/>
            </w:pPr>
            <w:r>
              <w:rPr/>
              <w:t>​</w:t>
            </w:r>
          </w:p>
        </w:tc>
        <w:tc>
          <w:tcPr>
            <w:tcW w:w="3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9" w:type="dxa"/>
            <w:tcBorders/>
            <w:vAlign w:val="center"/>
          </w:tcPr>
          <w:p>
            <w:pPr>
              <w:pStyle w:val="TableContents"/>
              <w:bidi w:val="0"/>
              <w:spacing w:before="0" w:after="0"/>
              <w:ind w:left="0" w:right="0" w:hanging="0"/>
              <w:jc w:val="center"/>
              <w:rPr/>
            </w:pPr>
            <w:r>
              <w:rPr/>
              <w:t>​</w:t>
            </w:r>
          </w:p>
        </w:tc>
        <w:tc>
          <w:tcPr>
            <w:tcW w:w="3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58,896</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64,004</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64,004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Money market funds and U.S. Treasury Bills are measured based on quoted market prices in an active market and categorized within Level 1 of the fair value hierarchy. Money market funds and short-term U.S. Treasury Bills with a maturity date of 90 days or less from the date of purchase are classified as cash equivalents in the Company’s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Assets and liabilities measured at fair value on a recurring basis related to interest rate swap agreements designated as cash flow hedges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89"/>
        <w:gridCol w:w="109"/>
        <w:gridCol w:w="1000"/>
        <w:gridCol w:w="109"/>
        <w:gridCol w:w="835"/>
        <w:gridCol w:w="109"/>
        <w:gridCol w:w="571"/>
        <w:gridCol w:w="109"/>
        <w:gridCol w:w="196"/>
        <w:gridCol w:w="742"/>
        <w:gridCol w:w="109"/>
        <w:gridCol w:w="319"/>
        <w:gridCol w:w="612"/>
        <w:gridCol w:w="121"/>
        <w:gridCol w:w="337"/>
        <w:gridCol w:w="879"/>
        <w:gridCol w:w="109"/>
        <w:gridCol w:w="451"/>
        <w:gridCol w:w="109"/>
        <w:gridCol w:w="1790"/>
      </w:tblGrid>
      <w:tr>
        <w:trPr/>
        <w:tc>
          <w:tcPr>
            <w:tcW w:w="1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009015" cy="175260"/>
                      <wp:effectExtent l="0" t="0" r="0" b="0"/>
                      <wp:wrapNone/>
                      <wp:docPr id="338" name="Frame338"/>
                      <a:graphic xmlns:a="http://schemas.openxmlformats.org/drawingml/2006/main">
                        <a:graphicData uri="http://schemas.microsoft.com/office/word/2010/wordprocessingShape">
                          <wps:wsp>
                            <wps:cNvSpPr txBox="1"/>
                            <wps:spPr>
                              <a:xfrm>
                                <a:off x="0" y="0"/>
                                <a:ext cx="1009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35000" cy="175260"/>
                      <wp:effectExtent l="0" t="0" r="0" b="0"/>
                      <wp:wrapNone/>
                      <wp:docPr id="340" name="Frame340"/>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30225" cy="175260"/>
                      <wp:effectExtent l="0" t="0" r="0" b="0"/>
                      <wp:wrapNone/>
                      <wp:docPr id="342" name="Frame342"/>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62585" cy="175260"/>
                      <wp:effectExtent l="0" t="0" r="0" b="0"/>
                      <wp:wrapNone/>
                      <wp:docPr id="344" name="Frame3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4460" cy="175260"/>
                      <wp:effectExtent l="0" t="0" r="0" b="0"/>
                      <wp:wrapNone/>
                      <wp:docPr id="346" name="Frame3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71170" cy="175260"/>
                      <wp:effectExtent l="0" t="0" r="0" b="0"/>
                      <wp:wrapNone/>
                      <wp:docPr id="347" name="Frame347"/>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2565" cy="175260"/>
                      <wp:effectExtent l="0" t="0" r="0" b="0"/>
                      <wp:wrapNone/>
                      <wp:docPr id="349" name="Frame34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88620" cy="175260"/>
                      <wp:effectExtent l="0" t="0" r="0" b="0"/>
                      <wp:wrapNone/>
                      <wp:docPr id="350" name="Frame350"/>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76835" cy="175260"/>
                      <wp:effectExtent l="0" t="0" r="0" b="0"/>
                      <wp:wrapNone/>
                      <wp:docPr id="351" name="Frame351"/>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3995" cy="175260"/>
                      <wp:effectExtent l="0" t="0" r="0" b="0"/>
                      <wp:wrapNone/>
                      <wp:docPr id="352" name="Frame352"/>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58165" cy="175260"/>
                      <wp:effectExtent l="0" t="0" r="0" b="0"/>
                      <wp:wrapNone/>
                      <wp:docPr id="353" name="Frame353"/>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9215" cy="175260"/>
                      <wp:effectExtent l="0" t="0" r="0" b="0"/>
                      <wp:wrapNone/>
                      <wp:docPr id="354" name="Frame3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86385" cy="175260"/>
                      <wp:effectExtent l="0" t="0" r="0" b="0"/>
                      <wp:wrapNone/>
                      <wp:docPr id="355" name="Frame35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136650" cy="175260"/>
                      <wp:effectExtent l="0" t="0" r="0" b="0"/>
                      <wp:wrapNone/>
                      <wp:docPr id="357" name="Frame357"/>
                      <a:graphic xmlns:a="http://schemas.openxmlformats.org/drawingml/2006/main">
                        <a:graphicData uri="http://schemas.microsoft.com/office/word/2010/wordprocessingShape">
                          <wps:wsp>
                            <wps:cNvSpPr txBox="1"/>
                            <wps:spPr>
                              <a:xfrm>
                                <a:off x="0" y="0"/>
                                <a:ext cx="1136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8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Fixed</w:t>
            </w:r>
          </w:p>
        </w:tc>
        <w:tc>
          <w:tcPr>
            <w:tcW w:w="109" w:type="dxa"/>
            <w:tcBorders/>
            <w:vAlign w:val="center"/>
          </w:tcPr>
          <w:p>
            <w:pPr>
              <w:pStyle w:val="TableContents"/>
              <w:bidi w:val="0"/>
              <w:spacing w:before="0" w:after="1"/>
              <w:ind w:left="0" w:right="0" w:hanging="0"/>
              <w:jc w:val="left"/>
              <w:rPr/>
            </w:pPr>
            <w:r>
              <w:rPr/>
              <w:t>​</w:t>
            </w:r>
          </w:p>
        </w:tc>
        <w:tc>
          <w:tcPr>
            <w:tcW w:w="938"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Notional</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right"/>
              <w:rPr/>
            </w:pPr>
            <w:r>
              <w:rPr/>
              <w:t>​</w:t>
            </w:r>
          </w:p>
        </w:tc>
        <w:tc>
          <w:tcPr>
            <w:tcW w:w="612" w:type="dxa"/>
            <w:tcBorders/>
            <w:vAlign w:val="center"/>
          </w:tcPr>
          <w:p>
            <w:pPr>
              <w:pStyle w:val="TableContents"/>
              <w:bidi w:val="0"/>
              <w:spacing w:before="0" w:after="1"/>
              <w:ind w:left="0" w:right="0" w:hanging="0"/>
              <w:jc w:val="left"/>
              <w:rPr/>
            </w:pPr>
            <w:r>
              <w:rPr/>
              <w:t>​</w:t>
            </w:r>
          </w:p>
        </w:tc>
        <w:tc>
          <w:tcPr>
            <w:tcW w:w="12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right"/>
              <w:rPr/>
            </w:pPr>
            <w:r>
              <w:rPr/>
              <w:t>​</w:t>
            </w:r>
          </w:p>
        </w:tc>
        <w:tc>
          <w:tcPr>
            <w:tcW w:w="8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Fair</w:t>
            </w:r>
          </w:p>
        </w:tc>
        <w:tc>
          <w:tcPr>
            <w:tcW w:w="109" w:type="dxa"/>
            <w:tcBorders/>
            <w:vAlign w:val="center"/>
          </w:tcPr>
          <w:p>
            <w:pPr>
              <w:pStyle w:val="TableContents"/>
              <w:bidi w:val="0"/>
              <w:spacing w:before="0" w:after="1"/>
              <w:ind w:left="0" w:right="0" w:hanging="0"/>
              <w:jc w:val="left"/>
              <w:rPr/>
            </w:pPr>
            <w:r>
              <w:rPr/>
              <w:t>​</w:t>
            </w:r>
          </w:p>
        </w:tc>
        <w:tc>
          <w:tcPr>
            <w:tcW w:w="179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 in</w:t>
            </w:r>
          </w:p>
        </w:tc>
      </w:tr>
      <w:tr>
        <w:trPr/>
        <w:tc>
          <w:tcPr>
            <w:tcW w:w="158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0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Effective</w:t>
            </w:r>
          </w:p>
        </w:tc>
        <w:tc>
          <w:tcPr>
            <w:tcW w:w="109" w:type="dxa"/>
            <w:tcBorders/>
            <w:vAlign w:val="center"/>
          </w:tcPr>
          <w:p>
            <w:pPr>
              <w:pStyle w:val="TableContents"/>
              <w:bidi w:val="0"/>
              <w:spacing w:before="0" w:after="1"/>
              <w:ind w:left="0" w:right="0" w:hanging="0"/>
              <w:jc w:val="center"/>
              <w:rPr/>
            </w:pPr>
            <w:r>
              <w:rPr/>
              <w:t>​</w:t>
            </w:r>
          </w:p>
        </w:tc>
        <w:tc>
          <w:tcPr>
            <w:tcW w:w="835"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109"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09" w:type="dxa"/>
            <w:tcBorders/>
            <w:vAlign w:val="center"/>
          </w:tcPr>
          <w:p>
            <w:pPr>
              <w:pStyle w:val="TableContents"/>
              <w:bidi w:val="0"/>
              <w:spacing w:before="0" w:after="1"/>
              <w:ind w:left="0" w:right="0" w:hanging="0"/>
              <w:jc w:val="center"/>
              <w:rPr/>
            </w:pPr>
            <w:r>
              <w:rPr/>
              <w:t>​</w:t>
            </w:r>
          </w:p>
        </w:tc>
        <w:tc>
          <w:tcPr>
            <w:tcW w:w="938"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 as of</w:t>
            </w:r>
          </w:p>
        </w:tc>
        <w:tc>
          <w:tcPr>
            <w:tcW w:w="109" w:type="dxa"/>
            <w:tcBorders/>
            <w:vAlign w:val="center"/>
          </w:tcPr>
          <w:p>
            <w:pPr>
              <w:pStyle w:val="TableContents"/>
              <w:bidi w:val="0"/>
              <w:spacing w:before="0" w:after="1"/>
              <w:ind w:left="0" w:right="0" w:hanging="0"/>
              <w:jc w:val="center"/>
              <w:rPr/>
            </w:pPr>
            <w:r>
              <w:rPr/>
              <w:t>​</w:t>
            </w:r>
          </w:p>
        </w:tc>
        <w:tc>
          <w:tcPr>
            <w:tcW w:w="22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Derivative Asset Fair Value</w:t>
            </w:r>
          </w:p>
        </w:tc>
        <w:tc>
          <w:tcPr>
            <w:tcW w:w="109"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109" w:type="dxa"/>
            <w:tcBorders/>
            <w:vAlign w:val="center"/>
          </w:tcPr>
          <w:p>
            <w:pPr>
              <w:pStyle w:val="TableContents"/>
              <w:bidi w:val="0"/>
              <w:spacing w:before="0" w:after="1"/>
              <w:ind w:left="0" w:right="0" w:hanging="0"/>
              <w:jc w:val="center"/>
              <w:rPr/>
            </w:pPr>
            <w:r>
              <w:rPr/>
              <w:t>​</w:t>
            </w:r>
          </w:p>
        </w:tc>
        <w:tc>
          <w:tcPr>
            <w:tcW w:w="179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Consolidated </w:t>
            </w:r>
          </w:p>
        </w:tc>
      </w:tr>
      <w:tr>
        <w:trPr/>
        <w:tc>
          <w:tcPr>
            <w:tcW w:w="15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Description</w:t>
            </w:r>
          </w:p>
        </w:tc>
        <w:tc>
          <w:tcPr>
            <w:tcW w:w="109" w:type="dxa"/>
            <w:tcBorders/>
            <w:vAlign w:val="center"/>
          </w:tcPr>
          <w:p>
            <w:pPr>
              <w:pStyle w:val="TableContents"/>
              <w:bidi w:val="0"/>
              <w:spacing w:before="0" w:after="1"/>
              <w:ind w:left="0" w:right="0" w:hanging="0"/>
              <w:jc w:val="center"/>
              <w:rPr/>
            </w:pPr>
            <w:r>
              <w:rPr/>
              <w:t>​</w:t>
            </w:r>
          </w:p>
        </w:tc>
        <w:tc>
          <w:tcPr>
            <w:tcW w:w="10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vAlign w:val="center"/>
          </w:tcPr>
          <w:p>
            <w:pPr>
              <w:pStyle w:val="TableContents"/>
              <w:bidi w:val="0"/>
              <w:spacing w:before="0" w:after="1"/>
              <w:ind w:left="0" w:right="0" w:hanging="0"/>
              <w:jc w:val="center"/>
              <w:rPr/>
            </w:pPr>
            <w:r>
              <w:rPr/>
              <w:t>​</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109" w:type="dxa"/>
            <w:tcBorders/>
            <w:vAlign w:val="center"/>
          </w:tcPr>
          <w:p>
            <w:pPr>
              <w:pStyle w:val="TableContents"/>
              <w:bidi w:val="0"/>
              <w:spacing w:before="0" w:after="1"/>
              <w:ind w:left="0" w:right="0" w:hanging="0"/>
              <w:jc w:val="center"/>
              <w:rPr/>
            </w:pPr>
            <w:r>
              <w:rPr/>
              <w:t>​</w:t>
            </w:r>
          </w:p>
        </w:tc>
        <w:tc>
          <w:tcPr>
            <w:tcW w:w="9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121"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2025</w:t>
            </w:r>
          </w:p>
        </w:tc>
        <w:tc>
          <w:tcPr>
            <w:tcW w:w="109" w:type="dxa"/>
            <w:tcBorders/>
            <w:vAlign w:val="center"/>
          </w:tcPr>
          <w:p>
            <w:pPr>
              <w:pStyle w:val="TableContents"/>
              <w:bidi w:val="0"/>
              <w:spacing w:before="0" w:after="1"/>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Level</w:t>
            </w:r>
          </w:p>
        </w:tc>
        <w:tc>
          <w:tcPr>
            <w:tcW w:w="109" w:type="dxa"/>
            <w:tcBorders/>
            <w:vAlign w:val="center"/>
          </w:tcPr>
          <w:p>
            <w:pPr>
              <w:pStyle w:val="TableContents"/>
              <w:bidi w:val="0"/>
              <w:spacing w:before="0" w:after="1"/>
              <w:ind w:left="0" w:right="0" w:hanging="0"/>
              <w:jc w:val="center"/>
              <w:rPr/>
            </w:pPr>
            <w:r>
              <w:rPr/>
              <w:t>​</w:t>
            </w:r>
          </w:p>
        </w:tc>
        <w:tc>
          <w:tcPr>
            <w:tcW w:w="17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Sheets</w:t>
            </w:r>
          </w:p>
        </w:tc>
      </w:tr>
      <w:tr>
        <w:trPr/>
        <w:tc>
          <w:tcPr>
            <w:tcW w:w="10205" w:type="dxa"/>
            <w:gridSpan w:val="20"/>
            <w:tcBorders/>
            <w:vAlign w:val="center"/>
          </w:tcPr>
          <w:p>
            <w:pPr>
              <w:pStyle w:val="TableContents"/>
              <w:bidi w:val="0"/>
              <w:spacing w:before="0" w:after="283"/>
              <w:ind w:left="0" w:right="0" w:hanging="0"/>
              <w:jc w:val="left"/>
              <w:rPr>
                <w:sz w:val="4"/>
                <w:szCs w:val="4"/>
              </w:rPr>
            </w:pPr>
            <w:r>
              <w:rPr>
                <w:sz w:val="4"/>
                <w:szCs w:val="4"/>
              </w:rPr>
            </w:r>
          </w:p>
        </w:tc>
      </w:tr>
      <w:tr>
        <w:trPr/>
        <w:tc>
          <w:tcPr>
            <w:tcW w:w="158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0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3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right"/>
              <w:rPr/>
            </w:pPr>
            <w:r>
              <w:rPr/>
              <w:t>​</w:t>
            </w:r>
          </w:p>
        </w:tc>
        <w:tc>
          <w:tcPr>
            <w:tcW w:w="742" w:type="dxa"/>
            <w:tcBorders/>
            <w:vAlign w:val="center"/>
          </w:tcPr>
          <w:p>
            <w:pPr>
              <w:pStyle w:val="TableContents"/>
              <w:bidi w:val="0"/>
              <w:spacing w:before="0" w:after="1"/>
              <w:ind w:left="0" w:right="0" w:hanging="0"/>
              <w:jc w:val="center"/>
              <w:rPr>
                <w:rFonts w:ascii="Times New Roman;Times;serif" w:hAnsi="Times New Roman;Times;serif"/>
                <w:i/>
                <w:sz w:val="14"/>
              </w:rPr>
            </w:pPr>
            <w:r>
              <w:rPr>
                <w:rFonts w:ascii="Times New Roman;Times;serif" w:hAnsi="Times New Roman;Times;serif"/>
                <w:i/>
                <w:sz w:val="14"/>
              </w:rPr>
              <w:t>In Millions</w:t>
            </w:r>
          </w:p>
        </w:tc>
        <w:tc>
          <w:tcPr>
            <w:tcW w:w="109" w:type="dxa"/>
            <w:tcBorders/>
            <w:vAlign w:val="center"/>
          </w:tcPr>
          <w:p>
            <w:pPr>
              <w:pStyle w:val="TableContents"/>
              <w:bidi w:val="0"/>
              <w:spacing w:before="0" w:after="1"/>
              <w:ind w:left="0" w:right="0" w:hanging="0"/>
              <w:jc w:val="center"/>
              <w:rPr/>
            </w:pPr>
            <w:r>
              <w:rPr/>
              <w:t>​</w:t>
            </w:r>
          </w:p>
        </w:tc>
        <w:tc>
          <w:tcPr>
            <w:tcW w:w="2268" w:type="dxa"/>
            <w:gridSpan w:val="5"/>
            <w:tcBorders/>
            <w:vAlign w:val="center"/>
          </w:tcPr>
          <w:p>
            <w:pPr>
              <w:pStyle w:val="TableContents"/>
              <w:bidi w:val="0"/>
              <w:spacing w:before="0" w:after="1"/>
              <w:ind w:left="0" w:right="0" w:hanging="0"/>
              <w:jc w:val="center"/>
              <w:rPr>
                <w:rFonts w:ascii="Times New Roman;Times;serif" w:hAnsi="Times New Roman;Times;serif"/>
                <w:i/>
                <w:sz w:val="14"/>
              </w:rPr>
            </w:pPr>
            <w:r>
              <w:rPr>
                <w:rFonts w:ascii="Times New Roman;Times;serif" w:hAnsi="Times New Roman;Times;serif"/>
                <w:i/>
                <w:sz w:val="14"/>
              </w:rPr>
              <w:t>In Thousands</w:t>
            </w:r>
          </w:p>
        </w:tc>
        <w:tc>
          <w:tcPr>
            <w:tcW w:w="109"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790" w:type="dxa"/>
            <w:tcBorders/>
            <w:vAlign w:val="center"/>
          </w:tcPr>
          <w:p>
            <w:pPr>
              <w:pStyle w:val="TableContents"/>
              <w:bidi w:val="0"/>
              <w:spacing w:before="0" w:after="1"/>
              <w:ind w:left="0" w:right="0" w:hanging="0"/>
              <w:jc w:val="center"/>
              <w:rPr/>
            </w:pPr>
            <w:r>
              <w:rPr/>
              <w:t>​</w:t>
            </w:r>
          </w:p>
        </w:tc>
      </w:tr>
      <w:tr>
        <w:trPr/>
        <w:tc>
          <w:tcPr>
            <w:tcW w:w="158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Pier Park Resort Hotel JV Loan</w:t>
            </w:r>
            <w:r>
              <w:rPr>
                <w:rFonts w:ascii="Times New Roman;Times;serif" w:hAnsi="Times New Roman;Times;serif"/>
                <w:sz w:val="16"/>
              </w:rPr>
              <w:t xml:space="preserve"> </w:t>
            </w:r>
            <w:r>
              <w:rPr>
                <w:rFonts w:ascii="Times New Roman;Times;serif" w:hAnsi="Times New Roman;Times;serif"/>
                <w:sz w:val="13"/>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1000"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December 2022</w:t>
            </w:r>
          </w:p>
        </w:tc>
        <w:tc>
          <w:tcPr>
            <w:tcW w:w="109" w:type="dxa"/>
            <w:tcBorders/>
            <w:shd w:fill="CCEEFF" w:val="clear"/>
            <w:vAlign w:val="center"/>
          </w:tcPr>
          <w:p>
            <w:pPr>
              <w:pStyle w:val="TableContents"/>
              <w:bidi w:val="0"/>
              <w:spacing w:before="0" w:after="1"/>
              <w:ind w:left="0" w:right="0" w:hanging="0"/>
              <w:jc w:val="center"/>
              <w:rPr/>
            </w:pPr>
            <w:r>
              <w:rPr/>
              <w:t>​</w:t>
            </w:r>
          </w:p>
        </w:tc>
        <w:tc>
          <w:tcPr>
            <w:tcW w:w="835"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April 2027</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42"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39.4</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886</w:t>
            </w:r>
          </w:p>
        </w:tc>
        <w:tc>
          <w:tcPr>
            <w:tcW w:w="121" w:type="dxa"/>
            <w:tcBorders/>
            <w:shd w:fill="CCEEFF" w:val="clear"/>
            <w:vAlign w:val="center"/>
          </w:tcPr>
          <w:p>
            <w:pPr>
              <w:pStyle w:val="TableContents"/>
              <w:bidi w:val="0"/>
              <w:spacing w:before="0" w:after="1"/>
              <w:ind w:left="0" w:right="0" w:hanging="0"/>
              <w:jc w:val="righ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1,127</w:t>
            </w:r>
          </w:p>
        </w:tc>
        <w:tc>
          <w:tcPr>
            <w:tcW w:w="109"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790"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Other assets</w:t>
            </w:r>
          </w:p>
        </w:tc>
      </w:tr>
      <w:tr>
        <w:trPr/>
        <w:tc>
          <w:tcPr>
            <w:tcW w:w="1589"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Pier Park TPS JV Loan</w:t>
            </w:r>
            <w:r>
              <w:rPr>
                <w:rFonts w:ascii="Times New Roman;Times;serif" w:hAnsi="Times New Roman;Times;serif"/>
                <w:sz w:val="16"/>
              </w:rPr>
              <w:t xml:space="preserve"> </w:t>
            </w:r>
            <w:r>
              <w:rPr>
                <w:rFonts w:ascii="Times New Roman;Times;serif" w:hAnsi="Times New Roman;Times;serif"/>
                <w:sz w:val="13"/>
              </w:rPr>
              <w:t>(b)</w:t>
            </w:r>
          </w:p>
        </w:tc>
        <w:tc>
          <w:tcPr>
            <w:tcW w:w="109" w:type="dxa"/>
            <w:tcBorders/>
            <w:vAlign w:val="center"/>
          </w:tcPr>
          <w:p>
            <w:pPr>
              <w:pStyle w:val="TableContents"/>
              <w:bidi w:val="0"/>
              <w:spacing w:before="0" w:after="1"/>
              <w:ind w:left="0" w:right="0" w:hanging="0"/>
              <w:jc w:val="left"/>
              <w:rPr/>
            </w:pPr>
            <w:r>
              <w:rPr/>
              <w:t>​</w:t>
            </w:r>
          </w:p>
        </w:tc>
        <w:tc>
          <w:tcPr>
            <w:tcW w:w="1000"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January 2021</w:t>
            </w:r>
          </w:p>
        </w:tc>
        <w:tc>
          <w:tcPr>
            <w:tcW w:w="109" w:type="dxa"/>
            <w:tcBorders/>
            <w:vAlign w:val="center"/>
          </w:tcPr>
          <w:p>
            <w:pPr>
              <w:pStyle w:val="TableContents"/>
              <w:bidi w:val="0"/>
              <w:spacing w:before="0" w:after="1"/>
              <w:ind w:left="0" w:right="0" w:hanging="0"/>
              <w:jc w:val="center"/>
              <w:rPr/>
            </w:pPr>
            <w:r>
              <w:rPr/>
              <w:t>​</w:t>
            </w:r>
          </w:p>
        </w:tc>
        <w:tc>
          <w:tcPr>
            <w:tcW w:w="835"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42"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N/A</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N/A</w:t>
            </w:r>
          </w:p>
        </w:tc>
        <w:tc>
          <w:tcPr>
            <w:tcW w:w="121"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w:t>
            </w:r>
          </w:p>
        </w:tc>
        <w:tc>
          <w:tcPr>
            <w:tcW w:w="109"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2</w:t>
            </w:r>
          </w:p>
        </w:tc>
        <w:tc>
          <w:tcPr>
            <w:tcW w:w="109" w:type="dxa"/>
            <w:tcBorders/>
            <w:vAlign w:val="center"/>
          </w:tcPr>
          <w:p>
            <w:pPr>
              <w:pStyle w:val="TableContents"/>
              <w:bidi w:val="0"/>
              <w:spacing w:before="0" w:after="1"/>
              <w:ind w:left="0" w:right="0" w:hanging="0"/>
              <w:jc w:val="left"/>
              <w:rPr/>
            </w:pPr>
            <w:r>
              <w:rPr/>
              <w:t>​</w:t>
            </w:r>
          </w:p>
        </w:tc>
        <w:tc>
          <w:tcPr>
            <w:tcW w:w="1790"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Accounts payable and other liabilities</w:t>
            </w:r>
          </w:p>
        </w:tc>
      </w:tr>
    </w:tbl>
    <w:tbl>
      <w:tblPr>
        <w:tblW w:w="3932" w:type="dxa"/>
        <w:jc w:val="left"/>
        <w:tblInd w:w="0" w:type="dxa"/>
        <w:tblLayout w:type="fixed"/>
        <w:tblCellMar>
          <w:top w:w="0" w:type="dxa"/>
          <w:left w:w="0" w:type="dxa"/>
          <w:bottom w:w="0" w:type="dxa"/>
          <w:right w:w="0" w:type="dxa"/>
        </w:tblCellMar>
      </w:tblPr>
      <w:tblGrid>
        <w:gridCol w:w="316"/>
        <w:gridCol w:w="36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36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See Note 8. </w:t>
            </w:r>
            <w:r>
              <w:rPr>
                <w:rFonts w:ascii="Times New Roman;Times;serif" w:hAnsi="Times New Roman;Times;serif"/>
                <w:b w:val="false"/>
                <w:i/>
                <w:sz w:val="18"/>
              </w:rPr>
              <w:t>Debt, Net</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Interest rate swap was entered into by the Pier Park TPS JV, which is unconsolidated and accounted for using the equity method. The interest rate swap matured in January 2026.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 xml:space="preserve">and Note 17. </w:t>
            </w:r>
            <w:r>
              <w:rPr>
                <w:rFonts w:ascii="Times New Roman;Times;serif" w:hAnsi="Times New Roman;Times;serif"/>
                <w:b w:val="false"/>
                <w:i/>
                <w:sz w:val="18"/>
              </w:rPr>
              <w:t>Commitments and Contingencies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829" w:name="Tc_g1usCC5bfEaTLrgKg2YIug_5_11"/>
      <w:bookmarkStart w:id="1830" w:name="Tc_GkQzp1S9mkCxIgsEausayA_5_8"/>
      <w:bookmarkStart w:id="1831" w:name="Tc_bdrAPz5zX0ae0xb1TITWMQ_5_5"/>
      <w:bookmarkStart w:id="1832" w:name="Tc_ZuPTuEj0rkW3lQ1mNf-KSQ_5_3"/>
      <w:bookmarkStart w:id="1833" w:name="Tc_g5Q9EWUuBUODWNeYLXSXWQ_5_2"/>
      <w:bookmarkStart w:id="1834" w:name="Tc_zN1sa1VcGUiGhCw45U0T7A_5_0"/>
      <w:bookmarkStart w:id="1835" w:name="Tc_lW7VLHprXEyL1K8MfZ9MwQ_4_11"/>
      <w:bookmarkStart w:id="1836" w:name="Tc_Od4KleO8_kWBvw_A5X7-Dw_4_8"/>
      <w:bookmarkStart w:id="1837" w:name="Tc_kJwOPQ5qREiECyLBCUT6ng_4_5"/>
      <w:bookmarkStart w:id="1838" w:name="Tc_wWelcIAYLk6pQhk0Mx3dYQ_4_2"/>
      <w:bookmarkStart w:id="1839" w:name="Tc_qIhjD-EkM0iJ9TcGG09iXA_4_0"/>
      <w:bookmarkStart w:id="1840" w:name="Tc_zgogyvnuFUivIbpIfPEzmA_3_11"/>
      <w:bookmarkStart w:id="1841" w:name="Tc_NyR8btdC80SItiuvdCc_BA_3_8"/>
      <w:bookmarkStart w:id="1842" w:name="Tc_FklPK0Og2USoh-nlB9kWTA_3_5"/>
      <w:bookmarkStart w:id="1843" w:name="Tc_3tZdrgrBjUqSJJ96ohXUiw_3_2"/>
      <w:bookmarkStart w:id="1844" w:name="Tc_m3YxPrtN20yv7oZkFvi4gQ_3_0"/>
      <w:bookmarkStart w:id="1845" w:name="Tc_CnHMcMXuYEyi3T5rKwExdw_2_11"/>
      <w:bookmarkStart w:id="1846" w:name="Tc_9Ao1WeCooEKRwCi063-f3Q_2_8"/>
      <w:bookmarkStart w:id="1847" w:name="Tc_LMc_d9e8pk6q6rLJuUDkaw_2_5"/>
      <w:bookmarkStart w:id="1848" w:name="Tc_vE0rShv3y0WMP6t3__iMJg_2_2"/>
      <w:bookmarkStart w:id="1849" w:name="Tc_239ix-HeF0ufr7Ci337ikg_1_8"/>
      <w:bookmarkStart w:id="1850" w:name="Tc_mOV81RJADkuCcYJ1GKUHzQ_1_2"/>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r>
        <w:rPr>
          <w:rFonts w:ascii="Times New Roman;Times;serif" w:hAnsi="Times New Roman;Times;serif"/>
          <w:sz w:val="20"/>
        </w:rPr>
        <w:t>The following is a summary of the effect of derivative instruments on the Company’s condensed consolidated statements of income and condensed consolidated statements of comprehensive income: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73"/>
        <w:gridCol w:w="109"/>
        <w:gridCol w:w="279"/>
        <w:gridCol w:w="702"/>
        <w:gridCol w:w="144"/>
        <w:gridCol w:w="279"/>
        <w:gridCol w:w="702"/>
        <w:gridCol w:w="109"/>
        <w:gridCol w:w="259"/>
        <w:gridCol w:w="649"/>
        <w:gridCol w:w="133"/>
        <w:gridCol w:w="259"/>
        <w:gridCol w:w="708"/>
      </w:tblGrid>
      <w:tr>
        <w:trPr/>
        <w:tc>
          <w:tcPr>
            <w:tcW w:w="5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729355" cy="175260"/>
                      <wp:effectExtent l="0" t="0" r="0" b="0"/>
                      <wp:wrapNone/>
                      <wp:docPr id="358" name="Frame358"/>
                      <a:graphic xmlns:a="http://schemas.openxmlformats.org/drawingml/2006/main">
                        <a:graphicData uri="http://schemas.microsoft.com/office/word/2010/wordprocessingShape">
                          <wps:wsp>
                            <wps:cNvSpPr txBox="1"/>
                            <wps:spPr>
                              <a:xfrm>
                                <a:off x="0" y="0"/>
                                <a:ext cx="3729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77165" cy="175260"/>
                      <wp:effectExtent l="0" t="0" r="0" b="0"/>
                      <wp:wrapNone/>
                      <wp:docPr id="360" name="Frame360"/>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45770" cy="175260"/>
                      <wp:effectExtent l="0" t="0" r="0" b="0"/>
                      <wp:wrapNone/>
                      <wp:docPr id="361" name="Frame361"/>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91440" cy="175260"/>
                      <wp:effectExtent l="0" t="0" r="0" b="0"/>
                      <wp:wrapNone/>
                      <wp:docPr id="362" name="Frame362"/>
                      <a:graphic xmlns:a="http://schemas.openxmlformats.org/drawingml/2006/main">
                        <a:graphicData uri="http://schemas.microsoft.com/office/word/2010/wordprocessingShape">
                          <wps:wsp>
                            <wps:cNvSpPr txBox="1"/>
                            <wps:spPr>
                              <a:xfrm>
                                <a:off x="0" y="0"/>
                                <a:ext cx="9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77165" cy="175260"/>
                      <wp:effectExtent l="0" t="0" r="0" b="0"/>
                      <wp:wrapNone/>
                      <wp:docPr id="363" name="Frame36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45770" cy="175260"/>
                      <wp:effectExtent l="0" t="0" r="0" b="0"/>
                      <wp:wrapNone/>
                      <wp:docPr id="364" name="Frame364"/>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5"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64465" cy="175260"/>
                      <wp:effectExtent l="0" t="0" r="0" b="0"/>
                      <wp:wrapNone/>
                      <wp:docPr id="366" name="Frame36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12115" cy="175260"/>
                      <wp:effectExtent l="0" t="0" r="0" b="0"/>
                      <wp:wrapNone/>
                      <wp:docPr id="367" name="Frame367"/>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84455" cy="175260"/>
                      <wp:effectExtent l="0" t="0" r="0" b="0"/>
                      <wp:wrapNone/>
                      <wp:docPr id="368" name="Frame368"/>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64465" cy="175260"/>
                      <wp:effectExtent l="0" t="0" r="0" b="0"/>
                      <wp:wrapNone/>
                      <wp:docPr id="369" name="Frame36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49580" cy="175260"/>
                      <wp:effectExtent l="0" t="0" r="0" b="0"/>
                      <wp:wrapNone/>
                      <wp:docPr id="370" name="Frame370"/>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0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8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4" w:type="dxa"/>
            <w:tcBorders/>
            <w:vAlign w:val="center"/>
          </w:tcPr>
          <w:p>
            <w:pPr>
              <w:pStyle w:val="TableContents"/>
              <w:bidi w:val="0"/>
              <w:spacing w:before="0" w:after="0"/>
              <w:ind w:left="0" w:right="0" w:hanging="0"/>
              <w:jc w:val="left"/>
              <w:rPr/>
            </w:pPr>
            <w:r>
              <w:rPr/>
              <w:t>​</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3" w:type="dxa"/>
            <w:tcBorders/>
            <w:vAlign w:val="center"/>
          </w:tcPr>
          <w:p>
            <w:pPr>
              <w:pStyle w:val="TableContents"/>
              <w:bidi w:val="0"/>
              <w:spacing w:before="0" w:after="0"/>
              <w:ind w:left="0" w:right="0" w:hanging="0"/>
              <w:jc w:val="left"/>
              <w:rPr/>
            </w:pPr>
            <w:r>
              <w:rPr/>
              <w:t>​</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of net gain (loss) recognized in 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44"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33"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58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of net gain reclassified into interest expense</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144" w:type="dxa"/>
            <w:tcBorders/>
            <w:vAlign w:val="center"/>
          </w:tcPr>
          <w:p>
            <w:pPr>
              <w:pStyle w:val="TableContents"/>
              <w:bidi w:val="0"/>
              <w:spacing w:before="0" w:after="0"/>
              <w:ind w:left="0" w:right="0" w:hanging="0"/>
              <w:jc w:val="righ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133"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r>
      <w:tr>
        <w:trPr/>
        <w:tc>
          <w:tcPr>
            <w:tcW w:w="58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of net gain reclassified into equity in income 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144"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33"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based on current value, the Company expects to reclassify $0.9 million of derivative instruments from accumulated other comprehensive income to earnings during the next twelve months. See Note 12. </w:t>
      </w:r>
      <w:r>
        <w:rPr>
          <w:rFonts w:ascii="Times New Roman;Times;serif" w:hAnsi="Times New Roman;Times;serif"/>
          <w:i/>
          <w:sz w:val="20"/>
        </w:rPr>
        <w:t>Accumulated Other Comprehensive Income</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evaluates its investment in unconsolidated JVs for impairment during each reporting period. A series of operating losses of an investee or other factors may indicate that a decrease in the value of the Company’s investment in the unconsolidated JV has occurred. The amount of impairment recognized is the excess of the investment’s carrying value over its estimated fair value. The fair value of the Company’s investment in unconsolidated JVs is determined primarily using a discounted cash flow model to value the underlying net assets or cash flows of the respective JV. The fair value of investment in unconsolidated JVs required to be assessed for impairment is determined using Level 3 inputs in the fair value hierarchy. No impairment for unconsolidated JVs was recorded during the six months ended June 30, 2026 and 2025.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the Company’s cash and cash equivalents, restricted cash, receivables, other assets, accounts payable and other liabilities approximate fair value due to the short-term nature of these instruments.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Company uses the following methods and assumptions in estimating fair value for financial instruments: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investments held by SPE - time deposit is based on the present value of future cash flows at the current market 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investments held by SPE - U.S. Treasury Bills are measured based on quoted market prices in an active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NewRomanPSMT" w:hAnsi="TimesNewRomanPSMT"/>
                <w:b w:val="false"/>
                <w:i w:val="false"/>
                <w:caps w:val="false"/>
                <w:smallCaps w:val="false"/>
                <w:sz w:val="20"/>
              </w:rPr>
              <w:t>The fair value of debt is based on discounted future expected cash flows based on current market rates for</w:t>
            </w:r>
            <w:r>
              <w:rPr>
                <w:caps w:val="false"/>
                <w:smallCaps w:val="false"/>
              </w:rPr>
              <w:t xml:space="preserve"> </w:t>
            </w:r>
            <w:r>
              <w:rPr>
                <w:rFonts w:ascii="TimesNewRomanPSMT" w:hAnsi="TimesNewRomanPSMT"/>
                <w:b w:val="false"/>
                <w:i w:val="false"/>
                <w:caps w:val="false"/>
                <w:smallCaps w:val="false"/>
                <w:sz w:val="20"/>
              </w:rPr>
              <w:t>financial instruments with similar risks, terms and maturities.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senior notes held by SPE is based on the present value of future cash flows at the current market rate.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851" w:name="Tc_0FnPLI1I-kK0ae4-oTC6TQ_13_13"/>
      <w:bookmarkStart w:id="1852" w:name="Tc_eGI_E5QU0kevuLxcZQ8OKg_13_10"/>
      <w:bookmarkStart w:id="1853" w:name="Tc_jHxI6luPl0ClmdwxS72OMA_13_5"/>
      <w:bookmarkStart w:id="1854" w:name="Tc_VyvPdGrLZ0ClWmpVow69eA_13_2"/>
      <w:bookmarkStart w:id="1855" w:name="Tc_VBkmzwEE9kq_G01IBLAiig_13_0"/>
      <w:bookmarkStart w:id="1856" w:name="Tc_l9h_lfksVU2xoSvHK2XwuQ_12_16"/>
      <w:bookmarkStart w:id="1857" w:name="Tc_fxnvN-9HEEeNNNqySDwLtA_12_8"/>
      <w:bookmarkStart w:id="1858" w:name="Tc_r7j4McrJkEaGQ63g-XYKAQ_12_0"/>
      <w:bookmarkStart w:id="1859" w:name="Tc__8EDWvKDn0CpYW2rYKlN_A_11_16"/>
      <w:bookmarkStart w:id="1860" w:name="Tc_WI1DjgoOpU-Ye9ZWDaBvNw_11_13"/>
      <w:bookmarkStart w:id="1861" w:name="Tc_AMBkMI6GEEGmEXfzQjxFEQ_11_10"/>
      <w:bookmarkStart w:id="1862" w:name="Tc_DbHFizhSVEqkpt2mtfPD3A_11_8"/>
      <w:bookmarkStart w:id="1863" w:name="Tc_6r7OyJI77Ey1BPi8317J6Q_11_5"/>
      <w:bookmarkStart w:id="1864" w:name="Tc_KwdhHWTTPEmFLzkkVNTgTQ_11_2"/>
      <w:bookmarkStart w:id="1865" w:name="Tc_Is9HX-llZUClnG3SLHPI0w_11_0"/>
      <w:bookmarkStart w:id="1866" w:name="Tc_jh2Yg5TksE-3q9KkKYX0gw_10_0"/>
      <w:bookmarkStart w:id="1867" w:name="Tc_yu8UYnoA5EKI9li3j0Xbmw_8_16"/>
      <w:bookmarkStart w:id="1868" w:name="Tc_jx3bpdYScEm-vR3nD1STsQ_8_13"/>
      <w:bookmarkStart w:id="1869" w:name="Tc_ARjGjq7LCU-QcRDQ5_ZFeg_8_10"/>
      <w:bookmarkStart w:id="1870" w:name="Tc_SMhfHb22qEGIvvTbrv7fig_8_8"/>
      <w:bookmarkStart w:id="1871" w:name="Tc_L0jHTv0neEW1ywj1oKAeaQ_8_5"/>
      <w:bookmarkStart w:id="1872" w:name="Tc_VFOCR_cq7kiTXDVe6DgNZw_8_2"/>
      <w:bookmarkStart w:id="1873" w:name="Tc_T0ArB_r7IUuaWhuREGhTww_8_0"/>
      <w:bookmarkStart w:id="1874" w:name="Tc_PoderWguxESQMdUr4NeKZw_6_16"/>
      <w:bookmarkStart w:id="1875" w:name="Tc_DelKK-VD902rwzXeY8mMSQ_6_13"/>
      <w:bookmarkStart w:id="1876" w:name="Tc_orZbgaHCJUKJu7LVtwZNLQ_6_10"/>
      <w:bookmarkStart w:id="1877" w:name="Tc_0-2kLTAl2UiQAEJMwShO1Q_6_8"/>
      <w:bookmarkStart w:id="1878" w:name="Tc_xr_nbV6vKEGawtYJyw3ACA_6_5"/>
      <w:bookmarkStart w:id="1879" w:name="Tc_FvcZuUfKZESP83M98qmwPg_6_2"/>
      <w:bookmarkStart w:id="1880" w:name="Tc_ATfDbwYiXkKdoOMC3k_prQ_6_0"/>
      <w:bookmarkStart w:id="1881" w:name="Tc_XsHX3VHeeU2KmfISKoMk0w_5_16"/>
      <w:bookmarkStart w:id="1882" w:name="Tc_SqtIdnmkK02V0jqVcSbP8w_5_13"/>
      <w:bookmarkStart w:id="1883" w:name="Tc_amIzWWHIA0Cc6dFZKLdTOQ_5_10"/>
      <w:bookmarkStart w:id="1884" w:name="Tc_a2Cx40ehEEWcScYlzOxBlw_5_8"/>
      <w:bookmarkStart w:id="1885" w:name="Tc_u6KU6MnUn0GwnFF4APmWCQ_5_5"/>
      <w:bookmarkStart w:id="1886" w:name="Tc__quz-rHZv0KmI0cHzieq0A_5_2"/>
      <w:bookmarkStart w:id="1887" w:name="Tc_qc_rdvpfXUaiD9-dQGz1oQ_5_0"/>
      <w:bookmarkStart w:id="1888" w:name="Tc_mLGVW60wsEO431OcBwExig_4_0"/>
      <w:bookmarkStart w:id="1889" w:name="Tc_FhUS7zKDp0WzB2fVU-pLjQ_3_16"/>
      <w:bookmarkStart w:id="1890" w:name="Tc_B2oXywssRkuaEJT_UM-erA_3_13"/>
      <w:bookmarkStart w:id="1891" w:name="Tc_7KhOoyNGoEW5xA029CHhig_3_10"/>
      <w:bookmarkStart w:id="1892" w:name="Tc_Zr8uSfg890uE1hNFPr7v8Q_3_8"/>
      <w:bookmarkStart w:id="1893" w:name="Tc_X3Bku7f3KkK2yZB60XvpiQ_3_5"/>
      <w:bookmarkStart w:id="1894" w:name="Tc_RMT7NIzq8Ei2yBIzBF9rgA_3_2"/>
      <w:bookmarkStart w:id="1895" w:name="Tc_7vChv_TnGkWOms3I_LTP-g_2_13"/>
      <w:bookmarkStart w:id="1896" w:name="Tc_Xp23Z9gOxUOEDQskjhjRJw_2_10"/>
      <w:bookmarkStart w:id="1897" w:name="Tc_v7GJew5zEUKC1uGLvGsxVQ_2_5"/>
      <w:bookmarkStart w:id="1898" w:name="Tc_SpCv5cZ7T0-boVOXaguZiw_2_2"/>
      <w:bookmarkStart w:id="1899" w:name="Tc_nD5TsL64H0C1B6eFO8jHig_1_10"/>
      <w:bookmarkStart w:id="1900" w:name="Tc_NZI4ksDaw0SGRuQcjzT9jw_1_2"/>
      <w:bookmarkStart w:id="1901" w:name="_d27f03f2_d71a_430a_8f72_47797d3c0ba7"/>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r>
        <w:rPr>
          <w:rFonts w:ascii="Times New Roman;Times;serif" w:hAnsi="Times New Roman;Times;serif"/>
          <w:sz w:val="20"/>
        </w:rPr>
        <w:t>The carrying amount and estimated fair value, measured on a nonrecurring basis, of the Company’s financial instruments were as follows:</w:t>
      </w:r>
    </w:p>
    <w:p>
      <w:pPr>
        <w:pStyle w:val="TextBody"/>
        <w:bidi w:val="0"/>
        <w:spacing w:before="0" w:after="0"/>
        <w:ind w:left="0" w:right="0" w:hanging="0"/>
        <w:jc w:val="left"/>
        <w:rPr/>
      </w:pPr>
      <w:r>
        <w:rPr/>
        <w:t>​</w:t>
      </w:r>
    </w:p>
    <w:tbl>
      <w:tblPr>
        <w:tblW w:w="9347" w:type="dxa"/>
        <w:jc w:val="left"/>
        <w:tblInd w:w="0" w:type="dxa"/>
        <w:tblLayout w:type="fixed"/>
        <w:tblCellMar>
          <w:top w:w="0" w:type="dxa"/>
          <w:left w:w="0" w:type="dxa"/>
          <w:bottom w:w="0" w:type="dxa"/>
          <w:right w:w="0" w:type="dxa"/>
        </w:tblCellMar>
      </w:tblPr>
      <w:tblGrid>
        <w:gridCol w:w="2266"/>
        <w:gridCol w:w="346"/>
        <w:gridCol w:w="211"/>
        <w:gridCol w:w="781"/>
        <w:gridCol w:w="346"/>
        <w:gridCol w:w="211"/>
        <w:gridCol w:w="781"/>
        <w:gridCol w:w="346"/>
        <w:gridCol w:w="496"/>
        <w:gridCol w:w="346"/>
        <w:gridCol w:w="211"/>
        <w:gridCol w:w="781"/>
        <w:gridCol w:w="346"/>
        <w:gridCol w:w="211"/>
        <w:gridCol w:w="781"/>
        <w:gridCol w:w="346"/>
        <w:gridCol w:w="54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438910" cy="175260"/>
                      <wp:effectExtent l="0" t="0" r="0" b="0"/>
                      <wp:wrapNone/>
                      <wp:docPr id="371" name="Frame371"/>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95935" cy="175260"/>
                      <wp:effectExtent l="0" t="0" r="0" b="0"/>
                      <wp:wrapNone/>
                      <wp:docPr id="374" name="Frame3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95935" cy="175260"/>
                      <wp:effectExtent l="0" t="0" r="0" b="0"/>
                      <wp:wrapNone/>
                      <wp:docPr id="377" name="Frame3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14960" cy="175260"/>
                      <wp:effectExtent l="0" t="0" r="0" b="0"/>
                      <wp:wrapNone/>
                      <wp:docPr id="379" name="Frame37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95935" cy="175260"/>
                      <wp:effectExtent l="0" t="0" r="0" b="0"/>
                      <wp:wrapNone/>
                      <wp:docPr id="382" name="Frame3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95935" cy="175260"/>
                      <wp:effectExtent l="0" t="0" r="0" b="0"/>
                      <wp:wrapNone/>
                      <wp:docPr id="385" name="Frame3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43535" cy="175260"/>
                      <wp:effectExtent l="0" t="0" r="0" b="0"/>
                      <wp:wrapNone/>
                      <wp:docPr id="387" name="Frame38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32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left"/>
              <w:rPr/>
            </w:pPr>
            <w:r>
              <w:rPr/>
              <w:t>  ​ ​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left"/>
              <w:rPr/>
            </w:pPr>
            <w:r>
              <w:rPr/>
              <w:t>  ​ ​ ​</w:t>
            </w:r>
          </w:p>
        </w:tc>
        <w:tc>
          <w:tcPr>
            <w:tcW w:w="541" w:type="dxa"/>
            <w:tcBorders/>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SPEs: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2,043</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  ​</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held by SPE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181,066</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183,033</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Fixed-rate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237,462</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239,992</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Variable-rate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98,860</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115,919</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374,846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336,322</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396,008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355,911</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and Senior Notes Held by Special Purpose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a real estate sale in 2014, the Company received consideration including a $200.0 million fifteen-year installment note (the “Timber Note”) issued by Panama City Timber Finance Company, LLC. The Company contributed the Timber Note and assigned its rights as a beneficiary under a letter of credit to Northwest Florida Timber Finance, LLC. Northwest Florida Timber Finance, LLC monetized the Timber Note by issuing $180.0 million aggregate principal amount of its 4.8% Senior Secured Notes due in 2029 (the “Senior Notes”) at an issue price of 98.5% of face value to third party investors. The investments held by Panama City Timber Finance Company, LLC as of June 30, 2026, consist of a $200.0 million time deposit that, subsequent to April 2, 2014, pays interest at 4.0% and matures in March 2029, U.S. Treasuries of $2.1 million and cash of $0.3 million. The Senior Notes held by Northwest Florida Timber Finance, LLC as of June 30, 2026 consist of $179.0 million, net of the $1.0 million discount and debt issuance costs. Panama City Timber Finance Company, LLC and Northwest Florida Timber Finance, LLC are VIEs, which the Company consolidates as the primary beneficiary of each entity.</w:t>
      </w:r>
    </w:p>
    <w:p>
      <w:pPr>
        <w:pStyle w:val="TextBody"/>
        <w:bidi w:val="0"/>
        <w:spacing w:before="0" w:after="240"/>
        <w:ind w:left="0" w:right="0" w:hanging="0"/>
        <w:jc w:val="left"/>
        <w:rPr>
          <w:rFonts w:ascii="Times New Roman;Times;serif" w:hAnsi="Times New Roman;Times;serif"/>
          <w:b/>
          <w:sz w:val="20"/>
        </w:rPr>
      </w:pPr>
      <w:bookmarkStart w:id="1902" w:name="Tc_XzxI5uCW1UGxzgWl8ADBJA_6_10"/>
      <w:bookmarkStart w:id="1903" w:name="Tc_y1S7659DoU-aY4dkRf7oZw_6_7"/>
      <w:bookmarkStart w:id="1904" w:name="Tc_8z8TERqEsEK4aqp-CcX2ZQ_6_4"/>
      <w:bookmarkStart w:id="1905" w:name="Tc_cXPIQEei2U6AqsMIiBCPzA_6_1"/>
      <w:bookmarkStart w:id="1906" w:name="Tc_flheCV9UTEmrXDdfjxBsSw_6_0"/>
      <w:bookmarkStart w:id="1907" w:name="Tc_ZsZ0yHJVvkOkhssjtS92NQ_5_0"/>
      <w:bookmarkStart w:id="1908" w:name="Tc_Co5bNZnUc0qSdSazdxYU9A_4_10"/>
      <w:bookmarkStart w:id="1909" w:name="Tc_aWQsbjKgVUO_kOT9XVVrnA_4_7"/>
      <w:bookmarkStart w:id="1910" w:name="Tc_S05xC9Son02gVOgmFfNkSg_4_4"/>
      <w:bookmarkStart w:id="1911" w:name="Tc_dCoAe8j4wUaqQ648jDqCew_4_1"/>
      <w:bookmarkStart w:id="1912" w:name="Tc_T0fGoOHkqEKbHFn9rQf7kw_4_0"/>
      <w:bookmarkStart w:id="1913" w:name="Tc_1emP5DmDNk6Fuba1POztgA_3_0"/>
      <w:bookmarkStart w:id="1914" w:name="Tc_gRBy2_JxS0ms_WUBL6aFRQ_2_10"/>
      <w:bookmarkStart w:id="1915" w:name="Tc_gqxX-w1350KQwWEyTSnonw_2_7"/>
      <w:bookmarkStart w:id="1916" w:name="Tc_uEDkQ6N5dEy-KqWqU-e6-Q_2_4"/>
      <w:bookmarkStart w:id="1917" w:name="Tc__l8DjzNv7EenbuTSUK7QUg_2_1"/>
      <w:bookmarkStart w:id="1918" w:name="Tc_T5oPuWazqUCFKgZDpJs4iQ_1_7"/>
      <w:bookmarkStart w:id="1919" w:name="Tc_CUa7_enZQkq1UN4h8wA8TA_1_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r>
        <w:rPr>
          <w:rFonts w:ascii="Times New Roman;Times;serif" w:hAnsi="Times New Roman;Times;serif"/>
          <w:b/>
          <w:sz w:val="20"/>
        </w:rPr>
        <w:t>6.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Company as Lessor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consists of rental revenue from multi-family, senior living prior to the sale of the Watercrest JV’s senior living community property in September 2025, self-storage, retail, office and commercial property, marinas, cell towers and other assets, which is recognized as earned, using the straight-line method over the life of each lease. Variable lease payments primarily include property taxes, insurance, utilities and common area maintenance or payments based on a percentage of sales over specified levels and senior living services. The Company’s leases have remaining lease terms up to the year 2072, some of which include options to terminate or extend.</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components of leasing revenue are as follows:</w:t>
      </w:r>
    </w:p>
    <w:p>
      <w:pPr>
        <w:pStyle w:val="TextBody"/>
        <w:bidi w:val="0"/>
        <w:spacing w:before="0" w:after="0"/>
        <w:ind w:left="0" w:right="0" w:hanging="0"/>
        <w:jc w:val="left"/>
        <w:rPr/>
      </w:pPr>
      <w:r>
        <w:rPr/>
        <w:t>​</w:t>
      </w:r>
    </w:p>
    <w:tbl>
      <w:tblPr>
        <w:tblW w:w="6660" w:type="dxa"/>
        <w:jc w:val="left"/>
        <w:tblInd w:w="0" w:type="dxa"/>
        <w:tblLayout w:type="fixed"/>
        <w:tblCellMar>
          <w:top w:w="0" w:type="dxa"/>
          <w:left w:w="0" w:type="dxa"/>
          <w:bottom w:w="0" w:type="dxa"/>
          <w:right w:w="0" w:type="dxa"/>
        </w:tblCellMar>
      </w:tblPr>
      <w:tblGrid>
        <w:gridCol w:w="2086"/>
        <w:gridCol w:w="258"/>
        <w:gridCol w:w="829"/>
        <w:gridCol w:w="133"/>
        <w:gridCol w:w="258"/>
        <w:gridCol w:w="829"/>
        <w:gridCol w:w="109"/>
        <w:gridCol w:w="229"/>
        <w:gridCol w:w="734"/>
        <w:gridCol w:w="118"/>
        <w:gridCol w:w="229"/>
        <w:gridCol w:w="848"/>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24610" cy="175260"/>
                      <wp:effectExtent l="0" t="0" r="0" b="0"/>
                      <wp:wrapNone/>
                      <wp:docPr id="388" name="Frame388"/>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63830" cy="175260"/>
                      <wp:effectExtent l="0" t="0" r="0" b="0"/>
                      <wp:wrapNone/>
                      <wp:docPr id="389" name="Frame38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26415" cy="175260"/>
                      <wp:effectExtent l="0" t="0" r="0" b="0"/>
                      <wp:wrapNone/>
                      <wp:docPr id="390" name="Frame390"/>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84455" cy="175260"/>
                      <wp:effectExtent l="0" t="0" r="0" b="0"/>
                      <wp:wrapNone/>
                      <wp:docPr id="391" name="Frame391"/>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63830" cy="175260"/>
                      <wp:effectExtent l="0" t="0" r="0" b="0"/>
                      <wp:wrapNone/>
                      <wp:docPr id="392" name="Frame39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26415" cy="175260"/>
                      <wp:effectExtent l="0" t="0" r="0" b="0"/>
                      <wp:wrapNone/>
                      <wp:docPr id="393" name="Frame393"/>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45415" cy="175260"/>
                      <wp:effectExtent l="0" t="0" r="0" b="0"/>
                      <wp:wrapNone/>
                      <wp:docPr id="395" name="Frame39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66090" cy="175260"/>
                      <wp:effectExtent l="0" t="0" r="0" b="0"/>
                      <wp:wrapNone/>
                      <wp:docPr id="396" name="Frame396"/>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74930" cy="175260"/>
                      <wp:effectExtent l="0" t="0" r="0" b="0"/>
                      <wp:wrapNone/>
                      <wp:docPr id="397" name="Frame397"/>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5415" cy="175260"/>
                      <wp:effectExtent l="0" t="0" r="0" b="0"/>
                      <wp:wrapNone/>
                      <wp:docPr id="398" name="Frame39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38480" cy="175260"/>
                      <wp:effectExtent l="0" t="0" r="0" b="0"/>
                      <wp:wrapNone/>
                      <wp:docPr id="399" name="Frame399"/>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23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086" w:type="dxa"/>
            <w:tcBorders/>
            <w:vAlign w:val="center"/>
          </w:tcPr>
          <w:p>
            <w:pPr>
              <w:pStyle w:val="TableContents"/>
              <w:bidi w:val="0"/>
              <w:spacing w:before="0" w:after="1"/>
              <w:ind w:left="0" w:right="0" w:hanging="0"/>
              <w:jc w:val="left"/>
              <w:rPr/>
            </w:pPr>
            <w:r>
              <w:rPr/>
              <w:t>​</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3" w:type="dxa"/>
            <w:tcBorders/>
            <w:vAlign w:val="center"/>
          </w:tcPr>
          <w:p>
            <w:pPr>
              <w:pStyle w:val="TableContents"/>
              <w:bidi w:val="0"/>
              <w:spacing w:before="0" w:after="1"/>
              <w:ind w:left="0" w:right="0" w:hanging="0"/>
              <w:jc w:val="center"/>
              <w:rPr/>
            </w:pPr>
            <w:r>
              <w:rPr/>
              <w:t>​</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8" w:type="dxa"/>
            <w:tcBorders/>
            <w:vAlign w:val="center"/>
          </w:tcPr>
          <w:p>
            <w:pPr>
              <w:pStyle w:val="TableContents"/>
              <w:bidi w:val="0"/>
              <w:spacing w:before="0" w:after="1"/>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Leasing revenue</w:t>
            </w:r>
          </w:p>
        </w:tc>
        <w:tc>
          <w:tcPr>
            <w:tcW w:w="258"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center"/>
              <w:rPr/>
            </w:pPr>
            <w:r>
              <w:rPr/>
              <w:t>​</w:t>
            </w:r>
          </w:p>
        </w:tc>
        <w:tc>
          <w:tcPr>
            <w:tcW w:w="133" w:type="dxa"/>
            <w:tcBorders/>
            <w:shd w:fill="CCEEFF" w:val="clear"/>
            <w:vAlign w:val="center"/>
          </w:tcPr>
          <w:p>
            <w:pPr>
              <w:pStyle w:val="TableContents"/>
              <w:bidi w:val="0"/>
              <w:spacing w:before="0" w:after="1"/>
              <w:ind w:left="0" w:right="0" w:hanging="0"/>
              <w:jc w:val="center"/>
              <w:rPr/>
            </w:pPr>
            <w:r>
              <w:rPr/>
              <w:t>​</w:t>
            </w:r>
          </w:p>
        </w:tc>
        <w:tc>
          <w:tcPr>
            <w:tcW w:w="258" w:type="dxa"/>
            <w:tcBorders/>
            <w:shd w:fill="CCEEFF" w:val="clear"/>
            <w:vAlign w:val="center"/>
          </w:tcPr>
          <w:p>
            <w:pPr>
              <w:pStyle w:val="TableContents"/>
              <w:bidi w:val="0"/>
              <w:spacing w:before="0" w:after="1"/>
              <w:ind w:left="0" w:right="0" w:hanging="0"/>
              <w:jc w:val="center"/>
              <w:rPr/>
            </w:pPr>
            <w:r>
              <w:rPr/>
              <w:t>​</w:t>
            </w:r>
          </w:p>
        </w:tc>
        <w:tc>
          <w:tcPr>
            <w:tcW w:w="82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4" w:type="dxa"/>
            <w:tcBorders/>
            <w:shd w:fill="CCEEFF" w:val="clear"/>
            <w:vAlign w:val="center"/>
          </w:tcPr>
          <w:p>
            <w:pPr>
              <w:pStyle w:val="TableContents"/>
              <w:bidi w:val="0"/>
              <w:spacing w:before="0" w:after="1"/>
              <w:ind w:left="0" w:right="0" w:hanging="0"/>
              <w:jc w:val="center"/>
              <w:rPr/>
            </w:pPr>
            <w:r>
              <w:rPr/>
              <w:t>​</w:t>
            </w:r>
          </w:p>
        </w:tc>
        <w:tc>
          <w:tcPr>
            <w:tcW w:w="118" w:type="dxa"/>
            <w:tcBorders/>
            <w:shd w:fill="CCEEFF" w:val="clear"/>
            <w:vAlign w:val="center"/>
          </w:tcPr>
          <w:p>
            <w:pPr>
              <w:pStyle w:val="TableContents"/>
              <w:bidi w:val="0"/>
              <w:spacing w:before="0" w:after="1"/>
              <w:ind w:left="0" w:right="0" w:hanging="0"/>
              <w:jc w:val="center"/>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center"/>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12,821</w:t>
            </w:r>
          </w:p>
        </w:tc>
        <w:tc>
          <w:tcPr>
            <w:tcW w:w="133" w:type="dxa"/>
            <w:tcBorders/>
            <w:vAlign w:val="center"/>
          </w:tcPr>
          <w:p>
            <w:pPr>
              <w:pStyle w:val="TableContents"/>
              <w:bidi w:val="0"/>
              <w:spacing w:before="0" w:after="1"/>
              <w:ind w:left="0" w:right="0" w:hanging="0"/>
              <w:jc w:val="righ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14,038</w:t>
            </w:r>
          </w:p>
        </w:tc>
        <w:tc>
          <w:tcPr>
            <w:tcW w:w="109"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25,345</w:t>
            </w:r>
          </w:p>
        </w:tc>
        <w:tc>
          <w:tcPr>
            <w:tcW w:w="118"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27,709</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w:t>
            </w:r>
          </w:p>
        </w:tc>
        <w:tc>
          <w:tcPr>
            <w:tcW w:w="133" w:type="dxa"/>
            <w:tcBorders/>
            <w:shd w:fill="CCEEFF" w:val="clear"/>
            <w:vAlign w:val="center"/>
          </w:tcPr>
          <w:p>
            <w:pPr>
              <w:pStyle w:val="TableContents"/>
              <w:bidi w:val="0"/>
              <w:spacing w:before="0" w:after="1"/>
              <w:ind w:left="0" w:right="0" w:hanging="0"/>
              <w:jc w:val="righ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2,470</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4,331</w:t>
            </w:r>
          </w:p>
        </w:tc>
        <w:tc>
          <w:tcPr>
            <w:tcW w:w="118" w:type="dxa"/>
            <w:tcBorders/>
            <w:shd w:fill="CCEEFF" w:val="clear"/>
            <w:vAlign w:val="center"/>
          </w:tcPr>
          <w:p>
            <w:pPr>
              <w:pStyle w:val="TableContents"/>
              <w:bidi w:val="0"/>
              <w:spacing w:before="0" w:after="1"/>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5,041</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leasing revenue</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15,017</w:t>
            </w:r>
          </w:p>
        </w:tc>
        <w:tc>
          <w:tcPr>
            <w:tcW w:w="133" w:type="dxa"/>
            <w:tcBorders/>
            <w:vAlign w:val="center"/>
          </w:tcPr>
          <w:p>
            <w:pPr>
              <w:pStyle w:val="TableContents"/>
              <w:bidi w:val="0"/>
              <w:spacing w:before="0" w:after="1"/>
              <w:ind w:left="0" w:right="0" w:hanging="0"/>
              <w:jc w:val="righ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16,508</w:t>
            </w:r>
          </w:p>
        </w:tc>
        <w:tc>
          <w:tcPr>
            <w:tcW w:w="109"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29,676</w:t>
            </w:r>
          </w:p>
        </w:tc>
        <w:tc>
          <w:tcPr>
            <w:tcW w:w="118"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32,750</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920" w:name="Tc_gq5MaZNKL0iDVIk1JbOnWQ_16_12"/>
      <w:bookmarkStart w:id="1921" w:name="Tc_T5_-oOHifEGLITGx9NElwA_16_9"/>
      <w:bookmarkStart w:id="1922" w:name="Tc_sCu-GMx-NkCkA6wAW2ptkA_16_0"/>
      <w:bookmarkStart w:id="1923" w:name="Tc_bduARGv49U2NGyfydS6bTQ_15_12"/>
      <w:bookmarkStart w:id="1924" w:name="Tc_3h9v3pWOOUyxVq5m9kOJqA_15_9"/>
      <w:bookmarkStart w:id="1925" w:name="Tc_qB_6jMTd-U-J6KHIa20vrg_15_0"/>
      <w:bookmarkStart w:id="1926" w:name="Tc_uj7ECfDYNkCl0tP8tkSJVQ_14_0"/>
      <w:bookmarkStart w:id="1927" w:name="Tc_kqSrA6my4Euh7NjTNpA-Ag_13_0"/>
      <w:bookmarkStart w:id="1928" w:name="Tc_LOv4vGlfGk6Zz_KeonoF7g_12_0"/>
      <w:bookmarkStart w:id="1929" w:name="Tc_ZhcS9aDGMEiOb0_4aYfBpg_10_10"/>
      <w:bookmarkStart w:id="1930" w:name="Tc_wRO1uParWkqS-dXvVchnbQ_10_7"/>
      <w:bookmarkStart w:id="1931" w:name="Tc_yCo5NY6x8ki__VKlHgl0sQ_10_4"/>
      <w:bookmarkStart w:id="1932" w:name="Tc_Vm6qo-XLsUeLg2dGLycaaA_10_1"/>
      <w:bookmarkStart w:id="1933" w:name="Tc_lxPokWhfC02NMd4EZWgYPA_10_0"/>
      <w:bookmarkStart w:id="1934" w:name="Tc_4umEGkxe3kOnvfK4Y8BMIA_9_0"/>
      <w:bookmarkStart w:id="1935" w:name="Tc_inAQdcCGuUyNMBfkZZXLtg_8_0"/>
      <w:bookmarkStart w:id="1936" w:name="Tc_ey9Zj0B9J0G5xn0EHBwVUQ_7_0"/>
      <w:bookmarkStart w:id="1937" w:name="Tc_dB2tXWoM7UuX4NSBcotUjQ_6_10"/>
      <w:bookmarkStart w:id="1938" w:name="Tc_jp5G5wz5JEyX83skimyzvg_6_7"/>
      <w:bookmarkStart w:id="1939" w:name="Tc_QxJYLvILI0Si2Wx3RK6NpA_6_4"/>
      <w:bookmarkStart w:id="1940" w:name="Tc_Ddg0VDksZkOsT1bNFdc-LA_6_1"/>
      <w:bookmarkStart w:id="1941" w:name="Tc_kDCtdDU-f0S5CqzNezkh6A_6_0"/>
      <w:bookmarkStart w:id="1942" w:name="Tc_6u6CTViXfEmxnF9afnEoVQ_5_0"/>
      <w:bookmarkStart w:id="1943" w:name="Tc_ikxh34Mr4EGuniL7Q-F4ZA_4_0"/>
      <w:bookmarkStart w:id="1944" w:name="Tc_UOYORpC4zUyeK5XErmDcTQ_3_10"/>
      <w:bookmarkStart w:id="1945" w:name="Tc__oIsT-hP8ESg3g-c8hp3YQ_3_7"/>
      <w:bookmarkStart w:id="1946" w:name="Tc_fVXDfW48G0SQ2VQp6A81Gg_3_4"/>
      <w:bookmarkStart w:id="1947" w:name="Tc_L5tWfmJdcUK_KGZXpljEzA_3_1"/>
      <w:bookmarkStart w:id="1948" w:name="Tc_sWGnLn8lWE-wcmhqxsSYUw_2_7"/>
      <w:bookmarkStart w:id="1949" w:name="Tc_EwCiyRRCs06VkK6d1fs8lA_2_1"/>
      <w:bookmarkStart w:id="1950" w:name="Tc_7q1vjxOUEkWsat30chtvBA_7_2"/>
      <w:bookmarkStart w:id="1951" w:name="Tc_QS0reWELxESckqIQgZZ_Fg_6_0"/>
      <w:bookmarkStart w:id="1952" w:name="Tc_YChvYqWkn0iu8F8gSRJwmg_5_0"/>
      <w:bookmarkStart w:id="1953" w:name="Tc_O-A_7sH0HEmLGCrMDITzMA_4_0"/>
      <w:bookmarkStart w:id="1954" w:name="Tc_ZctuBOU69E27bri1OYU10w_3_0"/>
      <w:bookmarkStart w:id="1955" w:name="Tc_uB_iNBxkf0Sn25KNVkyxdw_2_0"/>
      <w:bookmarkStart w:id="1956" w:name="Tc_STI4rTsdKk6YGlmqZ-qL2g_1_2"/>
      <w:bookmarkStart w:id="1957" w:name="Tc_r9evFyth0E6XWN9pz0EZUQ_1_0"/>
      <w:bookmarkStart w:id="1958" w:name="_5ed0380d_9c07_4b63_9466_0a5299b87728"/>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r>
        <w:rPr>
          <w:rFonts w:ascii="Times New Roman;Times;serif" w:hAnsi="Times New Roman;Times;serif"/>
          <w:sz w:val="20"/>
        </w:rPr>
        <w:t>Minimum future base rental revenue on non-cancelable leases subsequent to June 30, 2026, for the years ending December 31 are:</w:t>
      </w:r>
    </w:p>
    <w:tbl>
      <w:tblPr>
        <w:tblW w:w="2152" w:type="dxa"/>
        <w:jc w:val="left"/>
        <w:tblInd w:w="0" w:type="dxa"/>
        <w:tblLayout w:type="fixed"/>
        <w:tblCellMar>
          <w:top w:w="0" w:type="dxa"/>
          <w:left w:w="0" w:type="dxa"/>
          <w:bottom w:w="0" w:type="dxa"/>
          <w:right w:w="0" w:type="dxa"/>
        </w:tblCellMar>
      </w:tblPr>
      <w:tblGrid>
        <w:gridCol w:w="946"/>
        <w:gridCol w:w="109"/>
        <w:gridCol w:w="211"/>
        <w:gridCol w:w="88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00710" cy="175260"/>
                      <wp:effectExtent l="0" t="0" r="0" b="0"/>
                      <wp:wrapNone/>
                      <wp:docPr id="400" name="Frame40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401" name="Frame4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62610" cy="175260"/>
                      <wp:effectExtent l="0" t="0" r="0" b="0"/>
                      <wp:wrapNone/>
                      <wp:docPr id="403" name="Frame40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20,664</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17,018</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13,480</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9,047</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58,445</w:t>
            </w:r>
          </w:p>
        </w:tc>
      </w:tr>
      <w:tr>
        <w:trPr/>
        <w:tc>
          <w:tcPr>
            <w:tcW w:w="9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143,813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Company as Lessee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the Company leased certain office and other equipment under finance leases and had operating leases for property and equipment used in corporate, hospitality and commercial operations with remaining lease terms up to the year 2081. Operating leases also include property for hospitality employee housing. Certain leases include options to purchase, terminate or renew for one or more years, which are included in the lease term used to establish right-of-use assets and lease liabilities when it is reasonably certain that the option will be exercised. The Company uses its incremental borrowing rate to determine the present value of the lease payments since the rate implicit in each lease is not readily determinable. </w:t>
      </w:r>
      <w:r>
        <w:rPr>
          <w:rFonts w:ascii="TimesNewRomanPSMT" w:hAnsi="TimesNewRomanPSMT"/>
          <w:sz w:val="20"/>
        </w:rPr>
        <w:t>The Company recognizes short-term (twelve months or less) lease payments in profit or loss on a straight-line basis over the term of the lease and variable lease payments in the period in which the obligation for those payments is incurred. Cash flows from operating activities include $1.0</w:t>
      </w:r>
      <w:r>
        <w:rPr>
          <w:rFonts w:ascii="Times New Roman;Times;serif" w:hAnsi="Times New Roman;Times;serif"/>
          <w:sz w:val="20"/>
        </w:rPr>
        <w:t xml:space="preserve"> </w:t>
      </w:r>
      <w:r>
        <w:rPr>
          <w:rFonts w:ascii="TimesNewRomanPSMT" w:hAnsi="TimesNewRomanPSMT"/>
          <w:sz w:val="20"/>
        </w:rPr>
        <w:t>million during each of the six months ended June 30, 2026 and 2025, related to cash paid for amounts included in the measurement of operating lease liabilities.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components of lease expense are as follows:</w:t>
      </w:r>
    </w:p>
    <w:p>
      <w:pPr>
        <w:pStyle w:val="TextBody"/>
        <w:bidi w:val="0"/>
        <w:spacing w:before="0" w:after="0"/>
        <w:ind w:left="0" w:right="0" w:hanging="0"/>
        <w:jc w:val="left"/>
        <w:rPr/>
      </w:pPr>
      <w:r>
        <w:rPr/>
        <w:t>​</w:t>
      </w:r>
    </w:p>
    <w:tbl>
      <w:tblPr>
        <w:tblW w:w="10155" w:type="dxa"/>
        <w:jc w:val="left"/>
        <w:tblInd w:w="0" w:type="dxa"/>
        <w:tblLayout w:type="fixed"/>
        <w:tblCellMar>
          <w:top w:w="0" w:type="dxa"/>
          <w:left w:w="0" w:type="dxa"/>
          <w:bottom w:w="0" w:type="dxa"/>
          <w:right w:w="0" w:type="dxa"/>
        </w:tblCellMar>
      </w:tblPr>
      <w:tblGrid>
        <w:gridCol w:w="5581"/>
        <w:gridCol w:w="442"/>
        <w:gridCol w:w="729"/>
        <w:gridCol w:w="139"/>
        <w:gridCol w:w="269"/>
        <w:gridCol w:w="729"/>
        <w:gridCol w:w="109"/>
        <w:gridCol w:w="211"/>
        <w:gridCol w:w="573"/>
        <w:gridCol w:w="272"/>
        <w:gridCol w:w="211"/>
        <w:gridCol w:w="573"/>
        <w:gridCol w:w="317"/>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543935" cy="175260"/>
                      <wp:effectExtent l="0" t="0" r="0" b="0"/>
                      <wp:wrapNone/>
                      <wp:docPr id="404" name="Frame404"/>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80670" cy="175260"/>
                      <wp:effectExtent l="0" t="0" r="0" b="0"/>
                      <wp:wrapNone/>
                      <wp:docPr id="405" name="Frame40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62915" cy="175260"/>
                      <wp:effectExtent l="0" t="0" r="0" b="0"/>
                      <wp:wrapNone/>
                      <wp:docPr id="406" name="Frame406"/>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88265" cy="175260"/>
                      <wp:effectExtent l="0" t="0" r="0" b="0"/>
                      <wp:wrapNone/>
                      <wp:docPr id="407" name="Frame407"/>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70815" cy="175260"/>
                      <wp:effectExtent l="0" t="0" r="0" b="0"/>
                      <wp:wrapNone/>
                      <wp:docPr id="408" name="Frame408"/>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62915" cy="175260"/>
                      <wp:effectExtent l="0" t="0" r="0" b="0"/>
                      <wp:wrapNone/>
                      <wp:docPr id="409" name="Frame409"/>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10" name="Frame4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1"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63855" cy="175260"/>
                      <wp:effectExtent l="0" t="0" r="0" b="0"/>
                      <wp:wrapNone/>
                      <wp:docPr id="412" name="Frame412"/>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72720" cy="175260"/>
                      <wp:effectExtent l="0" t="0" r="0" b="0"/>
                      <wp:wrapNone/>
                      <wp:docPr id="413" name="Frame413"/>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4"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63855" cy="175260"/>
                      <wp:effectExtent l="0" t="0" r="0" b="0"/>
                      <wp:wrapNone/>
                      <wp:docPr id="415" name="Frame415"/>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1295" cy="175260"/>
                      <wp:effectExtent l="0" t="0" r="0" b="0"/>
                      <wp:wrapNone/>
                      <wp:docPr id="416" name="Frame41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  ​ ​ ​</w:t>
            </w:r>
          </w:p>
        </w:tc>
        <w:tc>
          <w:tcPr>
            <w:tcW w:w="729" w:type="dxa"/>
            <w:tcBorders/>
            <w:vAlign w:val="center"/>
          </w:tcPr>
          <w:p>
            <w:pPr>
              <w:pStyle w:val="TableContents"/>
              <w:bidi w:val="0"/>
              <w:spacing w:before="0" w:after="1"/>
              <w:ind w:left="0" w:right="0" w:hanging="0"/>
              <w:jc w:val="left"/>
              <w:rPr/>
            </w:pPr>
            <w:r>
              <w:rPr/>
              <w:t>​</w:t>
            </w:r>
          </w:p>
        </w:tc>
        <w:tc>
          <w:tcPr>
            <w:tcW w:w="13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center"/>
              <w:rPr/>
            </w:pPr>
            <w:r>
              <w:rPr/>
              <w:t>​</w:t>
            </w:r>
          </w:p>
        </w:tc>
        <w:tc>
          <w:tcPr>
            <w:tcW w:w="784" w:type="dxa"/>
            <w:gridSpan w:val="2"/>
            <w:tcBorders/>
            <w:vAlign w:val="center"/>
          </w:tcPr>
          <w:p>
            <w:pPr>
              <w:pStyle w:val="TableContents"/>
              <w:bidi w:val="0"/>
              <w:spacing w:before="0" w:after="1"/>
              <w:ind w:left="0" w:right="0" w:hanging="0"/>
              <w:jc w:val="center"/>
              <w:rPr/>
            </w:pPr>
            <w:r>
              <w:rPr/>
              <w:t>​</w:t>
            </w:r>
          </w:p>
        </w:tc>
        <w:tc>
          <w:tcPr>
            <w:tcW w:w="317" w:type="dxa"/>
            <w:tcBorders/>
            <w:vAlign w:val="center"/>
          </w:tcPr>
          <w:p>
            <w:pPr>
              <w:pStyle w:val="TableContents"/>
              <w:bidi w:val="0"/>
              <w:spacing w:before="0" w:after="1"/>
              <w:ind w:left="0" w:right="0" w:hanging="0"/>
              <w:jc w:val="center"/>
              <w:rPr/>
            </w:pPr>
            <w:r>
              <w:rPr/>
              <w:t>​</w:t>
            </w:r>
          </w:p>
        </w:tc>
      </w:tr>
      <w:tr>
        <w:trPr/>
        <w:tc>
          <w:tcPr>
            <w:tcW w:w="5581" w:type="dxa"/>
            <w:tcBorders/>
            <w:vAlign w:val="center"/>
          </w:tcPr>
          <w:p>
            <w:pPr>
              <w:pStyle w:val="TableContents"/>
              <w:bidi w:val="0"/>
              <w:spacing w:before="0" w:after="1"/>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57"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581" w:type="dxa"/>
            <w:tcBorders/>
            <w:vAlign w:val="center"/>
          </w:tcPr>
          <w:p>
            <w:pPr>
              <w:pStyle w:val="TableContents"/>
              <w:bidi w:val="0"/>
              <w:spacing w:before="0" w:after="1"/>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9" w:type="dxa"/>
            <w:tcBorders/>
            <w:vAlign w:val="center"/>
          </w:tcPr>
          <w:p>
            <w:pPr>
              <w:pStyle w:val="TableContents"/>
              <w:bidi w:val="0"/>
              <w:spacing w:before="0" w:after="1"/>
              <w:ind w:left="0" w:right="0" w:hanging="0"/>
              <w:jc w:val="center"/>
              <w:rPr/>
            </w:pPr>
            <w:r>
              <w:rPr/>
              <w:t>​</w:t>
            </w:r>
          </w:p>
        </w:tc>
        <w:tc>
          <w:tcPr>
            <w:tcW w:w="9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7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2" w:type="dxa"/>
            <w:tcBorders/>
            <w:vAlign w:val="center"/>
          </w:tcPr>
          <w:p>
            <w:pPr>
              <w:pStyle w:val="TableContents"/>
              <w:bidi w:val="0"/>
              <w:spacing w:before="0" w:after="1"/>
              <w:ind w:left="0" w:right="0" w:hanging="0"/>
              <w:jc w:val="center"/>
              <w:rPr/>
            </w:pPr>
            <w:r>
              <w:rPr/>
              <w:t>​</w:t>
            </w:r>
          </w:p>
        </w:tc>
        <w:tc>
          <w:tcPr>
            <w:tcW w:w="7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7" w:type="dxa"/>
            <w:tcBorders/>
            <w:vAlign w:val="center"/>
          </w:tcPr>
          <w:p>
            <w:pPr>
              <w:pStyle w:val="TableContents"/>
              <w:bidi w:val="0"/>
              <w:spacing w:before="0" w:after="1"/>
              <w:ind w:left="0" w:right="0" w:hanging="0"/>
              <w:jc w:val="center"/>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Lease cost</w:t>
            </w:r>
          </w:p>
        </w:tc>
        <w:tc>
          <w:tcPr>
            <w:tcW w:w="442"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139" w:type="dxa"/>
            <w:tcBorders/>
            <w:shd w:fill="CCEEFF" w:val="clear"/>
            <w:vAlign w:val="center"/>
          </w:tcPr>
          <w:p>
            <w:pPr>
              <w:pStyle w:val="TableContents"/>
              <w:bidi w:val="0"/>
              <w:spacing w:before="0" w:after="1"/>
              <w:ind w:left="0" w:right="0" w:hanging="0"/>
              <w:jc w:val="right"/>
              <w:rPr/>
            </w:pPr>
            <w:r>
              <w:rPr/>
              <w:t>​</w:t>
            </w:r>
          </w:p>
        </w:tc>
        <w:tc>
          <w:tcPr>
            <w:tcW w:w="269" w:type="dxa"/>
            <w:tcBorders/>
            <w:shd w:fill="CCEEFF" w:val="clear"/>
            <w:vAlign w:val="center"/>
          </w:tcPr>
          <w:p>
            <w:pPr>
              <w:pStyle w:val="TableContents"/>
              <w:bidi w:val="0"/>
              <w:spacing w:before="0" w:after="1"/>
              <w:ind w:left="0" w:right="0" w:hanging="0"/>
              <w:jc w:val="right"/>
              <w:rPr/>
            </w:pPr>
            <w:r>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272"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44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pPr>
            <w:r>
              <w:rPr/>
              <w:t>​</w:t>
            </w:r>
          </w:p>
        </w:tc>
        <w:tc>
          <w:tcPr>
            <w:tcW w:w="139" w:type="dxa"/>
            <w:tcBorders/>
            <w:vAlign w:val="center"/>
          </w:tcPr>
          <w:p>
            <w:pPr>
              <w:pStyle w:val="TableContents"/>
              <w:bidi w:val="0"/>
              <w:spacing w:before="0" w:after="1"/>
              <w:ind w:left="0" w:right="0" w:hanging="0"/>
              <w:jc w:val="right"/>
              <w:rPr/>
            </w:pPr>
            <w:r>
              <w:rPr/>
              <w:t>​</w:t>
            </w:r>
          </w:p>
        </w:tc>
        <w:tc>
          <w:tcPr>
            <w:tcW w:w="269" w:type="dxa"/>
            <w:tcBorders/>
            <w:vAlign w:val="center"/>
          </w:tcPr>
          <w:p>
            <w:pPr>
              <w:pStyle w:val="TableContents"/>
              <w:bidi w:val="0"/>
              <w:spacing w:before="0" w:after="1"/>
              <w:ind w:left="0" w:right="0" w:hanging="0"/>
              <w:jc w:val="right"/>
              <w:rPr/>
            </w:pPr>
            <w:r>
              <w:rPr/>
              <w:t>​</w:t>
            </w:r>
          </w:p>
        </w:tc>
        <w:tc>
          <w:tcPr>
            <w:tcW w:w="7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272"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139" w:type="dxa"/>
            <w:tcBorders/>
            <w:shd w:fill="CCEEFF" w:val="clear"/>
            <w:vAlign w:val="center"/>
          </w:tcPr>
          <w:p>
            <w:pPr>
              <w:pStyle w:val="TableContents"/>
              <w:bidi w:val="0"/>
              <w:spacing w:before="0" w:after="1"/>
              <w:ind w:left="0" w:right="0" w:hanging="0"/>
              <w:jc w:val="righ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272"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17"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liability</w:t>
            </w:r>
          </w:p>
        </w:tc>
        <w:tc>
          <w:tcPr>
            <w:tcW w:w="442"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39" w:type="dxa"/>
            <w:tcBorders/>
            <w:vAlign w:val="center"/>
          </w:tcPr>
          <w:p>
            <w:pPr>
              <w:pStyle w:val="TableContents"/>
              <w:bidi w:val="0"/>
              <w:spacing w:before="0" w:after="1"/>
              <w:ind w:left="0" w:right="0" w:hanging="0"/>
              <w:jc w:val="right"/>
              <w:rPr/>
            </w:pPr>
            <w:r>
              <w:rPr/>
              <w:t>​</w:t>
            </w:r>
          </w:p>
        </w:tc>
        <w:tc>
          <w:tcPr>
            <w:tcW w:w="269"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272"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7"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442"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139" w:type="dxa"/>
            <w:tcBorders/>
            <w:shd w:fill="CCEEFF" w:val="clear"/>
            <w:vAlign w:val="center"/>
          </w:tcPr>
          <w:p>
            <w:pPr>
              <w:pStyle w:val="TableContents"/>
              <w:bidi w:val="0"/>
              <w:spacing w:before="0" w:after="1"/>
              <w:ind w:left="0" w:right="0" w:hanging="0"/>
              <w:jc w:val="righ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c>
          <w:tcPr>
            <w:tcW w:w="272"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w:t>
            </w:r>
          </w:p>
        </w:tc>
        <w:tc>
          <w:tcPr>
            <w:tcW w:w="317"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and short-term lease cost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w:t>
            </w:r>
          </w:p>
        </w:tc>
        <w:tc>
          <w:tcPr>
            <w:tcW w:w="139" w:type="dxa"/>
            <w:tcBorders/>
            <w:vAlign w:val="center"/>
          </w:tcPr>
          <w:p>
            <w:pPr>
              <w:pStyle w:val="TableContents"/>
              <w:bidi w:val="0"/>
              <w:spacing w:before="0" w:after="1"/>
              <w:ind w:left="0" w:right="0" w:hanging="0"/>
              <w:jc w:val="right"/>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w:t>
            </w:r>
          </w:p>
        </w:tc>
        <w:tc>
          <w:tcPr>
            <w:tcW w:w="272"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w:t>
            </w:r>
          </w:p>
        </w:tc>
        <w:tc>
          <w:tcPr>
            <w:tcW w:w="317"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lease cost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1,557</w:t>
            </w:r>
          </w:p>
        </w:tc>
        <w:tc>
          <w:tcPr>
            <w:tcW w:w="139" w:type="dxa"/>
            <w:tcBorders/>
            <w:shd w:fill="CCEEFF" w:val="clear"/>
            <w:vAlign w:val="center"/>
          </w:tcPr>
          <w:p>
            <w:pPr>
              <w:pStyle w:val="TableContents"/>
              <w:bidi w:val="0"/>
              <w:spacing w:before="0" w:after="1"/>
              <w:ind w:left="0" w:right="0" w:hanging="0"/>
              <w:jc w:val="righ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1,519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2,434</w:t>
            </w:r>
          </w:p>
        </w:tc>
        <w:tc>
          <w:tcPr>
            <w:tcW w:w="272"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2,397</w:t>
            </w:r>
          </w:p>
        </w:tc>
        <w:tc>
          <w:tcPr>
            <w:tcW w:w="317"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13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information</w:t>
            </w:r>
          </w:p>
        </w:tc>
        <w:tc>
          <w:tcPr>
            <w:tcW w:w="442"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left"/>
              <w:rPr/>
            </w:pPr>
            <w:r>
              <w:rPr/>
              <w:t>​</w:t>
            </w:r>
          </w:p>
        </w:tc>
        <w:tc>
          <w:tcPr>
            <w:tcW w:w="139"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 finance lease (in years)</w:t>
            </w:r>
          </w:p>
        </w:tc>
        <w:tc>
          <w:tcPr>
            <w:tcW w:w="44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13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272"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7" w:type="dxa"/>
            <w:tcBorders/>
            <w:vAlign w:val="center"/>
          </w:tcPr>
          <w:p>
            <w:pPr>
              <w:pStyle w:val="TableContents"/>
              <w:bidi w:val="0"/>
              <w:spacing w:before="0" w:after="1"/>
              <w:ind w:left="0" w:right="0" w:hanging="0"/>
              <w:jc w:val="lef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 operating leases (in years)</w:t>
            </w:r>
          </w:p>
        </w:tc>
        <w:tc>
          <w:tcPr>
            <w:tcW w:w="442"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left"/>
              <w:rPr/>
            </w:pPr>
            <w:r>
              <w:rPr/>
              <w:t>​</w:t>
            </w:r>
          </w:p>
        </w:tc>
        <w:tc>
          <w:tcPr>
            <w:tcW w:w="139"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272"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 - finance lease</w:t>
            </w:r>
          </w:p>
        </w:tc>
        <w:tc>
          <w:tcPr>
            <w:tcW w:w="44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13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2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 - operating leases</w:t>
            </w:r>
          </w:p>
        </w:tc>
        <w:tc>
          <w:tcPr>
            <w:tcW w:w="442"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left"/>
              <w:rPr/>
            </w:pPr>
            <w:r>
              <w:rPr/>
              <w:t>​</w:t>
            </w:r>
          </w:p>
        </w:tc>
        <w:tc>
          <w:tcPr>
            <w:tcW w:w="139"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959" w:name="Tc_FjfTatzXY0-x_jiXD1l00g_10_5"/>
      <w:bookmarkStart w:id="1960" w:name="Tc_zs9xPCug0UuFUpmlD4AKPA_10_2"/>
      <w:bookmarkStart w:id="1961" w:name="Tc_aX4A0h2GEUK_ydNyPYxj9A_10_0"/>
      <w:bookmarkStart w:id="1962" w:name="Tc_WxAIRzEoH0GDRQErzDu6zw_9_0"/>
      <w:bookmarkStart w:id="1963" w:name="Tc_mI7KW4gTDEaiSrZb2B2t2g_8_0"/>
      <w:bookmarkStart w:id="1964" w:name="Tc_c8DsKdkk50SpxE3ec6n81w_7_6"/>
      <w:bookmarkStart w:id="1965" w:name="Tc_TEg0NvZnOUSHw2B6-ZNH6g_7_0"/>
      <w:bookmarkStart w:id="1966" w:name="Tc_CiOizY99C0OsuD85ZqUwag_6_0"/>
      <w:bookmarkStart w:id="1967" w:name="Tc_Km2zJOrHj02YoOt1H74BZw_5_0"/>
      <w:bookmarkStart w:id="1968" w:name="Tc_ES5lALmTQUSA7DGIKG-DSQ_4_0"/>
      <w:bookmarkStart w:id="1969" w:name="Tc_Y6kD0YnBlEaz6Um6dVOA9w_3_0"/>
      <w:bookmarkStart w:id="1970" w:name="Tc_KU4sg3GONUyWSvsxutW09Q_2_5"/>
      <w:bookmarkStart w:id="1971" w:name="Tc_-r1pHuW5kUq2-M-LgES87w_2_2"/>
      <w:bookmarkStart w:id="1972" w:name="Tc_k9FRB9L3M0-LRYhGUU-XBQ_2_0"/>
      <w:bookmarkStart w:id="1973" w:name="Tc_iR126dEOe0e7iRfdse9v_w_1_5"/>
      <w:bookmarkStart w:id="1974" w:name="Tc_PE_momaugUyuFUrpgYs_EA_1_2"/>
      <w:bookmarkStart w:id="1975" w:name="_793da0c6_4e99_436d_ae0d_09dcbfbc8df5"/>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r>
        <w:rPr>
          <w:rFonts w:ascii="Times New Roman;Times;serif" w:hAnsi="Times New Roman;Times;serif"/>
          <w:sz w:val="20"/>
        </w:rPr>
        <w:t xml:space="preserve">The aggregate payments of finance and operating lease liabilities subsequent to June 30, 2026, for the years ending December 31 are: </w:t>
      </w:r>
    </w:p>
    <w:tbl>
      <w:tblPr>
        <w:tblW w:w="4704" w:type="dxa"/>
        <w:jc w:val="left"/>
        <w:tblInd w:w="0" w:type="dxa"/>
        <w:tblLayout w:type="fixed"/>
        <w:tblCellMar>
          <w:top w:w="0" w:type="dxa"/>
          <w:left w:w="0" w:type="dxa"/>
          <w:bottom w:w="0" w:type="dxa"/>
          <w:right w:w="0" w:type="dxa"/>
        </w:tblCellMar>
      </w:tblPr>
      <w:tblGrid>
        <w:gridCol w:w="1891"/>
        <w:gridCol w:w="109"/>
        <w:gridCol w:w="320"/>
        <w:gridCol w:w="865"/>
        <w:gridCol w:w="109"/>
        <w:gridCol w:w="335"/>
        <w:gridCol w:w="1075"/>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200785" cy="175260"/>
                      <wp:effectExtent l="0" t="0" r="0" b="0"/>
                      <wp:wrapNone/>
                      <wp:docPr id="417" name="Frame41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4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3200" cy="175260"/>
                      <wp:effectExtent l="0" t="0" r="0" b="0"/>
                      <wp:wrapNone/>
                      <wp:docPr id="419" name="Frame41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49275" cy="175260"/>
                      <wp:effectExtent l="0" t="0" r="0" b="0"/>
                      <wp:wrapNone/>
                      <wp:docPr id="420" name="Frame420"/>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215" cy="175260"/>
                      <wp:effectExtent l="0" t="0" r="0" b="0"/>
                      <wp:wrapNone/>
                      <wp:docPr id="421" name="Frame4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2725" cy="175260"/>
                      <wp:effectExtent l="0" t="0" r="0" b="0"/>
                      <wp:wrapNone/>
                      <wp:docPr id="422" name="Frame42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82625" cy="175260"/>
                      <wp:effectExtent l="0" t="0" r="0" b="0"/>
                      <wp:wrapNone/>
                      <wp:docPr id="423" name="Frame423"/>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 </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 </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 </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981</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1,180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976" w:name="Tc_GpqQ5qi7tkWVMlmttiKvQg_12_5"/>
      <w:bookmarkStart w:id="1977" w:name="Tc_9FUuunsAE0OunMayRBEd8g_12_2"/>
      <w:bookmarkStart w:id="1978" w:name="Tc_f9-jTX4PcU6BoupGFdzIpQ_12_0"/>
      <w:bookmarkStart w:id="1979" w:name="Tc_knk2bxcA4k-9q9aXS3rmsw_11_0"/>
      <w:bookmarkStart w:id="1980" w:name="Tc_uweyIl7EokGmfI1pg0c0QA_10_0"/>
      <w:bookmarkStart w:id="1981" w:name="Tc_XK642ofD-UyL1EGq-JVA-Q_9_0"/>
      <w:bookmarkStart w:id="1982" w:name="Tc_LgqLnG99bkyz6xGc22bRVQ_7_0"/>
      <w:bookmarkStart w:id="1983" w:name="Tc_P3104_7bMEibGyc4rrBsyw_6_0"/>
      <w:bookmarkStart w:id="1984" w:name="Tc_eWo5-ix7DEGJVYh8k2Lalw_5_0"/>
      <w:bookmarkStart w:id="1985" w:name="Tc_d22ySx6ueEG8mQ9g65oFFA_4_0"/>
      <w:bookmarkStart w:id="1986" w:name="Tc_QDkpD5fbFkS2lLU50lxTSw_3_5"/>
      <w:bookmarkStart w:id="1987" w:name="Tc_RsX2gmqKtUSc0WZ_0YaUcQ_3_2"/>
      <w:bookmarkStart w:id="1988" w:name="Tc_HeVh1JvjT0itYoCPEN5iBA_3_0"/>
      <w:bookmarkStart w:id="1989" w:name="Tc_RE1ajM9Ic0-ckjIqiyRErQ_2_5"/>
      <w:bookmarkStart w:id="1990" w:name="Tc_YpUz1hBKs0ycp77cjBdQpw_2_2"/>
      <w:bookmarkStart w:id="1991" w:name="Tc_UYrLfEK7yUyUvE6vFjka2Q_1_5"/>
      <w:bookmarkStart w:id="1992" w:name="Tc_spsFS6-H5kmBpyzTRmQu5w_1_2"/>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r>
        <w:rPr>
          <w:rFonts w:ascii="Times New Roman;Times;serif" w:hAnsi="Times New Roman;Times;serif"/>
          <w:b/>
          <w:sz w:val="20"/>
        </w:rPr>
        <w:t>7. Other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assets consist of the following:</w:t>
      </w:r>
    </w:p>
    <w:p>
      <w:pPr>
        <w:pStyle w:val="TextBody"/>
        <w:bidi w:val="0"/>
        <w:spacing w:before="0" w:after="0"/>
        <w:ind w:left="0" w:right="0" w:hanging="0"/>
        <w:jc w:val="left"/>
        <w:rPr/>
      </w:pPr>
      <w:r>
        <w:rPr/>
        <w:t>​</w:t>
      </w:r>
    </w:p>
    <w:tbl>
      <w:tblPr>
        <w:tblW w:w="7475" w:type="dxa"/>
        <w:jc w:val="left"/>
        <w:tblInd w:w="0" w:type="dxa"/>
        <w:tblLayout w:type="fixed"/>
        <w:tblCellMar>
          <w:top w:w="0" w:type="dxa"/>
          <w:left w:w="0" w:type="dxa"/>
          <w:bottom w:w="0" w:type="dxa"/>
          <w:right w:w="0" w:type="dxa"/>
        </w:tblCellMar>
      </w:tblPr>
      <w:tblGrid>
        <w:gridCol w:w="4711"/>
        <w:gridCol w:w="346"/>
        <w:gridCol w:w="211"/>
        <w:gridCol w:w="676"/>
        <w:gridCol w:w="346"/>
        <w:gridCol w:w="252"/>
        <w:gridCol w:w="933"/>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991485" cy="175260"/>
                      <wp:effectExtent l="0" t="0" r="0" b="0"/>
                      <wp:wrapNone/>
                      <wp:docPr id="424" name="Frame424"/>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29260" cy="175260"/>
                      <wp:effectExtent l="0" t="0" r="0" b="0"/>
                      <wp:wrapNone/>
                      <wp:docPr id="427" name="Frame4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60020" cy="175260"/>
                      <wp:effectExtent l="0" t="0" r="0" b="0"/>
                      <wp:wrapNone/>
                      <wp:docPr id="429" name="Frame42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92455" cy="175260"/>
                      <wp:effectExtent l="0" t="0" r="0" b="0"/>
                      <wp:wrapNone/>
                      <wp:docPr id="430" name="Frame43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11,003</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Homesite sales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37,308</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28,075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13,101</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11,847</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4,584</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3,595</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7,301</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6,897</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3,567</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3,841</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 for Senior Notes held by SPE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91,581</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73,782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Accounts receivable, net primarily include membership fees, hospitality receivables, real estate receivables, leasing receivables and other receivables. </w:t>
      </w:r>
      <w:r>
        <w:rPr>
          <w:rFonts w:ascii="inherit" w:hAnsi="inherit"/>
          <w:sz w:val="20"/>
        </w:rPr>
        <w:t>Accounts receivable, net had opening balances of $11.0</w:t>
      </w:r>
      <w:r>
        <w:rPr>
          <w:rFonts w:ascii="Times New Roman;Times;serif" w:hAnsi="Times New Roman;Times;serif"/>
          <w:sz w:val="20"/>
        </w:rPr>
        <w:t xml:space="preserve"> </w:t>
      </w:r>
      <w:r>
        <w:rPr>
          <w:rFonts w:ascii="inherit" w:hAnsi="inherit"/>
          <w:sz w:val="20"/>
        </w:rPr>
        <w:t>million and $14.6</w:t>
      </w:r>
      <w:r>
        <w:rPr>
          <w:rFonts w:ascii="Times New Roman;Times;serif" w:hAnsi="Times New Roman;Times;serif"/>
          <w:sz w:val="20"/>
        </w:rPr>
        <w:t xml:space="preserve"> </w:t>
      </w:r>
      <w:r>
        <w:rPr>
          <w:rFonts w:ascii="inherit" w:hAnsi="inherit"/>
          <w:sz w:val="20"/>
        </w:rPr>
        <w:t>million, as of January 1, 2026 and 2025, respectively. As of June</w:t>
      </w:r>
      <w:r>
        <w:rPr>
          <w:rFonts w:ascii="Times New Roman;Times;serif" w:hAnsi="Times New Roman;Times;serif"/>
          <w:sz w:val="20"/>
        </w:rPr>
        <w:t> </w:t>
      </w:r>
      <w:r>
        <w:rPr>
          <w:rFonts w:ascii="inherit" w:hAnsi="inherit"/>
          <w:sz w:val="20"/>
        </w:rPr>
        <w:t>30,</w:t>
      </w:r>
      <w:r>
        <w:rPr>
          <w:rFonts w:ascii="Times New Roman;Times;serif" w:hAnsi="Times New Roman;Times;serif"/>
          <w:sz w:val="20"/>
        </w:rPr>
        <w:t> </w:t>
      </w:r>
      <w:r>
        <w:rPr>
          <w:rFonts w:ascii="inherit" w:hAnsi="inherit"/>
          <w:sz w:val="20"/>
        </w:rPr>
        <w:t>2026 and December 31, 2025, accounts receivable, net includes $2.2</w:t>
      </w:r>
      <w:r>
        <w:rPr>
          <w:rFonts w:ascii="Times New Roman;Times;serif" w:hAnsi="Times New Roman;Times;serif"/>
          <w:sz w:val="20"/>
        </w:rPr>
        <w:t xml:space="preserve"> </w:t>
      </w:r>
      <w:r>
        <w:rPr>
          <w:rFonts w:ascii="inherit" w:hAnsi="inherit"/>
          <w:sz w:val="20"/>
        </w:rPr>
        <w:t>million and $3.6</w:t>
      </w:r>
      <w:r>
        <w:rPr>
          <w:rFonts w:ascii="Times New Roman;Times;serif" w:hAnsi="Times New Roman;Times;serif"/>
          <w:sz w:val="20"/>
        </w:rPr>
        <w:t xml:space="preserve"> </w:t>
      </w:r>
      <w:r>
        <w:rPr>
          <w:rFonts w:ascii="inherit" w:hAnsi="inherit"/>
          <w:sz w:val="20"/>
        </w:rPr>
        <w:t>million, respectively, of club membership initiation fee installments receivable. As of both June 30, 2026 and December 31, 2025, accounts receivable, net includes receivables from unconsolidated JVs of $1.0</w:t>
      </w:r>
      <w:r>
        <w:rPr>
          <w:rFonts w:ascii="Times New Roman;Times;serif" w:hAnsi="Times New Roman;Times;serif"/>
          <w:sz w:val="20"/>
        </w:rPr>
        <w:t xml:space="preserve"> </w:t>
      </w:r>
      <w:r>
        <w:rPr>
          <w:rFonts w:ascii="inherit" w:hAnsi="inherit"/>
          <w:sz w:val="20"/>
        </w:rPr>
        <w:t xml:space="preserve">million. See Note 18. </w:t>
      </w:r>
      <w:r>
        <w:rPr>
          <w:rFonts w:ascii="inherit" w:hAnsi="inherit"/>
          <w:i/>
          <w:sz w:val="20"/>
        </w:rPr>
        <w:t>Related Party Transactions</w:t>
      </w:r>
      <w:r>
        <w:rPr>
          <w:rFonts w:ascii="Times New Roman;Times;serif" w:hAnsi="Times New Roman;Times;serif"/>
          <w:sz w:val="20"/>
        </w:rPr>
        <w:t xml:space="preserve"> </w:t>
      </w:r>
      <w:r>
        <w:rPr>
          <w:rFonts w:ascii="inherit" w:hAnsi="inherit"/>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each reporting period, accounts receivable in the scope of Accounting Standards Codification (“ASC”) Topic 326, </w:t>
      </w:r>
      <w:r>
        <w:rPr>
          <w:rFonts w:ascii="Times New Roman;Times;serif" w:hAnsi="Times New Roman;Times;serif"/>
          <w:i/>
          <w:sz w:val="20"/>
        </w:rPr>
        <w:t xml:space="preserve">Financial Instruments—Credit Losses </w:t>
      </w:r>
      <w:r>
        <w:rPr>
          <w:rFonts w:ascii="Times New Roman;Times;serif" w:hAnsi="Times New Roman;Times;serif"/>
          <w:sz w:val="20"/>
        </w:rPr>
        <w:t>(“Topic 326”) are pooled by type and judgements are made based on historical losses and expected credit losses based on economic trends to determine the allowance for credit losses primarily using the aging method. Actual losses could differ from those estimates. Write-offs are recorded when the Company concludes that all or a portion of the receivable is no longer collectible</w:t>
      </w:r>
      <w:r>
        <w:rPr>
          <w:rFonts w:ascii="inherit" w:hAnsi="inherit"/>
          <w:sz w:val="20"/>
        </w:rPr>
        <w:t xml:space="preserve">. </w:t>
      </w:r>
      <w:r>
        <w:rPr>
          <w:rFonts w:ascii="Times New Roman;Times;serif" w:hAnsi="Times New Roman;Times;serif"/>
          <w:sz w:val="20"/>
        </w:rPr>
        <w:t>As of June 30, 2026 and December 31, 2025, accounts receivable, net were presented net of allowance for credit losses and net of allowance for lease related receivables of $0.7 million and $0.5 million, respectively. During the six months ended June 30, 2026 and 2025, allowance for credit losses and allowance for leases related to accounts receivable, net increased $0.1 million and less than $0.1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993" w:name="Tc_NFDyus102EuCatKWsbrG1A_6_5"/>
      <w:bookmarkStart w:id="1994" w:name="Tc_mQTzItQ-g0K_SOC0-0g1ZA_6_2"/>
      <w:bookmarkStart w:id="1995" w:name="Tc_kb1t10HPUkerexO9CFVXdw_6_0"/>
      <w:bookmarkStart w:id="1996" w:name="Tc_735yJ9aGek-E6E0v98R-lw_5_0"/>
      <w:bookmarkStart w:id="1997" w:name="Tc_TNVdam8UWkyL8xcILm00_A_4_0"/>
      <w:bookmarkStart w:id="1998" w:name="Tc_fLrDqVe9xk2jboZjNivnsg_3_5"/>
      <w:bookmarkStart w:id="1999" w:name="Tc_zVf14Inkg0SjVUJ5g7CIPg_3_2"/>
      <w:bookmarkStart w:id="2000" w:name="Tc_ot8EpEkxZESscDkCTb87Dw_3_0"/>
      <w:bookmarkStart w:id="2001" w:name="Tc_CDMx5yfsT0WE6ropD6X_pg_2_5"/>
      <w:bookmarkStart w:id="2002" w:name="Tc_kcQPKJa7Tk-rbY0ufM95sQ_2_2"/>
      <w:bookmarkStart w:id="2003" w:name="Tc_6upnbiJatECEWy7E5sXJwQ_1_5"/>
      <w:bookmarkStart w:id="2004" w:name="Tc_dOAC4v3n-UaBWhu-qfhAJg_1_2"/>
      <w:bookmarkStart w:id="2005" w:name="_99653f97_e9a9_4e0a_a801_df07c7ca1ecb"/>
      <w:bookmarkEnd w:id="1993"/>
      <w:bookmarkEnd w:id="1994"/>
      <w:bookmarkEnd w:id="1995"/>
      <w:bookmarkEnd w:id="1996"/>
      <w:bookmarkEnd w:id="1997"/>
      <w:bookmarkEnd w:id="1998"/>
      <w:bookmarkEnd w:id="1999"/>
      <w:bookmarkEnd w:id="2000"/>
      <w:bookmarkEnd w:id="2001"/>
      <w:bookmarkEnd w:id="2002"/>
      <w:bookmarkEnd w:id="2003"/>
      <w:bookmarkEnd w:id="2004"/>
      <w:bookmarkEnd w:id="2005"/>
      <w:r>
        <w:rPr>
          <w:rFonts w:ascii="Times New Roman;Times;serif" w:hAnsi="Times New Roman;Times;serif"/>
          <w:b/>
          <w:i/>
          <w:sz w:val="20"/>
        </w:rPr>
        <w:t>Homesite Sales Receivable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Homesite sales receivable from contracts with customers include estimated homesite residuals and certain estimated fees that are recognized as revenue at the time of sale to homebuilders, subject to constraints. Estimated homesite residuals and certain estimated fees recognized as revenue may vary significantly from period to period due to the mix and number of homesites sold in specific communities during each period. Any change in circumstances from the estimated amounts will be updated at each reporting period. The receivable will be collected as the homebuilders build the homes and sell to retail consumers, which can occur over multiple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changes in homesite sales receivable:</w:t>
      </w:r>
    </w:p>
    <w:p>
      <w:pPr>
        <w:pStyle w:val="TextBody"/>
        <w:bidi w:val="0"/>
        <w:spacing w:before="0" w:after="0"/>
        <w:ind w:left="0" w:right="0" w:hanging="0"/>
        <w:jc w:val="left"/>
        <w:rPr/>
      </w:pPr>
      <w:r>
        <w:rPr/>
        <w:t>​</w:t>
      </w:r>
    </w:p>
    <w:tbl>
      <w:tblPr>
        <w:tblW w:w="6673" w:type="dxa"/>
        <w:jc w:val="left"/>
        <w:tblInd w:w="0" w:type="dxa"/>
        <w:tblLayout w:type="fixed"/>
        <w:tblCellMar>
          <w:top w:w="0" w:type="dxa"/>
          <w:left w:w="0" w:type="dxa"/>
          <w:bottom w:w="0" w:type="dxa"/>
          <w:right w:w="0" w:type="dxa"/>
        </w:tblCellMar>
      </w:tblPr>
      <w:tblGrid>
        <w:gridCol w:w="4561"/>
        <w:gridCol w:w="109"/>
        <w:gridCol w:w="211"/>
        <w:gridCol w:w="691"/>
        <w:gridCol w:w="109"/>
        <w:gridCol w:w="211"/>
        <w:gridCol w:w="78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896235" cy="175260"/>
                      <wp:effectExtent l="0" t="0" r="0" b="0"/>
                      <wp:wrapNone/>
                      <wp:docPr id="431" name="Frame431"/>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9215" cy="175260"/>
                      <wp:effectExtent l="0" t="0" r="0" b="0"/>
                      <wp:wrapNone/>
                      <wp:docPr id="432" name="Frame4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3"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38785" cy="175260"/>
                      <wp:effectExtent l="0" t="0" r="0" b="0"/>
                      <wp:wrapNone/>
                      <wp:docPr id="434" name="Frame4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9215" cy="175260"/>
                      <wp:effectExtent l="0" t="0" r="0" b="0"/>
                      <wp:wrapNone/>
                      <wp:docPr id="435" name="Frame4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95935" cy="175260"/>
                      <wp:effectExtent l="0" t="0" r="0" b="0"/>
                      <wp:wrapNone/>
                      <wp:docPr id="437" name="Frame4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25,788</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due to revenue recognized for homesites sold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due to amounts received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(4,604)</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24,562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Prepaid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Prepaid expenses as of June 30, 2026 and December 31, 2025, include commercial leasing related prepaid expenses of $3.4 million and $4.0 million, respectively, and prepaid insurance of $6.8 million and $4.1 million, respectively, as well as other prepaid items.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Restricted cash as of June 30, 2026 and December 31, 2025, includes cash and escrow deposits primarily related to requirements for financing, development for certain of the Company’s projects or long-term mitigation bank management.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assets as of June 30, 2026 and December 31, 2025, include $0.9 million and $1.1 million, respectively, for the fair value of derivative assets.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06" w:name="Tc_ojzwZc55AU6qji7smdZG2w_23_12"/>
      <w:bookmarkStart w:id="2007" w:name="Tc_98kymfQRbE-tK8mvSLKjLg_23_9"/>
      <w:bookmarkStart w:id="2008" w:name="Tc_QrXz5q-kJUK2R7GqHx_1kg_23_0"/>
      <w:bookmarkStart w:id="2009" w:name="Tc_JrO_KNCnDk2qTPZOLCD_Eg_22_0"/>
      <w:bookmarkStart w:id="2010" w:name="Tc_fmIwsI2gek6aWddWAE9IUg_21_0"/>
      <w:bookmarkStart w:id="2011" w:name="Tc_Ie66Ur6JV0Sefxo6aVfTnA_20_10"/>
      <w:bookmarkStart w:id="2012" w:name="Tc_ioC1K17ULE-iyEucfJX4lw_20_6"/>
      <w:bookmarkStart w:id="2013" w:name="Tc_EvzjUfyrG0WpDpR-0EYOWg_20_4"/>
      <w:bookmarkStart w:id="2014" w:name="Tc_8i9U2cPhHkulqbW8cyd4TA_20_2"/>
      <w:bookmarkStart w:id="2015" w:name="Tc_vdySx1tc-kGvpXZdEfyoJA_20_0"/>
      <w:bookmarkStart w:id="2016" w:name="Tc_NJSem7mmi06zYzSkLvAcwg_19_10"/>
      <w:bookmarkStart w:id="2017" w:name="Tc_JNN9O3OTREa655bn3ho1mA_19_6"/>
      <w:bookmarkStart w:id="2018" w:name="Tc_uOcfajn2qEafHzazI74cXw_19_4"/>
      <w:bookmarkStart w:id="2019" w:name="Tc_fhnShdVzekyowaQ3yJXFcg_19_2"/>
      <w:bookmarkStart w:id="2020" w:name="Tc_s4-J0TjwOUKXz5YrGo9rtA_19_0"/>
      <w:bookmarkStart w:id="2021" w:name="Tc_-bE21xnLxUqZ44vmtqlhGw_18_10"/>
      <w:bookmarkStart w:id="2022" w:name="Tc_Vf2Sok5V3EOCJKJlXXZDFg_18_6"/>
      <w:bookmarkStart w:id="2023" w:name="Tc_SgGttPeehEmWAt7Nspa9ug_18_4"/>
      <w:bookmarkStart w:id="2024" w:name="Tc_yuwxqUS_nEqckXHUAuAGBw_18_2"/>
      <w:bookmarkStart w:id="2025" w:name="Tc_ICXsxP9fXkOeyma9ScNqTw_18_0"/>
      <w:bookmarkStart w:id="2026" w:name="Tc_0cfbrFv1j0G94f3YJP8haA_17_7"/>
      <w:bookmarkStart w:id="2027" w:name="Tc_obNnOML_NEK5PpjPV9L1uQ_17_6"/>
      <w:bookmarkStart w:id="2028" w:name="Tc_0ze66QzPk0OqUik6AdlS-w_17_4"/>
      <w:bookmarkStart w:id="2029" w:name="Tc_t_a8845mTkK3nHW9hRf9JQ_17_2"/>
      <w:bookmarkStart w:id="2030" w:name="Tc_3QrEtKK8rE2ECQxmHRkFBQ_17_0"/>
      <w:bookmarkStart w:id="2031" w:name="Tc_Ck-Tf2O13k6BrzxRNz3-Jg_16_7"/>
      <w:bookmarkStart w:id="2032" w:name="Tc_PT5M9h_BpkaokuY4fcgVpQ_16_4"/>
      <w:bookmarkStart w:id="2033" w:name="Tc_VtOAXnrbKUODvJHSYKkCEA_16_2"/>
      <w:bookmarkStart w:id="2034" w:name="Tc_-TY9RL6l1UeASBcaxExX1A_16_0"/>
      <w:bookmarkStart w:id="2035" w:name="Tc_zq4x8xbNqU-dU0jhil1uuQ_15_7"/>
      <w:bookmarkStart w:id="2036" w:name="Tc_gDf3mzyGY02tAAitmzH-Yg_15_4"/>
      <w:bookmarkStart w:id="2037" w:name="Tc_m6bKIZbc8kKcQN_9J7EiIw_15_2"/>
      <w:bookmarkStart w:id="2038" w:name="Tc_rohAXMKqrUKzYS2ejY3sTg_15_0"/>
      <w:bookmarkStart w:id="2039" w:name="Tc_KHUur5BmkkuEyd76SxqqpA_14_7"/>
      <w:bookmarkStart w:id="2040" w:name="Tc_m0DAWsHIz0-Qn02b5Jvf1w_14_4"/>
      <w:bookmarkStart w:id="2041" w:name="Tc_KHyiSttboUKbemNR_XIoog_14_2"/>
      <w:bookmarkStart w:id="2042" w:name="Tc_fmE8ji3Yg02moWHXZwMW9A_14_0"/>
      <w:bookmarkStart w:id="2043" w:name="Tc_TVxtrrHIp02S_H-7B6jF_A_13_7"/>
      <w:bookmarkStart w:id="2044" w:name="Tc_2vPRGZ-pSUOmFdgyunmWrw_13_4"/>
      <w:bookmarkStart w:id="2045" w:name="Tc_5bKupU8ugEyovWug4e7C0Q_13_2"/>
      <w:bookmarkStart w:id="2046" w:name="Tc_iV72RGnpl0CynvFYPh74OA_13_0"/>
      <w:bookmarkStart w:id="2047" w:name="Tc_jz4Vf3IuB0q1LLF0llvM8Q_12_7"/>
      <w:bookmarkStart w:id="2048" w:name="Tc_c9RpQ8UCmkWHA4OBCcUuNQ_12_4"/>
      <w:bookmarkStart w:id="2049" w:name="Tc_VdZ7N83SSkqEVX4DF7G-sA_12_2"/>
      <w:bookmarkStart w:id="2050" w:name="Tc_hL17kWIIg0yqGqhUGI7P_A_12_0"/>
      <w:bookmarkStart w:id="2051" w:name="Tc_GtwsmwKPpEi__Z1_HumGiA_11_7"/>
      <w:bookmarkStart w:id="2052" w:name="Tc_LyTFJ-yeKku0OGcv4l8mVw_11_4"/>
      <w:bookmarkStart w:id="2053" w:name="Tc_TJrFdz11DUe9rzxjvj8xmQ_11_2"/>
      <w:bookmarkStart w:id="2054" w:name="Tc_tWAkNB-5-EyDsU-VqOqPSQ_11_0"/>
      <w:bookmarkStart w:id="2055" w:name="Tc_RWIxtCLbBkqknCPH-HfMQQ_10_7"/>
      <w:bookmarkStart w:id="2056" w:name="Tc_BwWWT9num0OLKMMf8A6V3A_10_4"/>
      <w:bookmarkStart w:id="2057" w:name="Tc_nuXoaWn3RkWO98BzLWXfUA_10_2"/>
      <w:bookmarkStart w:id="2058" w:name="Tc_17icjuBmp0aq-piCo-opQQ_10_0"/>
      <w:bookmarkStart w:id="2059" w:name="Tc_GT_p5BLsXEqcFOVIz4DFHA_9_7"/>
      <w:bookmarkStart w:id="2060" w:name="Tc_Rd4-qHCeoUiHt30B441llA_9_4"/>
      <w:bookmarkStart w:id="2061" w:name="Tc_awhGyKX7IUWJaue4n4Ax1Q_9_2"/>
      <w:bookmarkStart w:id="2062" w:name="Tc_M2nyGn7MR029g8UTbx4KjA_9_0"/>
      <w:bookmarkStart w:id="2063" w:name="Tc_0vRssvlVZUmoN3gfF7ZmpA_8_7"/>
      <w:bookmarkStart w:id="2064" w:name="Tc_XFeGsggkxEKeQ50xNka_ow_8_4"/>
      <w:bookmarkStart w:id="2065" w:name="Tc_xLbwR7ZzGESAWLKD-5BWlg_8_2"/>
      <w:bookmarkStart w:id="2066" w:name="Tc_0h3hncmluEWOeaMFRrnOCg_8_0"/>
      <w:bookmarkStart w:id="2067" w:name="Tc_KXMoMIuTaUehCCtfwskdkw_7_7"/>
      <w:bookmarkStart w:id="2068" w:name="Tc_D5GlJ6oL8E6Ncd1R1rOnHA_7_4"/>
      <w:bookmarkStart w:id="2069" w:name="Tc_mBO3kAjn2EGDzfFNetujNw_7_2"/>
      <w:bookmarkStart w:id="2070" w:name="Tc_0MduFU2yq0-JcHydK1UCmg_7_0"/>
      <w:bookmarkStart w:id="2071" w:name="Tc_mf-25WE07E6jGv9qhvWOnA_6_7"/>
      <w:bookmarkStart w:id="2072" w:name="Tc_IaUxH1oGb0CjzFmkjJ67jQ_6_4"/>
      <w:bookmarkStart w:id="2073" w:name="Tc_WpZYeC1lO02adc4Hg-z5Ng_6_2"/>
      <w:bookmarkStart w:id="2074" w:name="Tc_5759kAcp4kyaYUYzvzEYjw_6_0"/>
      <w:bookmarkStart w:id="2075" w:name="Tc_JSxcxwj3D0KGsunmEwmUww_5_7"/>
      <w:bookmarkStart w:id="2076" w:name="Tc_bL-gYxJuR0qKhnAKrjU5uQ_5_4"/>
      <w:bookmarkStart w:id="2077" w:name="Tc_UuoQDEZ-Qk-B31eyvBOs2g_5_2"/>
      <w:bookmarkStart w:id="2078" w:name="Tc_wxmfC8ocB0msYnojBdtf2A_5_0"/>
      <w:bookmarkStart w:id="2079" w:name="Tc_2V7pK499FU-MDXNHDS5UGw_4_12"/>
      <w:bookmarkStart w:id="2080" w:name="Tc_Gc5WZ6MixkaUsqVVBpnVAQ_4_9"/>
      <w:bookmarkStart w:id="2081" w:name="Tc_YkcOk4Bcc0ma2SNv_l-DGg_4_7"/>
      <w:bookmarkStart w:id="2082" w:name="Tc_GvAHuUiYZkWOIonai2oi0g_4_4"/>
      <w:bookmarkStart w:id="2083" w:name="Tc_6xpYiGQzfEi69Pp2YigVPQ_4_2"/>
      <w:bookmarkStart w:id="2084" w:name="Tc_9-d92ttZ80OEnQOE8363Tw_4_0"/>
      <w:bookmarkStart w:id="2085" w:name="Tc_LGpdM3COb0qvz-d8rngA7A_3_12"/>
      <w:bookmarkStart w:id="2086" w:name="Tc_KR6DVtGNXEKJHIFtUOm62Q_3_9"/>
      <w:bookmarkStart w:id="2087" w:name="Tc_rYgawaDwy0CTDQ64bkRMCA_3_6"/>
      <w:bookmarkStart w:id="2088" w:name="Tc_axel1EI2x0yP5kfkpnDyaA_3_4"/>
      <w:bookmarkStart w:id="2089" w:name="Tc_88iAZp9n8EGSDZbBjW7NBA_3_2"/>
      <w:bookmarkStart w:id="2090" w:name="Tc_adN6yKCKAkyWm7cBtvtytg_2_12"/>
      <w:bookmarkStart w:id="2091" w:name="Tc_-3n9N7lMLUujMQeCSxNDgQ_2_9"/>
      <w:bookmarkStart w:id="2092" w:name="Tc_n4Vzvr1cdkSAYegcASJvMg_2_6"/>
      <w:bookmarkStart w:id="2093" w:name="Tc_PZR0a7BJuEGEHgAJnNy95A_1_6"/>
      <w:bookmarkStart w:id="2094" w:name="_976cd18f_31bd_4ba0_8809_bdeb86425476"/>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r>
        <w:rPr>
          <w:rFonts w:ascii="Times New Roman;Times;serif" w:hAnsi="Times New Roman;Times;serif"/>
          <w:b/>
          <w:sz w:val="20"/>
        </w:rPr>
        <w:t>8. Debt,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Debt consists of the following: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56"/>
        <w:gridCol w:w="109"/>
        <w:gridCol w:w="1423"/>
        <w:gridCol w:w="109"/>
        <w:gridCol w:w="1697"/>
        <w:gridCol w:w="109"/>
        <w:gridCol w:w="759"/>
        <w:gridCol w:w="274"/>
        <w:gridCol w:w="109"/>
        <w:gridCol w:w="196"/>
        <w:gridCol w:w="691"/>
        <w:gridCol w:w="109"/>
        <w:gridCol w:w="228"/>
        <w:gridCol w:w="936"/>
      </w:tblGrid>
      <w:tr>
        <w:trPr/>
        <w:tc>
          <w:tcPr>
            <w:tcW w:w="3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4560" cy="175260"/>
                      <wp:effectExtent l="0" t="0" r="0" b="0"/>
                      <wp:wrapNone/>
                      <wp:docPr id="438" name="Frame438"/>
                      <a:graphic xmlns:a="http://schemas.openxmlformats.org/drawingml/2006/main">
                        <a:graphicData uri="http://schemas.microsoft.com/office/word/2010/wordprocessingShape">
                          <wps:wsp>
                            <wps:cNvSpPr txBox="1"/>
                            <wps:spPr>
                              <a:xfrm>
                                <a:off x="0" y="0"/>
                                <a:ext cx="219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9215" cy="175260"/>
                      <wp:effectExtent l="0" t="0" r="0" b="0"/>
                      <wp:wrapNone/>
                      <wp:docPr id="439" name="Frame4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903605" cy="175260"/>
                      <wp:effectExtent l="0" t="0" r="0" b="0"/>
                      <wp:wrapNone/>
                      <wp:docPr id="440" name="Frame440"/>
                      <a:graphic xmlns:a="http://schemas.openxmlformats.org/drawingml/2006/main">
                        <a:graphicData uri="http://schemas.microsoft.com/office/word/2010/wordprocessingShape">
                          <wps:wsp>
                            <wps:cNvSpPr txBox="1"/>
                            <wps:spPr>
                              <a:xfrm>
                                <a:off x="0" y="0"/>
                                <a:ext cx="903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9215" cy="175260"/>
                      <wp:effectExtent l="0" t="0" r="0" b="0"/>
                      <wp:wrapNone/>
                      <wp:docPr id="441" name="Frame4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077595" cy="175260"/>
                      <wp:effectExtent l="0" t="0" r="0" b="0"/>
                      <wp:wrapNone/>
                      <wp:docPr id="442" name="Frame442"/>
                      <a:graphic xmlns:a="http://schemas.openxmlformats.org/drawingml/2006/main">
                        <a:graphicData uri="http://schemas.microsoft.com/office/word/2010/wordprocessingShape">
                          <wps:wsp>
                            <wps:cNvSpPr txBox="1"/>
                            <wps:spPr>
                              <a:xfrm>
                                <a:off x="0" y="0"/>
                                <a:ext cx="1077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9215" cy="175260"/>
                      <wp:effectExtent l="0" t="0" r="0" b="0"/>
                      <wp:wrapNone/>
                      <wp:docPr id="443" name="Frame4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81965" cy="175260"/>
                      <wp:effectExtent l="0" t="0" r="0" b="0"/>
                      <wp:wrapNone/>
                      <wp:docPr id="444" name="Frame444"/>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73990" cy="175260"/>
                      <wp:effectExtent l="0" t="0" r="0" b="0"/>
                      <wp:wrapNone/>
                      <wp:docPr id="445" name="Frame44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9215" cy="175260"/>
                      <wp:effectExtent l="0" t="0" r="0" b="0"/>
                      <wp:wrapNone/>
                      <wp:docPr id="446" name="Frame4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24460" cy="175260"/>
                      <wp:effectExtent l="0" t="0" r="0" b="0"/>
                      <wp:wrapNone/>
                      <wp:docPr id="447" name="Frame4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38785" cy="175260"/>
                      <wp:effectExtent l="0" t="0" r="0" b="0"/>
                      <wp:wrapNone/>
                      <wp:docPr id="448" name="Frame4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9215" cy="175260"/>
                      <wp:effectExtent l="0" t="0" r="0" b="0"/>
                      <wp:wrapNone/>
                      <wp:docPr id="449" name="Frame4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44780" cy="175260"/>
                      <wp:effectExtent l="0" t="0" r="0" b="0"/>
                      <wp:wrapNone/>
                      <wp:docPr id="450" name="Frame45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94360" cy="175260"/>
                      <wp:effectExtent l="0" t="0" r="0" b="0"/>
                      <wp:wrapNone/>
                      <wp:docPr id="451" name="Frame451"/>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 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64" w:type="dxa"/>
            <w:gridSpan w:val="2"/>
            <w:tcBorders/>
            <w:vAlign w:val="center"/>
          </w:tcPr>
          <w:p>
            <w:pPr>
              <w:pStyle w:val="TableContents"/>
              <w:bidi w:val="0"/>
              <w:spacing w:before="0" w:after="0"/>
              <w:ind w:left="0" w:right="0" w:hanging="0"/>
              <w:jc w:val="center"/>
              <w:rPr/>
            </w:pPr>
            <w:r>
              <w:rPr/>
              <w:t>​</w:t>
            </w:r>
          </w:p>
        </w:tc>
      </w:tr>
      <w:tr>
        <w:trPr/>
        <w:tc>
          <w:tcPr>
            <w:tcW w:w="3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1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109" w:type="dxa"/>
            <w:tcBorders/>
            <w:vAlign w:val="center"/>
          </w:tcPr>
          <w:p>
            <w:pPr>
              <w:pStyle w:val="TableContents"/>
              <w:bidi w:val="0"/>
              <w:spacing w:before="0" w:after="0"/>
              <w:ind w:left="0" w:right="0" w:hanging="0"/>
              <w:jc w:val="left"/>
              <w:rPr/>
            </w:pPr>
            <w:r>
              <w:rPr/>
              <w:t>​</w:t>
            </w:r>
          </w:p>
        </w:tc>
        <w:tc>
          <w:tcPr>
            <w:tcW w:w="16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Terms</w:t>
            </w:r>
          </w:p>
        </w:tc>
        <w:tc>
          <w:tcPr>
            <w:tcW w:w="109" w:type="dxa"/>
            <w:tcBorders/>
            <w:vAlign w:val="center"/>
          </w:tcPr>
          <w:p>
            <w:pPr>
              <w:pStyle w:val="TableContents"/>
              <w:bidi w:val="0"/>
              <w:spacing w:before="0" w:after="0"/>
              <w:ind w:left="0" w:right="0" w:hanging="0"/>
              <w:jc w:val="center"/>
              <w:rPr/>
            </w:pPr>
            <w:r>
              <w:rPr/>
              <w:t>​</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Watersound Origins Crossings JV Loan (insured by HUD)</w:t>
            </w:r>
          </w:p>
        </w:tc>
        <w:tc>
          <w:tcPr>
            <w:tcW w:w="109" w:type="dxa"/>
            <w:tcBorders/>
            <w:shd w:fill="CCEEFF" w:val="clear"/>
            <w:vAlign w:val="center"/>
          </w:tcPr>
          <w:p>
            <w:pPr>
              <w:pStyle w:val="TableContents"/>
              <w:bidi w:val="0"/>
              <w:spacing w:before="0" w:after="0"/>
              <w:ind w:left="0" w:right="0" w:hanging="0"/>
              <w:jc w:val="left"/>
              <w:rPr/>
            </w:pPr>
            <w:r>
              <w:rPr/>
              <w:t>​</w:t>
            </w:r>
          </w:p>
        </w:tc>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April 2058</w:t>
            </w:r>
          </w:p>
        </w:tc>
        <w:tc>
          <w:tcPr>
            <w:tcW w:w="109" w:type="dxa"/>
            <w:tcBorders/>
            <w:shd w:fill="CCEEFF" w:val="clear"/>
            <w:vAlign w:val="center"/>
          </w:tcPr>
          <w:p>
            <w:pPr>
              <w:pStyle w:val="TableContents"/>
              <w:bidi w:val="0"/>
              <w:spacing w:before="0" w:after="0"/>
              <w:ind w:left="0" w:right="0" w:hanging="0"/>
              <w:jc w:val="left"/>
              <w:rPr/>
            </w:pPr>
            <w:r>
              <w:rPr/>
              <w:t>​</w:t>
            </w:r>
          </w:p>
        </w:tc>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51,005</w:t>
            </w:r>
          </w:p>
        </w:tc>
        <w:tc>
          <w:tcPr>
            <w:tcW w:w="109"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51,328</w:t>
            </w:r>
          </w:p>
        </w:tc>
      </w:tr>
      <w:tr>
        <w:trPr/>
        <w:tc>
          <w:tcPr>
            <w:tcW w:w="3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Pier Park Resort Hotel JV Loan</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April 2027</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SOFR plus 2.1%</w:t>
            </w:r>
            <w:r>
              <w:rPr>
                <w:rFonts w:ascii="Times New Roman;Times;serif" w:hAnsi="Times New Roman;Times;serif"/>
                <w:sz w:val="16"/>
              </w:rPr>
              <w:t xml:space="preserve"> </w:t>
            </w:r>
            <w:r>
              <w:rPr>
                <w:rFonts w:ascii="Times New Roman;Times;serif" w:hAnsi="Times New Roman;Times;serif"/>
                <w:sz w:val="13"/>
              </w:rPr>
              <w:t>(a)</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49,261</w:t>
            </w:r>
          </w:p>
        </w:tc>
        <w:tc>
          <w:tcPr>
            <w:tcW w:w="109"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49,817</w:t>
            </w:r>
          </w:p>
        </w:tc>
      </w:tr>
      <w:tr>
        <w:trPr/>
        <w:tc>
          <w:tcPr>
            <w:tcW w:w="3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 Beach Crossings JV Loan (insured by HUD)</w:t>
            </w:r>
          </w:p>
        </w:tc>
        <w:tc>
          <w:tcPr>
            <w:tcW w:w="109" w:type="dxa"/>
            <w:tcBorders/>
            <w:shd w:fill="CCEEFF" w:val="clear"/>
            <w:vAlign w:val="center"/>
          </w:tcPr>
          <w:p>
            <w:pPr>
              <w:pStyle w:val="TableContents"/>
              <w:bidi w:val="0"/>
              <w:spacing w:before="0" w:after="0"/>
              <w:ind w:left="0" w:right="0" w:hanging="0"/>
              <w:jc w:val="left"/>
              <w:rPr/>
            </w:pPr>
            <w:r>
              <w:rPr/>
              <w:t>​</w:t>
            </w:r>
          </w:p>
        </w:tc>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2064</w:t>
            </w:r>
          </w:p>
        </w:tc>
        <w:tc>
          <w:tcPr>
            <w:tcW w:w="109" w:type="dxa"/>
            <w:tcBorders/>
            <w:shd w:fill="CCEEFF" w:val="clear"/>
            <w:vAlign w:val="center"/>
          </w:tcPr>
          <w:p>
            <w:pPr>
              <w:pStyle w:val="TableContents"/>
              <w:bidi w:val="0"/>
              <w:spacing w:before="0" w:after="0"/>
              <w:ind w:left="0" w:right="0" w:hanging="0"/>
              <w:jc w:val="left"/>
              <w:rPr/>
            </w:pPr>
            <w:r>
              <w:rPr/>
              <w:t>​</w:t>
            </w:r>
          </w:p>
        </w:tc>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42,209</w:t>
            </w:r>
          </w:p>
        </w:tc>
        <w:tc>
          <w:tcPr>
            <w:tcW w:w="109"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42,510</w:t>
            </w:r>
          </w:p>
        </w:tc>
      </w:tr>
      <w:tr>
        <w:trPr/>
        <w:tc>
          <w:tcPr>
            <w:tcW w:w="3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PPN JV Loan</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October 2035</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39,683</w:t>
            </w:r>
          </w:p>
        </w:tc>
        <w:tc>
          <w:tcPr>
            <w:tcW w:w="109"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39,922</w:t>
            </w:r>
          </w:p>
        </w:tc>
      </w:tr>
      <w:tr>
        <w:trPr/>
        <w:tc>
          <w:tcPr>
            <w:tcW w:w="3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PPC JV Loan (insured by HUD)</w:t>
            </w:r>
          </w:p>
        </w:tc>
        <w:tc>
          <w:tcPr>
            <w:tcW w:w="109" w:type="dxa"/>
            <w:tcBorders/>
            <w:shd w:fill="CCEEFF" w:val="clear"/>
            <w:vAlign w:val="center"/>
          </w:tcPr>
          <w:p>
            <w:pPr>
              <w:pStyle w:val="TableContents"/>
              <w:bidi w:val="0"/>
              <w:spacing w:before="0" w:after="0"/>
              <w:ind w:left="0" w:right="0" w:hanging="0"/>
              <w:jc w:val="left"/>
              <w:rPr/>
            </w:pPr>
            <w:r>
              <w:rPr/>
              <w:t>​</w:t>
            </w:r>
          </w:p>
        </w:tc>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2060</w:t>
            </w:r>
          </w:p>
        </w:tc>
        <w:tc>
          <w:tcPr>
            <w:tcW w:w="109" w:type="dxa"/>
            <w:tcBorders/>
            <w:shd w:fill="CCEEFF" w:val="clear"/>
            <w:vAlign w:val="center"/>
          </w:tcPr>
          <w:p>
            <w:pPr>
              <w:pStyle w:val="TableContents"/>
              <w:bidi w:val="0"/>
              <w:spacing w:before="0" w:after="0"/>
              <w:ind w:left="0" w:right="0" w:hanging="0"/>
              <w:jc w:val="left"/>
              <w:rPr/>
            </w:pPr>
            <w:r>
              <w:rPr/>
              <w:t>​</w:t>
            </w:r>
          </w:p>
        </w:tc>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33,341</w:t>
            </w:r>
          </w:p>
        </w:tc>
        <w:tc>
          <w:tcPr>
            <w:tcW w:w="109"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33,616</w:t>
            </w:r>
          </w:p>
        </w:tc>
      </w:tr>
      <w:tr>
        <w:trPr/>
        <w:tc>
          <w:tcPr>
            <w:tcW w:w="3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Pearl Hotel Loan</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2032</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31,320</w:t>
            </w:r>
          </w:p>
        </w:tc>
        <w:tc>
          <w:tcPr>
            <w:tcW w:w="109"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32,560</w:t>
            </w:r>
          </w:p>
        </w:tc>
      </w:tr>
      <w:tr>
        <w:trPr/>
        <w:tc>
          <w:tcPr>
            <w:tcW w:w="3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Bay Landing Loan (insured by HUD)</w:t>
            </w:r>
          </w:p>
        </w:tc>
        <w:tc>
          <w:tcPr>
            <w:tcW w:w="109" w:type="dxa"/>
            <w:tcBorders/>
            <w:shd w:fill="CCEEFF" w:val="clear"/>
            <w:vAlign w:val="center"/>
          </w:tcPr>
          <w:p>
            <w:pPr>
              <w:pStyle w:val="TableContents"/>
              <w:bidi w:val="0"/>
              <w:spacing w:before="0" w:after="0"/>
              <w:ind w:left="0" w:right="0" w:hanging="0"/>
              <w:jc w:val="left"/>
              <w:rPr/>
            </w:pPr>
            <w:r>
              <w:rPr/>
              <w:t>​</w:t>
            </w:r>
          </w:p>
        </w:tc>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2060</w:t>
            </w:r>
          </w:p>
        </w:tc>
        <w:tc>
          <w:tcPr>
            <w:tcW w:w="109" w:type="dxa"/>
            <w:tcBorders/>
            <w:shd w:fill="CCEEFF" w:val="clear"/>
            <w:vAlign w:val="center"/>
          </w:tcPr>
          <w:p>
            <w:pPr>
              <w:pStyle w:val="TableContents"/>
              <w:bidi w:val="0"/>
              <w:spacing w:before="0" w:after="0"/>
              <w:ind w:left="0" w:right="0" w:hanging="0"/>
              <w:jc w:val="left"/>
              <w:rPr/>
            </w:pPr>
            <w:r>
              <w:rPr/>
              <w:t>​</w:t>
            </w:r>
          </w:p>
        </w:tc>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27,493</w:t>
            </w:r>
          </w:p>
        </w:tc>
        <w:tc>
          <w:tcPr>
            <w:tcW w:w="109"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27,619</w:t>
            </w:r>
          </w:p>
        </w:tc>
      </w:tr>
      <w:tr>
        <w:trPr/>
        <w:tc>
          <w:tcPr>
            <w:tcW w:w="3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Watersound Camp Creek Loan</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2047</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SOFR plus 2.1%, floor 2.6%</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26,538</w:t>
            </w:r>
          </w:p>
        </w:tc>
        <w:tc>
          <w:tcPr>
            <w:tcW w:w="109"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26,843</w:t>
            </w:r>
          </w:p>
        </w:tc>
      </w:tr>
      <w:tr>
        <w:trPr/>
        <w:tc>
          <w:tcPr>
            <w:tcW w:w="3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PPC II JV Loan (insured by HUD)</w:t>
            </w:r>
          </w:p>
        </w:tc>
        <w:tc>
          <w:tcPr>
            <w:tcW w:w="109" w:type="dxa"/>
            <w:tcBorders/>
            <w:shd w:fill="CCEEFF" w:val="clear"/>
            <w:vAlign w:val="center"/>
          </w:tcPr>
          <w:p>
            <w:pPr>
              <w:pStyle w:val="TableContents"/>
              <w:bidi w:val="0"/>
              <w:spacing w:before="0" w:after="0"/>
              <w:ind w:left="0" w:right="0" w:hanging="0"/>
              <w:jc w:val="left"/>
              <w:rPr/>
            </w:pPr>
            <w:r>
              <w:rPr/>
              <w:t>​</w:t>
            </w:r>
          </w:p>
        </w:tc>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May 2057</w:t>
            </w:r>
          </w:p>
        </w:tc>
        <w:tc>
          <w:tcPr>
            <w:tcW w:w="109" w:type="dxa"/>
            <w:tcBorders/>
            <w:shd w:fill="CCEEFF" w:val="clear"/>
            <w:vAlign w:val="center"/>
          </w:tcPr>
          <w:p>
            <w:pPr>
              <w:pStyle w:val="TableContents"/>
              <w:bidi w:val="0"/>
              <w:spacing w:before="0" w:after="0"/>
              <w:ind w:left="0" w:right="0" w:hanging="0"/>
              <w:jc w:val="left"/>
              <w:rPr/>
            </w:pPr>
            <w:r>
              <w:rPr/>
              <w:t>​</w:t>
            </w:r>
          </w:p>
        </w:tc>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21,146</w:t>
            </w:r>
          </w:p>
        </w:tc>
        <w:tc>
          <w:tcPr>
            <w:tcW w:w="109"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21,365</w:t>
            </w:r>
          </w:p>
        </w:tc>
      </w:tr>
      <w:tr>
        <w:trPr/>
        <w:tc>
          <w:tcPr>
            <w:tcW w:w="3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Hotel Indigo Loan</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October 2028</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SOFR plus 2.5%, floor 2.5%</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18,607</w:t>
            </w:r>
          </w:p>
        </w:tc>
        <w:tc>
          <w:tcPr>
            <w:tcW w:w="109"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19,024</w:t>
            </w:r>
          </w:p>
        </w:tc>
      </w:tr>
      <w:tr>
        <w:trPr/>
        <w:tc>
          <w:tcPr>
            <w:tcW w:w="3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Breakfast Point Hotel Loan</w:t>
            </w:r>
          </w:p>
        </w:tc>
        <w:tc>
          <w:tcPr>
            <w:tcW w:w="109" w:type="dxa"/>
            <w:tcBorders/>
            <w:shd w:fill="CCEEFF" w:val="clear"/>
            <w:vAlign w:val="center"/>
          </w:tcPr>
          <w:p>
            <w:pPr>
              <w:pStyle w:val="TableContents"/>
              <w:bidi w:val="0"/>
              <w:spacing w:before="0" w:after="0"/>
              <w:ind w:left="0" w:right="0" w:hanging="0"/>
              <w:jc w:val="left"/>
              <w:rPr/>
            </w:pPr>
            <w:r>
              <w:rPr/>
              <w:t>​</w:t>
            </w:r>
          </w:p>
        </w:tc>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November 2042</w:t>
            </w:r>
          </w:p>
        </w:tc>
        <w:tc>
          <w:tcPr>
            <w:tcW w:w="109" w:type="dxa"/>
            <w:tcBorders/>
            <w:shd w:fill="CCEEFF" w:val="clear"/>
            <w:vAlign w:val="center"/>
          </w:tcPr>
          <w:p>
            <w:pPr>
              <w:pStyle w:val="TableContents"/>
              <w:bidi w:val="0"/>
              <w:spacing w:before="0" w:after="0"/>
              <w:ind w:left="0" w:right="0" w:hanging="0"/>
              <w:jc w:val="left"/>
              <w:rPr/>
            </w:pPr>
            <w:r>
              <w:rPr/>
              <w:t>​</w:t>
            </w:r>
          </w:p>
        </w:tc>
        <w:tc>
          <w:tcPr>
            <w:tcW w:w="16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Fixed</w:t>
            </w:r>
            <w:r>
              <w:rPr>
                <w:rFonts w:ascii="Times New Roman;Times;serif" w:hAnsi="Times New Roman;Times;serif"/>
                <w:sz w:val="16"/>
              </w:rPr>
              <w:t xml:space="preserve"> </w:t>
            </w:r>
            <w:r>
              <w:rPr>
                <w:rFonts w:ascii="Times New Roman;Times;serif" w:hAnsi="Times New Roman;Times;serif"/>
                <w:sz w:val="13"/>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13,718</w:t>
            </w:r>
          </w:p>
        </w:tc>
        <w:tc>
          <w:tcPr>
            <w:tcW w:w="109"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14,978</w:t>
            </w:r>
          </w:p>
        </w:tc>
      </w:tr>
      <w:tr>
        <w:trPr/>
        <w:tc>
          <w:tcPr>
            <w:tcW w:w="3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Lodge 30A JV Loan</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January 2028</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13,306</w:t>
            </w:r>
          </w:p>
        </w:tc>
        <w:tc>
          <w:tcPr>
            <w:tcW w:w="109"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13,587</w:t>
            </w:r>
          </w:p>
        </w:tc>
      </w:tr>
      <w:tr>
        <w:trPr/>
        <w:tc>
          <w:tcPr>
            <w:tcW w:w="3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Topsail Hotel Loan</w:t>
            </w:r>
          </w:p>
        </w:tc>
        <w:tc>
          <w:tcPr>
            <w:tcW w:w="109" w:type="dxa"/>
            <w:tcBorders/>
            <w:shd w:fill="CCEEFF" w:val="clear"/>
            <w:vAlign w:val="center"/>
          </w:tcPr>
          <w:p>
            <w:pPr>
              <w:pStyle w:val="TableContents"/>
              <w:bidi w:val="0"/>
              <w:spacing w:before="0" w:after="0"/>
              <w:ind w:left="0" w:right="0" w:hanging="0"/>
              <w:jc w:val="left"/>
              <w:rPr/>
            </w:pPr>
            <w:r>
              <w:rPr/>
              <w:t>​</w:t>
            </w:r>
          </w:p>
        </w:tc>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July 2027</w:t>
            </w:r>
          </w:p>
        </w:tc>
        <w:tc>
          <w:tcPr>
            <w:tcW w:w="109" w:type="dxa"/>
            <w:tcBorders/>
            <w:shd w:fill="CCEEFF" w:val="clear"/>
            <w:vAlign w:val="center"/>
          </w:tcPr>
          <w:p>
            <w:pPr>
              <w:pStyle w:val="TableContents"/>
              <w:bidi w:val="0"/>
              <w:spacing w:before="0" w:after="0"/>
              <w:ind w:left="0" w:right="0" w:hanging="0"/>
              <w:jc w:val="left"/>
              <w:rPr/>
            </w:pPr>
            <w:r>
              <w:rPr/>
              <w:t>​</w:t>
            </w:r>
          </w:p>
        </w:tc>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SOFR plus 2.1%, floor 3.0%</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4,454</w:t>
            </w:r>
          </w:p>
        </w:tc>
        <w:tc>
          <w:tcPr>
            <w:tcW w:w="109"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11,215</w:t>
            </w:r>
          </w:p>
        </w:tc>
      </w:tr>
      <w:tr>
        <w:trPr/>
        <w:tc>
          <w:tcPr>
            <w:tcW w:w="3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Community Development District debt</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May 2028-May 2039</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 to 6.0</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2,765</w:t>
            </w:r>
          </w:p>
        </w:tc>
        <w:tc>
          <w:tcPr>
            <w:tcW w:w="109"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2,604</w:t>
            </w:r>
          </w:p>
        </w:tc>
      </w:tr>
      <w:tr>
        <w:trPr/>
        <w:tc>
          <w:tcPr>
            <w:tcW w:w="34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Town Center Grocery Loan </w:t>
            </w:r>
            <w:r>
              <w:rPr>
                <w:rFonts w:ascii="Times New Roman;Times;serif" w:hAnsi="Times New Roman;Times;serif"/>
                <w:sz w:val="14"/>
              </w:rPr>
              <w:t>(c)</w:t>
            </w:r>
          </w:p>
        </w:tc>
        <w:tc>
          <w:tcPr>
            <w:tcW w:w="109" w:type="dxa"/>
            <w:tcBorders/>
            <w:shd w:fill="CCEEFF" w:val="clear"/>
            <w:vAlign w:val="center"/>
          </w:tcPr>
          <w:p>
            <w:pPr>
              <w:pStyle w:val="TableContents"/>
              <w:bidi w:val="0"/>
              <w:spacing w:before="0" w:after="0"/>
              <w:ind w:left="0" w:right="0" w:hanging="0"/>
              <w:jc w:val="left"/>
              <w:rPr/>
            </w:pPr>
            <w:r>
              <w:rPr/>
              <w:t>​</w:t>
            </w:r>
          </w:p>
        </w:tc>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shd w:fill="CCEEFF" w:val="clear"/>
            <w:vAlign w:val="center"/>
          </w:tcPr>
          <w:p>
            <w:pPr>
              <w:pStyle w:val="TableContents"/>
              <w:bidi w:val="0"/>
              <w:spacing w:before="0" w:after="0"/>
              <w:ind w:left="0" w:right="0" w:hanging="0"/>
              <w:jc w:val="left"/>
              <w:rPr/>
            </w:pPr>
            <w:r>
              <w:rPr/>
              <w:t>​</w:t>
            </w:r>
          </w:p>
        </w:tc>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27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4,682</w:t>
            </w:r>
          </w:p>
        </w:tc>
      </w:tr>
      <w:tr>
        <w:trPr/>
        <w:tc>
          <w:tcPr>
            <w:tcW w:w="345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Airport Hotel Loan </w:t>
            </w:r>
            <w:r>
              <w:rPr>
                <w:rFonts w:ascii="Times New Roman;Times;serif" w:hAnsi="Times New Roman;Times;serif"/>
                <w:sz w:val="14"/>
              </w:rPr>
              <w:t>(c)</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2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3,227</w:t>
            </w:r>
          </w:p>
        </w:tc>
      </w:tr>
      <w:tr>
        <w:trPr/>
        <w:tc>
          <w:tcPr>
            <w:tcW w:w="34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Beckrich Building III Loan </w:t>
            </w:r>
            <w:r>
              <w:rPr>
                <w:rFonts w:ascii="Times New Roman;Times;serif" w:hAnsi="Times New Roman;Times;serif"/>
                <w:sz w:val="14"/>
              </w:rPr>
              <w:t>(c)</w:t>
            </w:r>
          </w:p>
        </w:tc>
        <w:tc>
          <w:tcPr>
            <w:tcW w:w="109" w:type="dxa"/>
            <w:tcBorders/>
            <w:shd w:fill="CCEEFF" w:val="clear"/>
            <w:vAlign w:val="center"/>
          </w:tcPr>
          <w:p>
            <w:pPr>
              <w:pStyle w:val="TableContents"/>
              <w:bidi w:val="0"/>
              <w:spacing w:before="0" w:after="0"/>
              <w:ind w:left="0" w:right="0" w:hanging="0"/>
              <w:jc w:val="left"/>
              <w:rPr/>
            </w:pPr>
            <w:r>
              <w:rPr/>
              <w:t>​</w:t>
            </w:r>
          </w:p>
        </w:tc>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shd w:fill="CCEEFF" w:val="clear"/>
            <w:vAlign w:val="center"/>
          </w:tcPr>
          <w:p>
            <w:pPr>
              <w:pStyle w:val="TableContents"/>
              <w:bidi w:val="0"/>
              <w:spacing w:before="0" w:after="0"/>
              <w:ind w:left="0" w:right="0" w:hanging="0"/>
              <w:jc w:val="left"/>
              <w:rPr/>
            </w:pPr>
            <w:r>
              <w:rPr/>
              <w:t>​</w:t>
            </w:r>
          </w:p>
        </w:tc>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27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1,111</w:t>
            </w:r>
          </w:p>
        </w:tc>
      </w:tr>
      <w:tr>
        <w:trPr/>
        <w:tc>
          <w:tcPr>
            <w:tcW w:w="345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principal outstanding</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374,846</w:t>
            </w:r>
          </w:p>
        </w:tc>
        <w:tc>
          <w:tcPr>
            <w:tcW w:w="109" w:type="dxa"/>
            <w:tcBorders/>
            <w:vAlign w:val="center"/>
          </w:tcPr>
          <w:p>
            <w:pPr>
              <w:pStyle w:val="TableContents"/>
              <w:bidi w:val="0"/>
              <w:spacing w:before="0" w:after="0"/>
              <w:ind w:left="0" w:right="0" w:hanging="0"/>
              <w:jc w:val="righ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396,008</w:t>
            </w:r>
          </w:p>
        </w:tc>
      </w:tr>
      <w:tr>
        <w:trPr/>
        <w:tc>
          <w:tcPr>
            <w:tcW w:w="4988"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Unamortized discount and debt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169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(4,522)</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(4,849)</w:t>
            </w:r>
          </w:p>
        </w:tc>
      </w:tr>
      <w:tr>
        <w:trPr/>
        <w:tc>
          <w:tcPr>
            <w:tcW w:w="345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debt, net</w:t>
            </w:r>
          </w:p>
        </w:tc>
        <w:tc>
          <w:tcPr>
            <w:tcW w:w="109"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370,324</w:t>
            </w:r>
          </w:p>
        </w:tc>
        <w:tc>
          <w:tcPr>
            <w:tcW w:w="109"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391,159</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Pier Park Resort Hotel JV entered into an interest rate swap that matures in April 2027 and fixed the variable rate on the notional amount of related debt, initially at $42.0</w:t>
            </w:r>
            <w:r>
              <w:rPr>
                <w:caps w:val="false"/>
                <w:smallCaps w:val="false"/>
              </w:rPr>
              <w:t xml:space="preserve"> </w:t>
            </w:r>
            <w:r>
              <w:rPr>
                <w:rFonts w:ascii="Times New Roman;Times;serif" w:hAnsi="Times New Roman;Times;serif"/>
                <w:b w:val="false"/>
                <w:i w:val="false"/>
                <w:caps w:val="false"/>
                <w:smallCaps w:val="false"/>
                <w:sz w:val="18"/>
              </w:rPr>
              <w:t>million, amortizing to $38.7</w:t>
            </w:r>
            <w:r>
              <w:rPr>
                <w:caps w:val="false"/>
                <w:smallCaps w:val="false"/>
              </w:rPr>
              <w:t xml:space="preserve"> </w:t>
            </w:r>
            <w:r>
              <w:rPr>
                <w:rFonts w:ascii="Times New Roman;Times;serif" w:hAnsi="Times New Roman;Times;serif"/>
                <w:b w:val="false"/>
                <w:i w:val="false"/>
                <w:caps w:val="false"/>
                <w:smallCaps w:val="false"/>
                <w:sz w:val="18"/>
              </w:rPr>
              <w:t xml:space="preserve">million at swap maturity, to a rate of 3.2%. See Note 5. </w:t>
            </w:r>
            <w:r>
              <w:rPr>
                <w:rFonts w:ascii="Times New Roman;Times;serif" w:hAnsi="Times New Roman;Times;serif"/>
                <w:b w:val="false"/>
                <w:i/>
                <w:sz w:val="18"/>
              </w:rPr>
              <w:t>Financial Instruments and Fair Value Measurements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Breakfast Point Hotel Loan interest rate is fixed through November 2027 and in December 2027 the rate will adjust to the 1-year constant maturity Treasury rate</w:t>
            </w:r>
            <w:r>
              <w:rPr>
                <w:caps w:val="false"/>
                <w:smallCaps w:val="false"/>
              </w:rPr>
              <w:t xml:space="preserve"> </w:t>
            </w:r>
            <w:r>
              <w:rPr>
                <w:rFonts w:ascii="Times New Roman;Times;serif" w:hAnsi="Times New Roman;Times;serif"/>
                <w:b w:val="false"/>
                <w:i w:val="false"/>
                <w:caps w:val="false"/>
                <w:smallCaps w:val="false"/>
                <w:sz w:val="18"/>
              </w:rPr>
              <w:t>plus 3.3%</w:t>
            </w:r>
            <w:r>
              <w:rPr>
                <w:caps w:val="false"/>
                <w:smallCaps w:val="false"/>
              </w:rPr>
              <w:t xml:space="preserve"> </w:t>
            </w:r>
            <w:r>
              <w:rPr>
                <w:rFonts w:ascii="Times New Roman;Times;serif" w:hAnsi="Times New Roman;Times;serif"/>
                <w:b w:val="false"/>
                <w:i w:val="false"/>
                <w:caps w:val="false"/>
                <w:smallCaps w:val="false"/>
                <w:sz w:val="18"/>
              </w:rPr>
              <w:t>from December 2027 through November 2042, with a minimum rate of 6.0%</w:t>
            </w:r>
            <w:r>
              <w:rPr>
                <w:caps w:val="false"/>
                <w:smallCaps w:val="false"/>
              </w:rPr>
              <w:t xml:space="preserve"> </w:t>
            </w:r>
            <w:r>
              <w:rPr>
                <w:rFonts w:ascii="Times New Roman;Times;serif" w:hAnsi="Times New Roman;Times;serif"/>
                <w:b w:val="false"/>
                <w:i w:val="false"/>
                <w:caps w:val="false"/>
                <w:smallCaps w:val="false"/>
                <w:sz w:val="18"/>
              </w:rPr>
              <w:t>throughout the term of the loan.</w:t>
            </w:r>
          </w:p>
        </w:tc>
      </w:tr>
    </w:tbl>
    <w:tbl>
      <w:tblPr>
        <w:tblW w:w="3947" w:type="dxa"/>
        <w:jc w:val="left"/>
        <w:tblInd w:w="0" w:type="dxa"/>
        <w:tblLayout w:type="fixed"/>
        <w:tblCellMar>
          <w:top w:w="0" w:type="dxa"/>
          <w:left w:w="0" w:type="dxa"/>
          <w:bottom w:w="0" w:type="dxa"/>
          <w:right w:w="0" w:type="dxa"/>
        </w:tblCellMar>
      </w:tblPr>
      <w:tblGrid>
        <w:gridCol w:w="316"/>
        <w:gridCol w:w="363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3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the first half of 2026, the loan was paid in full.</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indebtedness consists of various loans on real and leasehold property. These loans are typically secured by various interests in the property such as assignment of rents, leases, deposits, permits, plans, specifications, fees, agreements, approvals, contracts, licenses, construction contracts, development contracts, service contracts, franchise agreements, the borrower’s assets, improvements, and security interests in the rents, personal property, management agreements, construction agreements, improvements, accounts, profits, leases and fixtures (collectively, “Security Interests”). The specific Security Interests vary from loan to loan. As of June 30, 2026, the weighted average effective interest rate of total outstanding debt was 4.7%, of which 84.1% includes fixed or swapped interest rates, and the average remaining life was 19.8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2023, the Watersound Origins Crossings JV refinanced into a $52.9 million loan, insured by the U.S. Department of Housing and Urban Development (“HUD”), for a multi-family community located near the entrance to the Watersound Origins residential community (the “Watersound Origins Crossings JV Loan”). The loan provides for monthly payments of principal and interest through maturity in April 2058. The loan includes a prepayment premium due to the lender of 1% - 7% for any principal that is prepaid through April 2033. The loan is secured by the real property and certain other Security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the Pier Park Resort Hotel JV entered into a loan with an initial amount of $52.5 million up to a maximum of $60.0 million through additional earn-out requests (the “Pier Park Resort Hotel JV Loan”). The loan was entered into to finance the construction of a hotel in the Pier Park area of Panama City Beach, Florida. The loan provides for monthly principal and interest payments with a final balloon payment at maturity in April 2027. The loan is secured by the real property and certain other Security Interests. In connection with the loan, as guarantors, the Company and the Company’s JV partner entered into a guarantee based on each partner’s ownership interest in favor of the lender, to guarantee the payment and performance of the borrower. As guarantor, the Company’s liability under the Pier Park Resort Hotel JV Loan can be released upon reaching and maintaining certain debt service coverage.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w:t>
      </w:r>
      <w:r>
        <w:rPr>
          <w:rFonts w:ascii="TimesNewRomanPSMT" w:hAnsi="TimesNewRomanPSMT"/>
          <w:sz w:val="20"/>
        </w:rPr>
        <w:t>amortizing to $38.7</w:t>
      </w:r>
      <w:r>
        <w:rPr>
          <w:rFonts w:ascii="Times New Roman;Times;serif" w:hAnsi="Times New Roman;Times;serif"/>
          <w:sz w:val="20"/>
        </w:rPr>
        <w:t xml:space="preserve"> </w:t>
      </w:r>
      <w:r>
        <w:rPr>
          <w:rFonts w:ascii="TimesNewRomanPSMT" w:hAnsi="TimesNewRomanPSMT"/>
          <w:sz w:val="20"/>
        </w:rPr>
        <w:t>million at swap maturity,</w:t>
      </w:r>
      <w:r>
        <w:rPr>
          <w:rFonts w:ascii="Times New Roman;Times;serif" w:hAnsi="Times New Roman;Times;serif"/>
          <w:sz w:val="20"/>
        </w:rPr>
        <w:t xml:space="preserve"> to a rate of 3.2%.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the Mexico Beach Crossings JV entered into a $43.5 million loan, insured by HUD, to finance the construction of a multi-family community in Mexico Beach, Florida (the “Mexico Beach Crossings JV Loan”). The loan provides for monthly principal and interest payments through maturity in March 2064. The loan includes a prepayment premium due to the lender of 1% - 8% for any principal that is prepaid through March 2034.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September 2025, the Pier Park North JV refinanced into a $40.0 million loan (the “PPN JV Loan”). The loan provides for monthly payments of principal and interest with a final balloon payment at maturity in October 2035</w:t>
      </w:r>
      <w:r>
        <w:rPr>
          <w:rFonts w:ascii="TimesNewRomanPSMT" w:hAnsi="TimesNewRomanPSMT"/>
          <w:sz w:val="20"/>
        </w:rPr>
        <w:t>.</w:t>
      </w:r>
      <w:r>
        <w:rPr>
          <w:rFonts w:ascii="Times New Roman;Times;serif" w:hAnsi="Times New Roman;Times;serif"/>
          <w:sz w:val="20"/>
        </w:rPr>
        <w:t xml:space="preserve"> The loan may not be prepaid prior to October 2029. Commencing in October 2029 through May 2035, any principal prepaid is subject to a prepayment fee equal to the greater of (i) a prepayment ratio, as outlined in the loan agreement, or (ii) 1% of the amount prepaid. From June 2035 through maturity, the loan may be prepaid without a prepayment fee upon prior written notice. The loan is secured by a first lien on, and Security Interest in, a majority of the Pier Park North JV’s property. In connection with the loan, the Company entered into a limited guarantee in favor of the lender with respect to environmental indemnity matters and specified non-recourse carveouts outlined in the loan agreement.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2018, the Pier Park Crossings JV entered into a $36.6 million loan, insured by HUD, to finance the construction of a multi-family community in Panama City Beach, Florida (the “PPC JV Loan”). The loan provides for monthly principal and interest payments through maturity in June 2060. The loan includes a prepayment premium due to the lender of 2% - 7% for any additional principal that is prepaid through August 2031.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a wholly-owned subsidiary of the Company entered into a $37.0 million loan, which is guaranteed by the Company, to finance the acquisition of a hotel located on Scenic Highway 30A (“The Pearl Hotel Loan”). The loan provides for monthly principal and interest payments with a final balloon payment at maturity in December 2032. The loan includes a prepayment fee due to the lender of 1% - 2% of the outstanding principal balance if the loan is refinanced with another financial institution through December 2027.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February 2025, a wholly-owned subsidiary of the Company refinanced into a $27.8 million loan, insured by HUD, for a multi-family community in Panama City, Florida (the “North Bay Landing Loan”). The loan provides for monthly payments of principal and interest through maturity in March 2060. The loan includes a prepayment premium due to the lender of 1% - 9% for any principal that is prepaid through March 2035. The loan is secured by the real property and certain other Security Interests. The six months ended June 30, 2025 includes a less than $0.1 million loss on early extinguishment of debt related to unamortized debt issuance costs, included within other expense, net on the condensed consolidated statements of income.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the Company entered into a $28.0 million loan, which is guaranteed by the Company, to finance the construction of an inn and amenity center near the Watersound Camp Creek residential community (the “Watersound Camp Creek Loan”). The loan provides for monthly principal and interest payments through maturity in December 2047. The loan is secured by the real property and certain other Security Interests.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guarantor, the Company’s liability under the loan has been reduced to 25% of the outstanding principal amount upon the project reaching and maintaining a certain debt service coverage ratio over a prescribed period, which will be reassessed based on future performance. In addition, the guarantee can become full recourse in the case of the failure of guarantor to abide by or perform any of the covenants, warranties or other certain obligations to be performed on the part of such guarantor.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the Pier Park Crossings Phase II JV refinanced into a $22.9 million loan, insured by HUD, for a multi-family community in Panama City Beach, Florida (the “PPC II JV Loan”). The loan provides for monthly payments of principal and interest through maturity in May 2057. The loan includes a prepayment premium due to the lender of 1% - 6% for any additional principal that is prepaid through May 2032.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a wholly-owned subsidiary of the Company entered into a $21.2 million loan, which is guaranteed by the Company, to finance the construction of a hotel in Panama City, Florida (the “Hotel Indigo Loan”). The loan provides for monthly principal and interest payments with a final balloon payment at maturity in October 2028. The loan includes an option for an extension of the maturity date by sixty months, subject to certain conditions, which would provide for continued principal and interest payments with a final balloon payment at the extended maturity date. The loan is secured by the leasehold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2020, a wholly-owned subsidiary of the Company entered into a $16.8 million loan, which is guaranteed by the Company, to finance the construction of a hotel in the Breakfast Point area of Panama City Beach, Florida (the “Breakfast Point Hotel Loan”). The loan provides for monthly principal and interest payments through maturity in November 2042.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The Lodge 30A JV entered into a $15.0 million loan to finance the construction of a boutique hotel in Seagrove Beach, Florida (the “Lodge 30A JV Loan”). The loan provides for monthly principal and interest payments with a final balloon payment at maturity in January 2028. The loan is secured by the real property and certain other Security Interests. In connection with the loan, the Company, wholly-owned subsidiaries of the Company and the Company’s JV partner entered into a joint and several payment and performance guarantee in favor of the lender. As guarantor, the Company’s liability under the loan has been reduced to 25% of the outstanding principal balance upon the project reaching and maintaining a certain debt service coverage ratio over a prescribed period, which will be reassessed based on future performance. The Company receives a monthly fee related to the guarantee from its JV partner based on the JV partner’s ownership percentage.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a wholly-owned subsidiary of the Company entered into a $13.7 million loan, which is guaranteed by the Company, to finance the construction of a hotel in Santa Rosa Beach, Florida (the “Topsail Hotel Loan”). The loan provides for monthly principal and interest payments with a final balloon payment at maturity in July 2027.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Community Development District (“CDD”) bonds financed the construction of infrastructure improvements at some of the Company’s projects. The principal and interest payments on the bonds are paid by assessments on the properties benefited by the improvements financed by the bonds. CDD debt is secured by certain real estate or other collateral. The Company has recorded a liability for CDD debt that is associated with platted property, which is the point at which it becomes fixed and determinable. Additionally, the Company has recorded a liability for the portion of the CDD debt that is associated with unplatted property if it is probable and reasonably estimable that the Company will ultimately be responsible for repayment. The Company’s total CDD debt assigned to property it owns was $8.5 million and $9.0 million as of June 30, 2026 and December 31, 2025, respectively. The Company pays interest on this total outstanding CDD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a wholly-owned subsidiary of the Company entered into a $12.0 million loan, to finance the construction of a building in the Watersound Town Center near the Watersound Origins residential community (the “Watersound Town Center Grocery Loan”). In the second quarter of 2026, the loan was paid in full.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095" w:name="Tc_xNW3fSLAoEK6yjZYvmRhiA_7_2"/>
      <w:bookmarkStart w:id="2096" w:name="Tc_1T11uH0pVkCaPT1lN8_IWA_6_0"/>
      <w:bookmarkStart w:id="2097" w:name="Tc_h7Z-SYH2jEWwXRZxKqhssA_5_0"/>
      <w:bookmarkStart w:id="2098" w:name="Tc_6qZ_Qd7LDU204Dc0Dj9sHQ_4_0"/>
      <w:bookmarkStart w:id="2099" w:name="Tc_CI1ApGJNWUiS0VY3lP-r9A_3_0"/>
      <w:bookmarkStart w:id="2100" w:name="Tc_9-powrQzBUK_cvDWSDJhqw_2_0"/>
      <w:bookmarkStart w:id="2101" w:name="Tc_aQqcJZCRokysDro5wFE6hA_1_2"/>
      <w:bookmarkStart w:id="2102" w:name="Tc_-cQMXPeOJEiLD9cbUkQeew_1_0"/>
      <w:bookmarkStart w:id="2103" w:name="_57b373e0_f5a9_4428_b78a_2e32f13a85b2"/>
      <w:bookmarkEnd w:id="2095"/>
      <w:bookmarkEnd w:id="2096"/>
      <w:bookmarkEnd w:id="2097"/>
      <w:bookmarkEnd w:id="2098"/>
      <w:bookmarkEnd w:id="2099"/>
      <w:bookmarkEnd w:id="2100"/>
      <w:bookmarkEnd w:id="2101"/>
      <w:bookmarkEnd w:id="2102"/>
      <w:bookmarkEnd w:id="2103"/>
      <w:r>
        <w:rPr>
          <w:rFonts w:ascii="Times New Roman;Times;serif" w:hAnsi="Times New Roman;Times;serif"/>
          <w:sz w:val="20"/>
        </w:rPr>
        <w:t>In 2020, a wholly-owned subsidiary of the Company entered into a $15.3 million loan, to finance construction of a hotel in Panama City, Florida (the “Airport Hotel Loan”). In the second quarter of 2026, the loan was paid in full.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2019, a wholly-owned subsidiary of the Company entered into a $5.5 million loan, to finance the construction of an office building in Panama City Beach, Florida (the “Beckrich Building III Loan”). In the first quarter of 2026, the loan was paid in full.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financing agreements are subject to various customary debt covenants and as of both June 30, 2026 and December 31, 2025, the Company was in compliance with the financial debt 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property, receivables and inventory that were pledged as collateral related to the Company’s </w:t>
      </w:r>
      <w:r>
        <w:rPr>
          <w:rFonts w:ascii="Times New Roman;Times;serif" w:hAnsi="Times New Roman;Times;serif"/>
          <w:b w:val="false"/>
          <w:i w:val="false"/>
          <w:caps w:val="false"/>
          <w:smallCaps w:val="false"/>
          <w:sz w:val="20"/>
        </w:rPr>
        <w:t>debt agreements</w:t>
      </w:r>
      <w:r>
        <w:rPr>
          <w:rFonts w:ascii="Times New Roman;Times;serif" w:hAnsi="Times New Roman;Times;serif"/>
          <w:sz w:val="20"/>
        </w:rPr>
        <w:t>, had an approximate carrying amount of $448.2 million. These assets are included within investment in real estate, net, property and equipment, net and other assets on the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aggregate maturities of debt subsequent to June 30, 2026, for the years ending December 31 are:</w:t>
      </w:r>
    </w:p>
    <w:tbl>
      <w:tblPr>
        <w:tblW w:w="2152" w:type="dxa"/>
        <w:jc w:val="left"/>
        <w:tblInd w:w="0" w:type="dxa"/>
        <w:tblLayout w:type="fixed"/>
        <w:tblCellMar>
          <w:top w:w="0" w:type="dxa"/>
          <w:left w:w="0" w:type="dxa"/>
          <w:bottom w:w="0" w:type="dxa"/>
          <w:right w:w="0" w:type="dxa"/>
        </w:tblCellMar>
      </w:tblPr>
      <w:tblGrid>
        <w:gridCol w:w="946"/>
        <w:gridCol w:w="109"/>
        <w:gridCol w:w="211"/>
        <w:gridCol w:w="886"/>
      </w:tblGrid>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60,645</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36,364</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6,711</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6,855</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259,800</w:t>
            </w:r>
          </w:p>
        </w:tc>
      </w:tr>
      <w:tr>
        <w:trPr/>
        <w:tc>
          <w:tcPr>
            <w:tcW w:w="9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374,846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04" w:name="Tc_-4aw630VZk2oU-f8zCUUzg_12_5"/>
      <w:bookmarkStart w:id="2105" w:name="Tc_abWQk9QDhESCAOsjoDd9Vg_12_2"/>
      <w:bookmarkStart w:id="2106" w:name="Tc_5Gi3RN8xn0qznQGj9GvmcQ_12_0"/>
      <w:bookmarkStart w:id="2107" w:name="Tc_LPVMwkyRwUSnLiYdaZiCeQ_11_0"/>
      <w:bookmarkStart w:id="2108" w:name="Tc_87sptbud70e90bd79Prh3w_10_0"/>
      <w:bookmarkStart w:id="2109" w:name="Tc_tHq1IUrH0UiEkRE_32wIxQ_9_0"/>
      <w:bookmarkStart w:id="2110" w:name="Tc_Ag2EU8LaaE660XF_MBLD6g_8_0"/>
      <w:bookmarkStart w:id="2111" w:name="Tc_cAHbQ6-Si0-yhjc4O31rVA_7_0"/>
      <w:bookmarkStart w:id="2112" w:name="Tc_imYGxiCVPUmnKefDelDRKQ_4_0"/>
      <w:bookmarkStart w:id="2113" w:name="Tc_hQ0mg_abx06sHphDDxrdGQ_3_5"/>
      <w:bookmarkStart w:id="2114" w:name="Tc_1va28VKNTk-6Z77HSmKMUw_3_2"/>
      <w:bookmarkStart w:id="2115" w:name="Tc_-iaWFPb-r0O5YgvjfUz6RA_3_0"/>
      <w:bookmarkStart w:id="2116" w:name="Tc_PwwSgpVqnkiiHbCUXqUfuA_2_5"/>
      <w:bookmarkStart w:id="2117" w:name="Tc_dLv7hvcJ1EOkW9v9TH2NYQ_2_2"/>
      <w:bookmarkStart w:id="2118" w:name="Tc_Cm5dwC9Y6kOdk6sRQWppAg_1_5"/>
      <w:bookmarkStart w:id="2119" w:name="Tc_Nh88PrAIA0yPFhq2u2R6yQ_1_2"/>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r>
        <w:rPr>
          <w:rFonts w:ascii="Times New Roman;Times;serif" w:hAnsi="Times New Roman;Times;serif"/>
          <w:b/>
          <w:sz w:val="20"/>
        </w:rPr>
        <w:t>9. Accounts Payable and Other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Accounts payable and other liabilities consist of the following:</w:t>
      </w:r>
    </w:p>
    <w:p>
      <w:pPr>
        <w:pStyle w:val="TextBody"/>
        <w:bidi w:val="0"/>
        <w:spacing w:before="0" w:after="0"/>
        <w:ind w:left="0" w:right="0" w:hanging="0"/>
        <w:jc w:val="left"/>
        <w:rPr/>
      </w:pPr>
      <w:r>
        <w:rPr/>
        <w:t>​</w:t>
      </w:r>
    </w:p>
    <w:tbl>
      <w:tblPr>
        <w:tblW w:w="7295" w:type="dxa"/>
        <w:jc w:val="left"/>
        <w:tblInd w:w="0" w:type="dxa"/>
        <w:tblLayout w:type="fixed"/>
        <w:tblCellMar>
          <w:top w:w="0" w:type="dxa"/>
          <w:left w:w="0" w:type="dxa"/>
          <w:bottom w:w="0" w:type="dxa"/>
          <w:right w:w="0" w:type="dxa"/>
        </w:tblCellMar>
      </w:tblPr>
      <w:tblGrid>
        <w:gridCol w:w="4531"/>
        <w:gridCol w:w="346"/>
        <w:gridCol w:w="211"/>
        <w:gridCol w:w="676"/>
        <w:gridCol w:w="346"/>
        <w:gridCol w:w="252"/>
        <w:gridCol w:w="933"/>
      </w:tblGrid>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23,119</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17,227</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8,543</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5,196</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membership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deposits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10,972</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6,505</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expense for Senior Notes held by SPE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accounts payable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63,687</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48,297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Accounts payable as of June 30, 2026 and December 31, 2025, primarily include payables and retainage related to the Company’s development and construction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accrued liabilities include $4.8 million of accrued property taxes as of June 30, 2026, which are generally paid annually in November. As of December 31, 2025, the Company had no accrued property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Advance deposits consist of deposits received on hotel rooms and related hospitality activities. Advance deposits are recorded as accounts payable and other liabilities in the condensed consolidated balance sheets without regard to whether they are refundable and are recognized as income at the time the service is provided for the related deposit.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120" w:name="Tc_eW0wsgzwKkeY9qagL7XAcw_7_5"/>
      <w:bookmarkStart w:id="2121" w:name="Tc_Fu-ELz47CUS3J-ERbtkmRg_7_2"/>
      <w:bookmarkStart w:id="2122" w:name="Tc_7tRYArJKAEGEN56JoGB1xw_7_0"/>
      <w:bookmarkStart w:id="2123" w:name="Tc_fxuoHvR3-UW12S-TCwHEPQ_6_0"/>
      <w:bookmarkStart w:id="2124" w:name="Tc_wUA1B-fT4kSCe7Zoha2aFA_5_0"/>
      <w:bookmarkStart w:id="2125" w:name="Tc__zxNx45weUyXeBS69gml3Q_4_0"/>
      <w:bookmarkStart w:id="2126" w:name="Tc_Mx5kPUAZVkau1e3cCxNKZg_3_5"/>
      <w:bookmarkStart w:id="2127" w:name="Tc_SwCuHvAbU0aVR7NDVaTtwQ_3_2"/>
      <w:bookmarkStart w:id="2128" w:name="Tc_gChXFfbqokmWqCogNAL2_A_3_0"/>
      <w:bookmarkStart w:id="2129" w:name="Tc_ViFF9zIQw0KODAX_ys7fig_2_5"/>
      <w:bookmarkStart w:id="2130" w:name="Tc_rSF0X6BXc0OEPQoG2iTNgQ_2_2"/>
      <w:bookmarkStart w:id="2131" w:name="Tc_cs_KhfVXGkKEDJVyeTgBaQ_1_5"/>
      <w:bookmarkStart w:id="2132" w:name="Tc_4gIvUNn3bkmpFD5rovDE3w_1_2"/>
      <w:bookmarkEnd w:id="2120"/>
      <w:bookmarkEnd w:id="2121"/>
      <w:bookmarkEnd w:id="2122"/>
      <w:bookmarkEnd w:id="2123"/>
      <w:bookmarkEnd w:id="2124"/>
      <w:bookmarkEnd w:id="2125"/>
      <w:bookmarkEnd w:id="2126"/>
      <w:bookmarkEnd w:id="2127"/>
      <w:bookmarkEnd w:id="2128"/>
      <w:bookmarkEnd w:id="2129"/>
      <w:bookmarkEnd w:id="2130"/>
      <w:bookmarkEnd w:id="2131"/>
      <w:bookmarkEnd w:id="2132"/>
      <w:r>
        <w:rPr>
          <w:rFonts w:ascii="Times New Roman;Times;serif" w:hAnsi="Times New Roman;Times;serif"/>
          <w:b/>
          <w:sz w:val="20"/>
        </w:rPr>
        <w:t>10. Deferred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deferred revenue includes club initiation fees of $47.5 million and $45.9 million, respectively, and other deferred revenue of $14.9 million and $12.8 million,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Club initiation fees are recognized as revenue over the estimated average duration of membership, which is evaluated periodically. The following table presents the changes in club initiation fees related to contracts with customers:</w:t>
      </w:r>
    </w:p>
    <w:p>
      <w:pPr>
        <w:pStyle w:val="TextBody"/>
        <w:bidi w:val="0"/>
        <w:spacing w:before="0" w:after="0"/>
        <w:ind w:left="0" w:right="0" w:hanging="0"/>
        <w:jc w:val="left"/>
        <w:rPr/>
      </w:pPr>
      <w:r>
        <w:rPr/>
        <w:t>​</w:t>
      </w:r>
    </w:p>
    <w:tbl>
      <w:tblPr>
        <w:tblW w:w="7888" w:type="dxa"/>
        <w:jc w:val="left"/>
        <w:tblInd w:w="0" w:type="dxa"/>
        <w:tblLayout w:type="fixed"/>
        <w:tblCellMar>
          <w:top w:w="0" w:type="dxa"/>
          <w:left w:w="0" w:type="dxa"/>
          <w:bottom w:w="0" w:type="dxa"/>
          <w:right w:w="0" w:type="dxa"/>
        </w:tblCellMar>
      </w:tblPr>
      <w:tblGrid>
        <w:gridCol w:w="5776"/>
        <w:gridCol w:w="109"/>
        <w:gridCol w:w="211"/>
        <w:gridCol w:w="691"/>
        <w:gridCol w:w="109"/>
        <w:gridCol w:w="211"/>
        <w:gridCol w:w="781"/>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3667760" cy="175260"/>
                      <wp:effectExtent l="0" t="0" r="0" b="0"/>
                      <wp:wrapNone/>
                      <wp:docPr id="452" name="Frame452"/>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53" name="Frame4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38785" cy="175260"/>
                      <wp:effectExtent l="0" t="0" r="0" b="0"/>
                      <wp:wrapNone/>
                      <wp:docPr id="455" name="Frame4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215" cy="175260"/>
                      <wp:effectExtent l="0" t="0" r="0" b="0"/>
                      <wp:wrapNone/>
                      <wp:docPr id="456" name="Frame4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57" name="Frame4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95935" cy="175260"/>
                      <wp:effectExtent l="0" t="0" r="0" b="0"/>
                      <wp:wrapNone/>
                      <wp:docPr id="458" name="Frame4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45,885</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club memberships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amounts included in contract liability opening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current period new memberships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47,489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45,012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Remaining performance obligations represent contracted revenue that has not been recognized related to club initiation fees. As of June 30, 2026, remaining performance obligations were $47.5 million, of which the Company expects to recognize as revenue $7.1 million in </w:t>
      </w:r>
      <w:r>
        <w:rPr>
          <w:rFonts w:ascii="Times New Roman;Times;serif" w:hAnsi="Times New Roman;Times;serif"/>
          <w:b w:val="false"/>
          <w:i w:val="false"/>
          <w:caps w:val="false"/>
          <w:smallCaps w:val="false"/>
          <w:sz w:val="20"/>
        </w:rPr>
        <w:t>2026</w:t>
      </w:r>
      <w:r>
        <w:rPr>
          <w:rFonts w:ascii="Times New Roman;Times;serif" w:hAnsi="Times New Roman;Times;serif"/>
          <w:sz w:val="20"/>
        </w:rPr>
        <w:t xml:space="preserve">, $24.2 million in </w:t>
      </w:r>
      <w:r>
        <w:rPr>
          <w:rFonts w:ascii="Times New Roman;Times;serif" w:hAnsi="Times New Roman;Times;serif"/>
          <w:b w:val="false"/>
          <w:i w:val="false"/>
          <w:caps w:val="false"/>
          <w:smallCaps w:val="false"/>
          <w:sz w:val="20"/>
        </w:rPr>
        <w:t>2027 through 2028</w:t>
      </w:r>
      <w:r>
        <w:rPr>
          <w:rFonts w:ascii="Times New Roman;Times;serif" w:hAnsi="Times New Roman;Times;serif"/>
          <w:sz w:val="20"/>
        </w:rPr>
        <w:t xml:space="preserve">, $13.1 million in </w:t>
      </w:r>
      <w:r>
        <w:rPr>
          <w:rFonts w:ascii="Times New Roman;Times;serif" w:hAnsi="Times New Roman;Times;serif"/>
          <w:b w:val="false"/>
          <w:i w:val="false"/>
          <w:caps w:val="false"/>
          <w:smallCaps w:val="false"/>
          <w:sz w:val="20"/>
        </w:rPr>
        <w:t>2029 through 2030</w:t>
      </w:r>
      <w:r>
        <w:rPr>
          <w:rFonts w:ascii="Times New Roman;Times;serif" w:hAnsi="Times New Roman;Times;serif"/>
          <w:sz w:val="20"/>
        </w:rPr>
        <w:t xml:space="preserve"> and $3.1 million thereafter.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deferred revenue as of both June 30, 2026 and December 31, 2025, includes $10.9 million related to a 2006 agreement pursuant to which the Company agreed to sell land to the Florida Department of Transportation. Revenue is recognized when title to a specific parcel is legally transferred.</w:t>
      </w:r>
    </w:p>
    <w:p>
      <w:pPr>
        <w:pStyle w:val="TextBody"/>
        <w:bidi w:val="0"/>
        <w:spacing w:before="0" w:after="240"/>
        <w:ind w:left="0" w:right="0" w:hanging="0"/>
        <w:jc w:val="left"/>
        <w:rPr>
          <w:rFonts w:ascii="Times New Roman;Times;serif" w:hAnsi="Times New Roman;Times;serif"/>
          <w:b/>
          <w:sz w:val="20"/>
        </w:rPr>
      </w:pPr>
      <w:bookmarkStart w:id="2133" w:name="Tc_-5Ys7DYqDkWkP31Cq68RNw_7_24"/>
      <w:bookmarkStart w:id="2134" w:name="Tc_ahAsBLWvOUasTxYvicDFUg_7_20"/>
      <w:bookmarkStart w:id="2135" w:name="Tc_PKiOXV5_z0ymP7EXM_HF3w_7_18"/>
      <w:bookmarkStart w:id="2136" w:name="Tc_3l64m5HxJESJvj83P8tRvQ_7_14"/>
      <w:bookmarkStart w:id="2137" w:name="Tc_WyqmEIkBd0ipeiNBHOs2yQ_7_12"/>
      <w:bookmarkStart w:id="2138" w:name="Tc_AhDE4iYMiUSPMQT4ocqrAA_7_8"/>
      <w:bookmarkStart w:id="2139" w:name="Tc_BzELiP2dq0ySj1frpPEgDw_7_6"/>
      <w:bookmarkStart w:id="2140" w:name="Tc_QRnsc0xF5keir26n0ZXLiw_7_2"/>
      <w:bookmarkStart w:id="2141" w:name="Tc_zzdrZOHaOkSByLa30gdCpw_6_24"/>
      <w:bookmarkStart w:id="2142" w:name="Tc_g74pMAzGMEmEz8P7qxmHSg_6_18"/>
      <w:bookmarkStart w:id="2143" w:name="Tc_6uVSEO8f-kSEGzvWREu7yw_6_12"/>
      <w:bookmarkStart w:id="2144" w:name="Tc_PUaW38uqFUe6GBb0AH-0rQ_6_6"/>
      <w:bookmarkStart w:id="2145" w:name="Tc_nSwpkdMMx0W3S-o3yzYOJg_6_0"/>
      <w:bookmarkStart w:id="2146" w:name="Tc_cwMaoFGaLUq4ulL_EFjYdg_5_24"/>
      <w:bookmarkStart w:id="2147" w:name="Tc_5QjSEJzH5EWHj7icZgSAQw_5_18"/>
      <w:bookmarkStart w:id="2148" w:name="Tc_eauPEDMWck65SNUUBcMYtA_5_17"/>
      <w:bookmarkStart w:id="2149" w:name="Tc_TOVt4G_sIEWlhPTokj8dsQ_5_15"/>
      <w:bookmarkStart w:id="2150" w:name="Tc_HV5vmLiB50CvwaPpydGG8g_5_12"/>
      <w:bookmarkStart w:id="2151" w:name="Tc_U7V2-sUN40G0BSFtdLgP_w_5_6"/>
      <w:bookmarkStart w:id="2152" w:name="Tc_OyVAGtzcFESAtKj7qwxDNg_5_5"/>
      <w:bookmarkStart w:id="2153" w:name="Tc_J2AqnJJdUEW6XloXuuWZjQ_5_3"/>
      <w:bookmarkStart w:id="2154" w:name="Tc_UU9ukwWAKEuEUXBI8tg3Vg_5_0"/>
      <w:bookmarkStart w:id="2155" w:name="Tc_AHPkuL8A1k6f3QF9uBMDpg_4_24"/>
      <w:bookmarkStart w:id="2156" w:name="Tc__uyDJK_4e0GHu5p0EK8-Yw_4_18"/>
      <w:bookmarkStart w:id="2157" w:name="Tc_Rh6itI9Bv0iqtgjk8NJlWw_4_12"/>
      <w:bookmarkStart w:id="2158" w:name="Tc_r6rZE90nvkaUjnWOH4EyCQ_4_6"/>
      <w:bookmarkStart w:id="2159" w:name="Tc_Jo6wBQP_0UGJ16PcGXE5lA_3_24"/>
      <w:bookmarkStart w:id="2160" w:name="Tc_ZvtXL6KCp0q63Lfpx13EOQ_3_20"/>
      <w:bookmarkStart w:id="2161" w:name="Tc_LFjmxZ08TE2c_V8WHyymvQ_3_18"/>
      <w:bookmarkStart w:id="2162" w:name="Tc_Fk3wfn4IMk2SINnl1mbM1A_3_14"/>
      <w:bookmarkStart w:id="2163" w:name="Tc_QKaglrC9ZEOeoC5SGVGYQg_3_12"/>
      <w:bookmarkStart w:id="2164" w:name="Tc_IO1y-NxzDE6Ybsshnxxz-g_3_8"/>
      <w:bookmarkStart w:id="2165" w:name="Tc_24BFZxfJUkOaW8nnXATEhg_3_6"/>
      <w:bookmarkStart w:id="2166" w:name="Tc_AuBKBrq_g0-ZJRoINnkMvg_3_2"/>
      <w:bookmarkStart w:id="2167" w:name="Tc_fOSj_SYOekG2PXC5c67MHA_3_0"/>
      <w:bookmarkStart w:id="2168" w:name="Tc_G0BpRpooeE-8f6mAU6CcXw_2_20"/>
      <w:bookmarkStart w:id="2169" w:name="Tc_jWSdXBpKH0yYHaRInQ1_7Q_2_14"/>
      <w:bookmarkStart w:id="2170" w:name="Tc_R8eYBrHnz0-ystrzmhHLyQ_2_8"/>
      <w:bookmarkStart w:id="2171" w:name="Tc_OUQQPKp_V0KrZOq_BWjBwQ_2_2"/>
      <w:bookmarkStart w:id="2172" w:name="Tc_GKoyJ-_g5EO2GJ7ZtTkFeQ_1_14"/>
      <w:bookmarkStart w:id="2173" w:name="Tc_tnJlSc6DrE-JQ4mrzNbl7Q_1_2"/>
      <w:bookmarkStart w:id="2174" w:name="_86a55ece_8d5a_4191_8d95_7fc0b254dc3f"/>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r>
        <w:rPr>
          <w:rFonts w:ascii="Times New Roman;Times;serif" w:hAnsi="Times New Roman;Times;serif"/>
          <w:b/>
          <w:sz w:val="20"/>
        </w:rPr>
        <w:t>11.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(benefit) attributable to income from operations differed from the amount computed by applying the statutory federal income tax rate of 21% as of June 30, 2026 and 2025 to pre-tax income as a result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35"/>
        <w:gridCol w:w="346"/>
        <w:gridCol w:w="211"/>
        <w:gridCol w:w="676"/>
        <w:gridCol w:w="109"/>
        <w:gridCol w:w="466"/>
        <w:gridCol w:w="301"/>
        <w:gridCol w:w="406"/>
        <w:gridCol w:w="211"/>
        <w:gridCol w:w="571"/>
        <w:gridCol w:w="109"/>
        <w:gridCol w:w="469"/>
        <w:gridCol w:w="301"/>
        <w:gridCol w:w="109"/>
        <w:gridCol w:w="211"/>
        <w:gridCol w:w="676"/>
        <w:gridCol w:w="109"/>
        <w:gridCol w:w="466"/>
        <w:gridCol w:w="301"/>
        <w:gridCol w:w="109"/>
        <w:gridCol w:w="211"/>
        <w:gridCol w:w="676"/>
        <w:gridCol w:w="109"/>
        <w:gridCol w:w="469"/>
        <w:gridCol w:w="348"/>
      </w:tblGrid>
      <w:tr>
        <w:trPr/>
        <w:tc>
          <w:tcPr>
            <w:tcW w:w="2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419225" cy="175260"/>
                      <wp:effectExtent l="0" t="0" r="0" b="0"/>
                      <wp:wrapNone/>
                      <wp:docPr id="459" name="Frame459"/>
                      <a:graphic xmlns:a="http://schemas.openxmlformats.org/drawingml/2006/main">
                        <a:graphicData uri="http://schemas.microsoft.com/office/word/2010/wordprocessingShape">
                          <wps:wsp>
                            <wps:cNvSpPr txBox="1"/>
                            <wps:spPr>
                              <a:xfrm>
                                <a:off x="0" y="0"/>
                                <a:ext cx="141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1"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29260" cy="175260"/>
                      <wp:effectExtent l="0" t="0" r="0" b="0"/>
                      <wp:wrapNone/>
                      <wp:docPr id="462" name="Frame4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95910" cy="175260"/>
                      <wp:effectExtent l="0" t="0" r="0" b="0"/>
                      <wp:wrapNone/>
                      <wp:docPr id="464" name="Frame46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91135" cy="175260"/>
                      <wp:effectExtent l="0" t="0" r="0" b="0"/>
                      <wp:wrapNone/>
                      <wp:docPr id="465" name="Frame46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57810" cy="175260"/>
                      <wp:effectExtent l="0" t="0" r="0" b="0"/>
                      <wp:wrapNone/>
                      <wp:docPr id="466" name="Frame46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362585" cy="175260"/>
                      <wp:effectExtent l="0" t="0" r="0" b="0"/>
                      <wp:wrapNone/>
                      <wp:docPr id="468" name="Frame4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9215" cy="175260"/>
                      <wp:effectExtent l="0" t="0" r="0" b="0"/>
                      <wp:wrapNone/>
                      <wp:docPr id="469" name="Frame4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97815" cy="175260"/>
                      <wp:effectExtent l="0" t="0" r="0" b="0"/>
                      <wp:wrapNone/>
                      <wp:docPr id="470" name="Frame470"/>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91135" cy="175260"/>
                      <wp:effectExtent l="0" t="0" r="0" b="0"/>
                      <wp:wrapNone/>
                      <wp:docPr id="471" name="Frame47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9215" cy="175260"/>
                      <wp:effectExtent l="0" t="0" r="0" b="0"/>
                      <wp:wrapNone/>
                      <wp:docPr id="472" name="Frame4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29260" cy="175260"/>
                      <wp:effectExtent l="0" t="0" r="0" b="0"/>
                      <wp:wrapNone/>
                      <wp:docPr id="474" name="Frame4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9215" cy="175260"/>
                      <wp:effectExtent l="0" t="0" r="0" b="0"/>
                      <wp:wrapNone/>
                      <wp:docPr id="475" name="Frame4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95910" cy="175260"/>
                      <wp:effectExtent l="0" t="0" r="0" b="0"/>
                      <wp:wrapNone/>
                      <wp:docPr id="476" name="Frame47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91135" cy="175260"/>
                      <wp:effectExtent l="0" t="0" r="0" b="0"/>
                      <wp:wrapNone/>
                      <wp:docPr id="477" name="Frame47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9215" cy="175260"/>
                      <wp:effectExtent l="0" t="0" r="0" b="0"/>
                      <wp:wrapNone/>
                      <wp:docPr id="478" name="Frame4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33985" cy="175260"/>
                      <wp:effectExtent l="0" t="0" r="0" b="0"/>
                      <wp:wrapNone/>
                      <wp:docPr id="479"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29260" cy="175260"/>
                      <wp:effectExtent l="0" t="0" r="0" b="0"/>
                      <wp:wrapNone/>
                      <wp:docPr id="480" name="Frame4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9215" cy="175260"/>
                      <wp:effectExtent l="0" t="0" r="0" b="0"/>
                      <wp:wrapNone/>
                      <wp:docPr id="481" name="Frame4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97815" cy="175260"/>
                      <wp:effectExtent l="0" t="0" r="0" b="0"/>
                      <wp:wrapNone/>
                      <wp:docPr id="482" name="Frame482"/>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20980" cy="175260"/>
                      <wp:effectExtent l="0" t="0" r="0" b="0"/>
                      <wp:wrapNone/>
                      <wp:docPr id="483" name="Frame483"/>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29"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337"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8" w:type="dxa"/>
            <w:tcBorders/>
            <w:vAlign w:val="center"/>
          </w:tcPr>
          <w:p>
            <w:pPr>
              <w:pStyle w:val="TableContents"/>
              <w:bidi w:val="0"/>
              <w:spacing w:before="0" w:after="1"/>
              <w:ind w:left="0" w:right="0" w:hanging="0"/>
              <w:jc w:val="left"/>
              <w:rPr/>
            </w:pPr>
            <w:r>
              <w:rPr/>
              <w:t>​</w:t>
            </w:r>
          </w:p>
        </w:tc>
      </w:tr>
      <w:tr>
        <w:trPr/>
        <w:tc>
          <w:tcPr>
            <w:tcW w:w="22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6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0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  ​ ​ ​ ​</w:t>
            </w:r>
          </w:p>
        </w:tc>
        <w:tc>
          <w:tcPr>
            <w:tcW w:w="136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6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6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8" w:type="dxa"/>
            <w:tcBorders/>
            <w:vAlign w:val="center"/>
          </w:tcPr>
          <w:p>
            <w:pPr>
              <w:pStyle w:val="TableContents"/>
              <w:bidi w:val="0"/>
              <w:spacing w:before="0" w:after="1"/>
              <w:ind w:left="0" w:right="0" w:hanging="0"/>
              <w:jc w:val="left"/>
              <w:rPr/>
            </w:pPr>
            <w:r>
              <w:rPr/>
              <w:t>  ​</w:t>
            </w:r>
          </w:p>
        </w:tc>
      </w:tr>
      <w:tr>
        <w:trPr/>
        <w:tc>
          <w:tcPr>
            <w:tcW w:w="2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11,571</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8,342</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15,308</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13,062</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3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State and local income taxes, net of federal income tax effect </w:t>
            </w:r>
            <w:r>
              <w:rPr>
                <w:rFonts w:ascii="Times New Roman;Times;serif" w:hAnsi="Times New Roman;Times;serif"/>
                <w:b w:val="false"/>
                <w:i w:val="false"/>
                <w:caps w:val="false"/>
                <w:smallCaps w:val="false"/>
                <w:sz w:val="15"/>
              </w:rPr>
              <w:t>(a)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2,428</w:t>
            </w:r>
          </w:p>
        </w:tc>
        <w:tc>
          <w:tcPr>
            <w:tcW w:w="109"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w:t>
            </w:r>
          </w:p>
        </w:tc>
        <w:tc>
          <w:tcPr>
            <w:tcW w:w="109" w:type="dxa"/>
            <w:tcBorders/>
            <w:vAlign w:val="center"/>
          </w:tcPr>
          <w:p>
            <w:pPr>
              <w:pStyle w:val="TableContents"/>
              <w:bidi w:val="0"/>
              <w:spacing w:before="0" w:after="1"/>
              <w:ind w:left="0" w:right="0" w:hanging="0"/>
              <w:jc w:val="right"/>
              <w:rPr/>
            </w:pPr>
            <w:r>
              <w:rPr/>
              <w:t>​</w:t>
            </w:r>
          </w:p>
        </w:tc>
        <w:tc>
          <w:tcPr>
            <w:tcW w:w="4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3,212</w:t>
            </w:r>
          </w:p>
        </w:tc>
        <w:tc>
          <w:tcPr>
            <w:tcW w:w="109"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2,743</w:t>
            </w:r>
          </w:p>
        </w:tc>
        <w:tc>
          <w:tcPr>
            <w:tcW w:w="109" w:type="dxa"/>
            <w:tcBorders/>
            <w:vAlign w:val="center"/>
          </w:tcPr>
          <w:p>
            <w:pPr>
              <w:pStyle w:val="TableContents"/>
              <w:bidi w:val="0"/>
              <w:spacing w:before="0" w:after="1"/>
              <w:ind w:left="0" w:right="0" w:hanging="0"/>
              <w:jc w:val="right"/>
              <w:rPr/>
            </w:pPr>
            <w:r>
              <w:rPr/>
              <w:t>​</w:t>
            </w:r>
          </w:p>
        </w:tc>
        <w:tc>
          <w:tcPr>
            <w:tcW w:w="4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 related tax credits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or nondeductible and other items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vAlign w:val="center"/>
          </w:tcPr>
          <w:p>
            <w:pPr>
              <w:pStyle w:val="TableContents"/>
              <w:bidi w:val="0"/>
              <w:spacing w:before="0" w:after="1"/>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vAlign w:val="center"/>
          </w:tcPr>
          <w:p>
            <w:pPr>
              <w:pStyle w:val="TableContents"/>
              <w:bidi w:val="0"/>
              <w:spacing w:before="0" w:after="1"/>
              <w:ind w:left="0" w:right="0" w:hanging="0"/>
              <w:jc w:val="right"/>
              <w:rPr/>
            </w:pPr>
            <w:r>
              <w:rPr/>
              <w:t>​</w:t>
            </w:r>
          </w:p>
        </w:tc>
        <w:tc>
          <w:tcPr>
            <w:tcW w:w="4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1"/>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109" w:type="dxa"/>
            <w:tcBorders/>
            <w:vAlign w:val="center"/>
          </w:tcPr>
          <w:p>
            <w:pPr>
              <w:pStyle w:val="TableContents"/>
              <w:bidi w:val="0"/>
              <w:spacing w:before="0" w:after="1"/>
              <w:ind w:left="0" w:right="0" w:hanging="0"/>
              <w:jc w:val="right"/>
              <w:rPr/>
            </w:pPr>
            <w:r>
              <w:rPr/>
              <w:t>​</w:t>
            </w:r>
          </w:p>
        </w:tc>
        <w:tc>
          <w:tcPr>
            <w:tcW w:w="4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35" w:type="dxa"/>
            <w:tcBorders/>
            <w:shd w:fill="CCEEFF" w:val="cle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income tax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14,117</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9,949</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18,627</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15,757</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25.3</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5117" w:type="dxa"/>
        <w:jc w:val="left"/>
        <w:tblInd w:w="0" w:type="dxa"/>
        <w:tblLayout w:type="fixed"/>
        <w:tblCellMar>
          <w:top w:w="0" w:type="dxa"/>
          <w:left w:w="0" w:type="dxa"/>
          <w:bottom w:w="0" w:type="dxa"/>
          <w:right w:w="0" w:type="dxa"/>
        </w:tblCellMar>
      </w:tblPr>
      <w:tblGrid>
        <w:gridCol w:w="316"/>
        <w:gridCol w:w="480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4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State taxes in Florida make up all of the tax effect in this category.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the Company had income tax payable of $4.6 million and $2.1 million, respectively, included within accounts payable and other liabilities on the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general, a valuation allowance is recorded if, based on all available positive and negative evidence, it is more likely than not that some portion or all of the deferred tax assets will not be realized. Realization of the Company’s deferred tax assets is dependent upon the Company generating sufficient taxable income in future years in the appropriate tax jurisdictions to obtain a benefit from the reversal of deductible temporary differences and from loss carryforwards. As of both June 30, 2026 and December 31, 2025, the Company did not have a valuation allowance.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Significant judgment is required in evaluating the Company's uncertain tax positions and determining its provision for income taxes. The Company regularly assesses the likelihood of adverse outcomes resulting from potential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examinations to determine the adequacy of its provision for income taxes and applies a “more-likely-than-not” in determining the financial statement recognition and measurement of a tax position taken or expected to be taken in the tax returns. The Company has not identified any material unrecognized tax benefits as of June 30, 2026 or December 31, 2025.</w:t>
      </w:r>
    </w:p>
    <w:p>
      <w:pPr>
        <w:pStyle w:val="TextBody"/>
        <w:bidi w:val="0"/>
        <w:spacing w:before="0" w:after="240"/>
        <w:ind w:left="0" w:right="0" w:hanging="0"/>
        <w:jc w:val="left"/>
        <w:rPr>
          <w:rFonts w:ascii="Times New Roman;Times;serif" w:hAnsi="Times New Roman;Times;serif"/>
          <w:b/>
          <w:sz w:val="20"/>
        </w:rPr>
      </w:pPr>
      <w:bookmarkStart w:id="2175" w:name="Tc_P5UfvaZsBEWy2MfVwHqb7w_7_8"/>
      <w:bookmarkStart w:id="2176" w:name="Tc_A9uzO-wdRUywzXase4_n2A_7_5"/>
      <w:bookmarkStart w:id="2177" w:name="Tc_oLHvYgwPm0mMGWZZb2ehjw_7_2"/>
      <w:bookmarkStart w:id="2178" w:name="Tc_jlBy7_maKkS2tAxnSXakkw_7_0"/>
      <w:bookmarkStart w:id="2179" w:name="Tc_aNqyrLfuCECaW2wMAsvazA_6_0"/>
      <w:bookmarkStart w:id="2180" w:name="Tc_JJi9xzaTcU6tIC5lIZsM4w_5_0"/>
      <w:bookmarkStart w:id="2181" w:name="Tc_aahAaGtqNE6Mbx7d9fbDjg_4_8"/>
      <w:bookmarkStart w:id="2182" w:name="Tc_-2BQ-YdrSEGvKbye_ZuFtA_4_5"/>
      <w:bookmarkStart w:id="2183" w:name="Tc_-tjf1Dsw20qZgiyxxmhVaA_4_2"/>
      <w:bookmarkStart w:id="2184" w:name="Tc_rjzZdomTA0iDgMii2Rkx5A_4_0"/>
      <w:bookmarkStart w:id="2185" w:name="Tc_ByWbuHTn90SPf4usnfVYfA_3_8"/>
      <w:bookmarkStart w:id="2186" w:name="Tc_DkaGeCvWckqO1HZlixantg_3_5"/>
      <w:bookmarkStart w:id="2187" w:name="Tc_LRUfPsBna0SiMqa-UK0S2A_3_2"/>
      <w:bookmarkStart w:id="2188" w:name="Tc_3O_InROrX0-8_g_4HFOa3w_2_8"/>
      <w:bookmarkStart w:id="2189" w:name="Tc_tBAjqjfWa0iv5XK8ntyRgQ_2_5"/>
      <w:bookmarkStart w:id="2190" w:name="Tc_Hrk-WukGTU-j03icar9VDQ_2_2"/>
      <w:bookmarkStart w:id="2191" w:name="Tc_STMwvD-aV0S-jWJfPOQ2Pg_1_2"/>
      <w:bookmarkStart w:id="2192" w:name="_29bc4a67_1c9b_4e5f_ba05_35313b059ce1"/>
      <w:bookmarkStart w:id="2193" w:name="Tc_edQXRPjj1UCx-MiLPur3bg_8_8"/>
      <w:bookmarkStart w:id="2194" w:name="Tc_RjaGwA7TikmaH0HYEjzdcg_8_5"/>
      <w:bookmarkStart w:id="2195" w:name="Tc_hSLwQwW7ykavlicXEWo52A_8_2"/>
      <w:bookmarkStart w:id="2196" w:name="Tc_fK0eK6ESwE2d-kcsn_0Yjw_8_0"/>
      <w:bookmarkStart w:id="2197" w:name="Tc_GWLPKL-45Ey_3rHTZrJMtw_7_0"/>
      <w:bookmarkStart w:id="2198" w:name="Tc_Gc4B26-R10yppJNzU2x_Fg_6_0"/>
      <w:bookmarkStart w:id="2199" w:name="Tc_Vl2xIa8KyUywy3uh87IPsw_5_0"/>
      <w:bookmarkStart w:id="2200" w:name="Tc_GRUN1L2N7EWonlCTLOh-sg_4_8"/>
      <w:bookmarkStart w:id="2201" w:name="Tc_lW7AG5MPEEiN_VcTsffwYw_4_5"/>
      <w:bookmarkStart w:id="2202" w:name="Tc_jfqYqSkoFkunmykl_p2JVQ_4_2"/>
      <w:bookmarkStart w:id="2203" w:name="Tc_KgDI58331kmzV5HhIjpZ-Q_4_0"/>
      <w:bookmarkStart w:id="2204" w:name="Tc_dgvnI2tc8UODQBY_Sxn_uw_3_8"/>
      <w:bookmarkStart w:id="2205" w:name="Tc_UTYkB23XN0-XBbkUNAFgSg_3_5"/>
      <w:bookmarkStart w:id="2206" w:name="Tc_Mi_XIiIBIEm64_emVDtpjw_3_2"/>
      <w:bookmarkStart w:id="2207" w:name="Tc_UrOztnNoike6Ah7wPxRSzg_2_8"/>
      <w:bookmarkStart w:id="2208" w:name="Tc_KtqZSwlMYUKZrKqxaDFOWA_2_5"/>
      <w:bookmarkStart w:id="2209" w:name="Tc_0eLvWKSXUUSkRetmfGpc8A_2_2"/>
      <w:bookmarkStart w:id="2210" w:name="Tc_CrsW2b9viEG964v8nq667g_1_2"/>
      <w:bookmarkStart w:id="2211" w:name="_ebda50c0_6f19_4c1a_8be2_50378ab29170"/>
      <w:bookmarkStart w:id="2212" w:name="Tc_AZYmVKY4B0-FPn3ht9lqsA_7_8"/>
      <w:bookmarkStart w:id="2213" w:name="Tc_2RFYK4Kay0Cyrvr7eynqjQ_7_5"/>
      <w:bookmarkStart w:id="2214" w:name="Tc_pvf3NIKnzU-IDzwk8FzLDg_7_2"/>
      <w:bookmarkStart w:id="2215" w:name="Tc_hBXMwq8GVEaHAjSrWdgTcw_7_0"/>
      <w:bookmarkStart w:id="2216" w:name="Tc_mlSCkfAA4EGUqDKC1LVlwA_6_0"/>
      <w:bookmarkStart w:id="2217" w:name="Tc_u-H-S31dG0OBQqGy1rqOcw_5_0"/>
      <w:bookmarkStart w:id="2218" w:name="Tc_6jyUKdntR0-5zh-zLZ7aHw_4_8"/>
      <w:bookmarkStart w:id="2219" w:name="Tc_EDPDWN_IpEmzFSuD907KKg_4_5"/>
      <w:bookmarkStart w:id="2220" w:name="Tc_naWL5lyi0kWmm-PPeYvhPA_4_2"/>
      <w:bookmarkStart w:id="2221" w:name="Tc_Ea5LwokNOkC--I6VKO8pLg_4_0"/>
      <w:bookmarkStart w:id="2222" w:name="Tc_6X5X9p1W-EehRIy4nfWllQ_3_8"/>
      <w:bookmarkStart w:id="2223" w:name="Tc_hZIyvPBdSEOx9ZBP-B1FdQ_3_5"/>
      <w:bookmarkStart w:id="2224" w:name="Tc_3Wp_BzYClU-V_cqDubBzhQ_3_2"/>
      <w:bookmarkStart w:id="2225" w:name="Tc_r38pHEEggEm7G6kaL1StCQ_2_8"/>
      <w:bookmarkStart w:id="2226" w:name="Tc_mvrX9yKS10iR2v-40GEClw_2_5"/>
      <w:bookmarkStart w:id="2227" w:name="Tc_CXtynQaYg0iVX-Wf3TxBWA_2_2"/>
      <w:bookmarkStart w:id="2228" w:name="Tc_j2Gf7s5QskqqIL-lii4iiA_1_2"/>
      <w:bookmarkStart w:id="2229" w:name="_8dc5b6f9_490d_49fe_aa1d_1350797f2b66"/>
      <w:bookmarkStart w:id="2230" w:name="Tc_bHXAxJ96606cXrbeQ_mv2Q_10_6"/>
      <w:bookmarkStart w:id="2231" w:name="Tc_dPHzrQ2MTke0nHKpbfhOwA_10_3"/>
      <w:bookmarkStart w:id="2232" w:name="Tc_5o2wgQBbsUWUa5mzUD6S3Q_10_0"/>
      <w:bookmarkStart w:id="2233" w:name="Tc_FfUw_UlN8UGaxa7vsUf3jA_9_0"/>
      <w:bookmarkStart w:id="2234" w:name="Tc_gD80CYP67ka4vV4NKV4j0g_8_0"/>
      <w:bookmarkStart w:id="2235" w:name="Tc_3oul4jvfq02wyrzzUj-Fxw_7_0"/>
      <w:bookmarkStart w:id="2236" w:name="Tc_KeyoK8aYcEy91piZtvxfEQ_6_0"/>
      <w:bookmarkStart w:id="2237" w:name="Tc_zbEPpGqVsUqWhq2-EMaNZw_5_6"/>
      <w:bookmarkStart w:id="2238" w:name="Tc_3cTBu0C0bkaatoTuFq_FpA_5_3"/>
      <w:bookmarkStart w:id="2239" w:name="Tc_ti4kEn6IrE6mrTPif76JKQ_5_0"/>
      <w:bookmarkStart w:id="2240" w:name="Tc_KF6mmou8JEWY06R1A_C05Q_4_6"/>
      <w:bookmarkStart w:id="2241" w:name="Tc_omzw09kRmUaLNicWJTs32Q_4_3"/>
      <w:bookmarkStart w:id="2242" w:name="Tc_xOkqhA1rVE62S7zCQ1kEpg_3_3"/>
      <w:bookmarkStart w:id="2243" w:name="Tc_AzcBmXupkkqhNUL9xG2F9g_2_3"/>
      <w:bookmarkStart w:id="2244" w:name="Tc_TumkuHLNEUq592yDhbVb7g_1_3"/>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r>
        <w:rPr>
          <w:rFonts w:ascii="Times New Roman;Times;serif" w:hAnsi="Times New Roman;Times;serif"/>
          <w:b/>
          <w:sz w:val="20"/>
        </w:rPr>
        <w:t>12. Accumulated Other Comprehensive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is a summary of the changes in the balances of accumulated other comprehensive income, which is presented net of tax:</w:t>
      </w:r>
    </w:p>
    <w:p>
      <w:pPr>
        <w:pStyle w:val="TextBody"/>
        <w:bidi w:val="0"/>
        <w:spacing w:before="0" w:after="0"/>
        <w:ind w:left="0" w:right="0" w:hanging="0"/>
        <w:jc w:val="left"/>
        <w:rPr/>
      </w:pPr>
      <w:r>
        <w:rPr/>
        <w:t>​</w:t>
      </w:r>
    </w:p>
    <w:tbl>
      <w:tblPr>
        <w:tblW w:w="8182" w:type="dxa"/>
        <w:jc w:val="left"/>
        <w:tblInd w:w="0" w:type="dxa"/>
        <w:tblLayout w:type="fixed"/>
        <w:tblCellMar>
          <w:top w:w="0" w:type="dxa"/>
          <w:left w:w="0" w:type="dxa"/>
          <w:bottom w:w="0" w:type="dxa"/>
          <w:right w:w="0" w:type="dxa"/>
        </w:tblCellMar>
      </w:tblPr>
      <w:tblGrid>
        <w:gridCol w:w="5851"/>
        <w:gridCol w:w="109"/>
        <w:gridCol w:w="146"/>
        <w:gridCol w:w="356"/>
        <w:gridCol w:w="814"/>
        <w:gridCol w:w="109"/>
        <w:gridCol w:w="211"/>
        <w:gridCol w:w="586"/>
      </w:tblGrid>
      <w:tr>
        <w:trPr/>
        <w:tc>
          <w:tcPr>
            <w:tcW w:w="5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3715385" cy="175260"/>
                      <wp:effectExtent l="0" t="0" r="0" b="0"/>
                      <wp:wrapNone/>
                      <wp:docPr id="484" name="Frame484"/>
                      <a:graphic xmlns:a="http://schemas.openxmlformats.org/drawingml/2006/main">
                        <a:graphicData uri="http://schemas.microsoft.com/office/word/2010/wordprocessingShape">
                          <wps:wsp>
                            <wps:cNvSpPr txBox="1"/>
                            <wps:spPr>
                              <a:xfrm>
                                <a:off x="0" y="0"/>
                                <a:ext cx="3715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9215" cy="175260"/>
                      <wp:effectExtent l="0" t="0" r="0" b="0"/>
                      <wp:wrapNone/>
                      <wp:docPr id="485" name="Frame4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92710" cy="175260"/>
                      <wp:effectExtent l="0" t="0" r="0" b="0"/>
                      <wp:wrapNone/>
                      <wp:docPr id="486" name="Frame4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26060" cy="175260"/>
                      <wp:effectExtent l="0" t="0" r="0" b="0"/>
                      <wp:wrapNone/>
                      <wp:docPr id="487" name="Frame487"/>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16890" cy="175260"/>
                      <wp:effectExtent l="0" t="0" r="0" b="0"/>
                      <wp:wrapNone/>
                      <wp:docPr id="488" name="Frame488"/>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9215" cy="175260"/>
                      <wp:effectExtent l="0" t="0" r="0" b="0"/>
                      <wp:wrapNone/>
                      <wp:docPr id="489" name="Frame4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72110" cy="175260"/>
                      <wp:effectExtent l="0" t="0" r="0" b="0"/>
                      <wp:wrapNone/>
                      <wp:docPr id="491" name="Frame49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pPr>
            <w:r>
              <w:rPr/>
              <w:t>​</w:t>
            </w:r>
          </w:p>
        </w:tc>
      </w:tr>
      <w:tr>
        <w:trPr/>
        <w:tc>
          <w:tcPr>
            <w:tcW w:w="58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r>
      <w:tr>
        <w:trPr/>
        <w:tc>
          <w:tcPr>
            <w:tcW w:w="58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r>
      <w:tr>
        <w:trPr/>
        <w:tc>
          <w:tcPr>
            <w:tcW w:w="58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Hedges</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as of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594</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before reclassifications</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comprehensive loss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as of June 30, 2026</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is a summary of the tax effects allocated to other comprehensive (loss) income:</w:t>
      </w:r>
    </w:p>
    <w:p>
      <w:pPr>
        <w:pStyle w:val="TextBody"/>
        <w:bidi w:val="0"/>
        <w:spacing w:before="0" w:after="0"/>
        <w:ind w:left="0" w:right="0" w:hanging="0"/>
        <w:jc w:val="left"/>
        <w:rPr/>
      </w:pPr>
      <w:r>
        <w:rPr/>
        <w:t>​</w:t>
      </w:r>
    </w:p>
    <w:tbl>
      <w:tblPr>
        <w:tblW w:w="9801" w:type="dxa"/>
        <w:jc w:val="left"/>
        <w:tblInd w:w="0" w:type="dxa"/>
        <w:tblLayout w:type="fixed"/>
        <w:tblCellMar>
          <w:top w:w="0" w:type="dxa"/>
          <w:left w:w="0" w:type="dxa"/>
          <w:bottom w:w="0" w:type="dxa"/>
          <w:right w:w="0" w:type="dxa"/>
        </w:tblCellMar>
      </w:tblPr>
      <w:tblGrid>
        <w:gridCol w:w="5536"/>
        <w:gridCol w:w="346"/>
        <w:gridCol w:w="311"/>
        <w:gridCol w:w="710"/>
        <w:gridCol w:w="346"/>
        <w:gridCol w:w="409"/>
        <w:gridCol w:w="731"/>
        <w:gridCol w:w="346"/>
        <w:gridCol w:w="305"/>
        <w:gridCol w:w="76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515360" cy="175260"/>
                      <wp:effectExtent l="0" t="0" r="0" b="0"/>
                      <wp:wrapNone/>
                      <wp:docPr id="492" name="Frame492"/>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93"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97485" cy="175260"/>
                      <wp:effectExtent l="0" t="0" r="0" b="0"/>
                      <wp:wrapNone/>
                      <wp:docPr id="494" name="Frame494"/>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50850" cy="175260"/>
                      <wp:effectExtent l="0" t="0" r="0" b="0"/>
                      <wp:wrapNone/>
                      <wp:docPr id="495" name="Frame495"/>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59715" cy="175260"/>
                      <wp:effectExtent l="0" t="0" r="0" b="0"/>
                      <wp:wrapNone/>
                      <wp:docPr id="497" name="Frame497"/>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64185" cy="175260"/>
                      <wp:effectExtent l="0" t="0" r="0" b="0"/>
                      <wp:wrapNone/>
                      <wp:docPr id="498" name="Frame498"/>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9"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93675" cy="175260"/>
                      <wp:effectExtent l="0" t="0" r="0" b="0"/>
                      <wp:wrapNone/>
                      <wp:docPr id="500" name="Frame500"/>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83235" cy="175260"/>
                      <wp:effectExtent l="0" t="0" r="0" b="0"/>
                      <wp:wrapNone/>
                      <wp:docPr id="501" name="Frame50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1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5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(Expense)</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1"/>
              <w:ind w:left="0" w:right="0" w:hanging="0"/>
              <w:jc w:val="left"/>
              <w:rPr/>
            </w:pPr>
            <w:r>
              <w:rPr/>
              <w:t>​</w:t>
            </w:r>
          </w:p>
        </w:tc>
        <w:tc>
          <w:tcPr>
            <w:tcW w:w="4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adjustment for net (gain) loss included in earnings</w:t>
            </w:r>
          </w:p>
        </w:tc>
        <w:tc>
          <w:tcPr>
            <w:tcW w:w="34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vAlign w:val="center"/>
          </w:tcPr>
          <w:p>
            <w:pPr>
              <w:pStyle w:val="TableContents"/>
              <w:bidi w:val="0"/>
              <w:spacing w:before="0" w:after="1"/>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unrealized (loss) gain</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1"/>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46"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w:t>
            </w:r>
          </w:p>
        </w:tc>
        <w:tc>
          <w:tcPr>
            <w:tcW w:w="346" w:type="dxa"/>
            <w:tcBorders/>
            <w:vAlign w:val="center"/>
          </w:tcPr>
          <w:p>
            <w:pPr>
              <w:pStyle w:val="TableContents"/>
              <w:bidi w:val="0"/>
              <w:spacing w:before="0" w:after="1"/>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w:t>
            </w:r>
          </w:p>
        </w:tc>
      </w:tr>
    </w:tbl>
    <w:p>
      <w:pPr>
        <w:pStyle w:val="TextBody"/>
        <w:bidi w:val="0"/>
        <w:spacing w:before="0" w:after="240"/>
        <w:ind w:left="0" w:right="0" w:firstLine="360"/>
        <w:jc w:val="left"/>
        <w:rPr/>
      </w:pPr>
      <w:r>
        <w:rPr/>
        <w:t>​</w:t>
      </w:r>
    </w:p>
    <w:tbl>
      <w:tblPr>
        <w:tblW w:w="9606" w:type="dxa"/>
        <w:jc w:val="left"/>
        <w:tblInd w:w="0" w:type="dxa"/>
        <w:tblLayout w:type="fixed"/>
        <w:tblCellMar>
          <w:top w:w="0" w:type="dxa"/>
          <w:left w:w="0" w:type="dxa"/>
          <w:bottom w:w="0" w:type="dxa"/>
          <w:right w:w="0" w:type="dxa"/>
        </w:tblCellMar>
      </w:tblPr>
      <w:tblGrid>
        <w:gridCol w:w="5536"/>
        <w:gridCol w:w="346"/>
        <w:gridCol w:w="311"/>
        <w:gridCol w:w="710"/>
        <w:gridCol w:w="346"/>
        <w:gridCol w:w="377"/>
        <w:gridCol w:w="568"/>
        <w:gridCol w:w="346"/>
        <w:gridCol w:w="305"/>
        <w:gridCol w:w="76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3515360" cy="175260"/>
                      <wp:effectExtent l="0" t="0" r="0" b="0"/>
                      <wp:wrapNone/>
                      <wp:docPr id="502" name="Frame502"/>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503"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97485" cy="175260"/>
                      <wp:effectExtent l="0" t="0" r="0" b="0"/>
                      <wp:wrapNone/>
                      <wp:docPr id="504" name="Frame504"/>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50850" cy="175260"/>
                      <wp:effectExtent l="0" t="0" r="0" b="0"/>
                      <wp:wrapNone/>
                      <wp:docPr id="505" name="Frame505"/>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6"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39395" cy="175260"/>
                      <wp:effectExtent l="0" t="0" r="0" b="0"/>
                      <wp:wrapNone/>
                      <wp:docPr id="507" name="Frame50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360680" cy="175260"/>
                      <wp:effectExtent l="0" t="0" r="0" b="0"/>
                      <wp:wrapNone/>
                      <wp:docPr id="508" name="Frame508"/>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9"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93675" cy="175260"/>
                      <wp:effectExtent l="0" t="0" r="0" b="0"/>
                      <wp:wrapNone/>
                      <wp:docPr id="510" name="Frame510"/>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83235" cy="175260"/>
                      <wp:effectExtent l="0" t="0" r="0" b="0"/>
                      <wp:wrapNone/>
                      <wp:docPr id="511" name="Frame51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2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5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46" w:type="dxa"/>
            <w:tcBorders/>
            <w:vAlign w:val="center"/>
          </w:tcPr>
          <w:p>
            <w:pPr>
              <w:pStyle w:val="TableContents"/>
              <w:bidi w:val="0"/>
              <w:spacing w:before="0" w:after="1"/>
              <w:ind w:left="0" w:right="0" w:hanging="0"/>
              <w:jc w:val="left"/>
              <w:rPr/>
            </w:pPr>
            <w:r>
              <w:rPr/>
              <w:t>  ​ ​ ​</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Benefit</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 - unconsolidated affiliate</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5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adjustment for net (gain) loss included in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unrealized (loss) gain</w:t>
            </w:r>
          </w:p>
        </w:tc>
        <w:tc>
          <w:tcPr>
            <w:tcW w:w="34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vAlign w:val="center"/>
          </w:tcPr>
          <w:p>
            <w:pPr>
              <w:pStyle w:val="TableContents"/>
              <w:bidi w:val="0"/>
              <w:spacing w:before="0" w:after="1"/>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1"/>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(352)</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(288)</w:t>
            </w:r>
          </w:p>
        </w:tc>
      </w:tr>
    </w:tbl>
    <w:p>
      <w:pPr>
        <w:pStyle w:val="TextBody"/>
        <w:bidi w:val="0"/>
        <w:spacing w:before="0" w:after="240"/>
        <w:ind w:left="0" w:right="0" w:firstLine="360"/>
        <w:jc w:val="left"/>
        <w:rPr/>
      </w:pPr>
      <w:r>
        <w:rPr/>
        <w:t>​</w:t>
      </w:r>
    </w:p>
    <w:tbl>
      <w:tblPr>
        <w:tblW w:w="9801" w:type="dxa"/>
        <w:jc w:val="left"/>
        <w:tblInd w:w="0" w:type="dxa"/>
        <w:tblLayout w:type="fixed"/>
        <w:tblCellMar>
          <w:top w:w="0" w:type="dxa"/>
          <w:left w:w="0" w:type="dxa"/>
          <w:bottom w:w="0" w:type="dxa"/>
          <w:right w:w="0" w:type="dxa"/>
        </w:tblCellMar>
      </w:tblPr>
      <w:tblGrid>
        <w:gridCol w:w="5536"/>
        <w:gridCol w:w="346"/>
        <w:gridCol w:w="311"/>
        <w:gridCol w:w="710"/>
        <w:gridCol w:w="346"/>
        <w:gridCol w:w="408"/>
        <w:gridCol w:w="732"/>
        <w:gridCol w:w="346"/>
        <w:gridCol w:w="305"/>
        <w:gridCol w:w="76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3515360" cy="175260"/>
                      <wp:effectExtent l="0" t="0" r="0" b="0"/>
                      <wp:wrapNone/>
                      <wp:docPr id="512" name="Frame512"/>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3"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97485" cy="175260"/>
                      <wp:effectExtent l="0" t="0" r="0" b="0"/>
                      <wp:wrapNone/>
                      <wp:docPr id="514" name="Frame514"/>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50850" cy="175260"/>
                      <wp:effectExtent l="0" t="0" r="0" b="0"/>
                      <wp:wrapNone/>
                      <wp:docPr id="515" name="Frame515"/>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6"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59080" cy="175260"/>
                      <wp:effectExtent l="0" t="0" r="0" b="0"/>
                      <wp:wrapNone/>
                      <wp:docPr id="517" name="Frame517"/>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64820" cy="175260"/>
                      <wp:effectExtent l="0" t="0" r="0" b="0"/>
                      <wp:wrapNone/>
                      <wp:docPr id="518" name="Frame518"/>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9710" cy="175260"/>
                      <wp:effectExtent l="0" t="0" r="0" b="0"/>
                      <wp:wrapNone/>
                      <wp:docPr id="519"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93675" cy="175260"/>
                      <wp:effectExtent l="0" t="0" r="0" b="0"/>
                      <wp:wrapNone/>
                      <wp:docPr id="520" name="Frame520"/>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83235" cy="175260"/>
                      <wp:effectExtent l="0" t="0" r="0" b="0"/>
                      <wp:wrapNone/>
                      <wp:docPr id="521" name="Frame52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(Expense)</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adjustment for net (gain) loss included in earnings</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346" w:type="dxa"/>
            <w:tcBorders/>
            <w:vAlign w:val="center"/>
          </w:tcPr>
          <w:p>
            <w:pPr>
              <w:pStyle w:val="TableContents"/>
              <w:bidi w:val="0"/>
              <w:spacing w:before="0" w:after="0"/>
              <w:ind w:left="0" w:right="0" w:hanging="0"/>
              <w:jc w:val="left"/>
              <w:rPr/>
            </w:pPr>
            <w:r>
              <w:rPr/>
              <w:t>​</w:t>
            </w:r>
          </w:p>
        </w:tc>
        <w:tc>
          <w:tcPr>
            <w:tcW w:w="4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4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w:t>
            </w:r>
          </w:p>
        </w:tc>
        <w:tc>
          <w:tcPr>
            <w:tcW w:w="346" w:type="dxa"/>
            <w:tcBorders/>
            <w:vAlign w:val="center"/>
          </w:tcPr>
          <w:p>
            <w:pPr>
              <w:pStyle w:val="TableContents"/>
              <w:bidi w:val="0"/>
              <w:spacing w:before="0" w:after="0"/>
              <w:ind w:left="0" w:right="0" w:hanging="0"/>
              <w:jc w:val="left"/>
              <w:rPr/>
            </w:pPr>
            <w:r>
              <w:rPr/>
              <w:t>​</w:t>
            </w:r>
          </w:p>
        </w:tc>
        <w:tc>
          <w:tcPr>
            <w:tcW w:w="4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w:t>
            </w:r>
          </w:p>
        </w:tc>
      </w:tr>
    </w:tbl>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245" w:name="Tc_7TAJHyP-2EKbGv3Y6JXVgQ_8_8"/>
      <w:bookmarkStart w:id="2246" w:name="Tc_qkmLG2cOzk-UWXSchHhPgA_8_5"/>
      <w:bookmarkStart w:id="2247" w:name="Tc_T3UNTPbsN0iey9xZSAgUKg_8_2"/>
      <w:bookmarkStart w:id="2248" w:name="Tc_EoRPKYG29kCDwICS8p6p4w_8_0"/>
      <w:bookmarkStart w:id="2249" w:name="Tc_sWndewGZcEyUfQ3kiWqVdQ_7_0"/>
      <w:bookmarkStart w:id="2250" w:name="Tc_l-6Q0wkcXUmrDgwRogNDww_6_0"/>
      <w:bookmarkStart w:id="2251" w:name="Tc_YdtzY8h5HUCRiPQa-z5xsQ_5_0"/>
      <w:bookmarkStart w:id="2252" w:name="Tc_H9nAsC3Ll0WPdZuWE4rp_A_4_8"/>
      <w:bookmarkStart w:id="2253" w:name="Tc_ojBGeIDMvU-2nCmxJs1ORQ_4_5"/>
      <w:bookmarkStart w:id="2254" w:name="Tc_8sQqWoop3kC4ACysEB270A_4_2"/>
      <w:bookmarkStart w:id="2255" w:name="Tc_He6pHWYsG0uPt7OeUc97Jg_4_0"/>
      <w:bookmarkStart w:id="2256" w:name="Tc_ZCbSzpX4L0utbxyRg92CaA_3_8"/>
      <w:bookmarkStart w:id="2257" w:name="Tc_aqDeMso8kUewUXJaYLmrNw_3_5"/>
      <w:bookmarkStart w:id="2258" w:name="Tc_ReYl1Bu4Dk2tQd4ZnOPtgQ_3_2"/>
      <w:bookmarkStart w:id="2259" w:name="Tc_pK5GKHb1h0-OeFaNuMixuA_2_8"/>
      <w:bookmarkStart w:id="2260" w:name="Tc_MtX1UPpQz0WFLLdL9XpwSg_2_5"/>
      <w:bookmarkStart w:id="2261" w:name="Tc_U8kqM1uiPku40JxPrvFcpw_2_2"/>
      <w:bookmarkStart w:id="2262" w:name="Tc_JOeZhGV1l0ePPCmD_RShxg_1_2"/>
      <w:bookmarkStart w:id="2263" w:name="_5213bc65_f60a_467e_8aea_44586832ca6b"/>
      <w:bookmarkStart w:id="2264" w:name="Tc_7TAJHyP-2EKbGv3Y6JXVgQ_8_8"/>
      <w:bookmarkStart w:id="2265" w:name="Tc_qkmLG2cOzk-UWXSchHhPgA_8_5"/>
      <w:bookmarkStart w:id="2266" w:name="Tc_T3UNTPbsN0iey9xZSAgUKg_8_2"/>
      <w:bookmarkStart w:id="2267" w:name="Tc_EoRPKYG29kCDwICS8p6p4w_8_0"/>
      <w:bookmarkStart w:id="2268" w:name="Tc_sWndewGZcEyUfQ3kiWqVdQ_7_0"/>
      <w:bookmarkStart w:id="2269" w:name="Tc_l-6Q0wkcXUmrDgwRogNDww_6_0"/>
      <w:bookmarkStart w:id="2270" w:name="Tc_YdtzY8h5HUCRiPQa-z5xsQ_5_0"/>
      <w:bookmarkStart w:id="2271" w:name="Tc_H9nAsC3Ll0WPdZuWE4rp_A_4_8"/>
      <w:bookmarkStart w:id="2272" w:name="Tc_ojBGeIDMvU-2nCmxJs1ORQ_4_5"/>
      <w:bookmarkStart w:id="2273" w:name="Tc_8sQqWoop3kC4ACysEB270A_4_2"/>
      <w:bookmarkStart w:id="2274" w:name="Tc_He6pHWYsG0uPt7OeUc97Jg_4_0"/>
      <w:bookmarkStart w:id="2275" w:name="Tc_ZCbSzpX4L0utbxyRg92CaA_3_8"/>
      <w:bookmarkStart w:id="2276" w:name="Tc_aqDeMso8kUewUXJaYLmrNw_3_5"/>
      <w:bookmarkStart w:id="2277" w:name="Tc_ReYl1Bu4Dk2tQd4ZnOPtgQ_3_2"/>
      <w:bookmarkStart w:id="2278" w:name="Tc_pK5GKHb1h0-OeFaNuMixuA_2_8"/>
      <w:bookmarkStart w:id="2279" w:name="Tc_MtX1UPpQz0WFLLdL9XpwSg_2_5"/>
      <w:bookmarkStart w:id="2280" w:name="Tc_U8kqM1uiPku40JxPrvFcpw_2_2"/>
      <w:bookmarkStart w:id="2281" w:name="Tc_JOeZhGV1l0ePPCmD_RShxg_1_2"/>
      <w:bookmarkStart w:id="2282" w:name="_5213bc65_f60a_467e_8aea_44586832ca6b"/>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p>
    <w:tbl>
      <w:tblPr>
        <w:tblW w:w="9606" w:type="dxa"/>
        <w:jc w:val="left"/>
        <w:tblInd w:w="0" w:type="dxa"/>
        <w:tblLayout w:type="fixed"/>
        <w:tblCellMar>
          <w:top w:w="0" w:type="dxa"/>
          <w:left w:w="0" w:type="dxa"/>
          <w:bottom w:w="0" w:type="dxa"/>
          <w:right w:w="0" w:type="dxa"/>
        </w:tblCellMar>
      </w:tblPr>
      <w:tblGrid>
        <w:gridCol w:w="5536"/>
        <w:gridCol w:w="346"/>
        <w:gridCol w:w="311"/>
        <w:gridCol w:w="710"/>
        <w:gridCol w:w="346"/>
        <w:gridCol w:w="315"/>
        <w:gridCol w:w="630"/>
        <w:gridCol w:w="346"/>
        <w:gridCol w:w="305"/>
        <w:gridCol w:w="76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3515360" cy="175260"/>
                      <wp:effectExtent l="0" t="0" r="0" b="0"/>
                      <wp:wrapNone/>
                      <wp:docPr id="522" name="Frame522"/>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19710" cy="175260"/>
                      <wp:effectExtent l="0" t="0" r="0" b="0"/>
                      <wp:wrapNone/>
                      <wp:docPr id="523"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97485" cy="175260"/>
                      <wp:effectExtent l="0" t="0" r="0" b="0"/>
                      <wp:wrapNone/>
                      <wp:docPr id="524" name="Frame524"/>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450850" cy="175260"/>
                      <wp:effectExtent l="0" t="0" r="0" b="0"/>
                      <wp:wrapNone/>
                      <wp:docPr id="525" name="Frame525"/>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6"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0025" cy="175260"/>
                      <wp:effectExtent l="0" t="0" r="0" b="0"/>
                      <wp:wrapNone/>
                      <wp:docPr id="527" name="Frame527"/>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400050" cy="175260"/>
                      <wp:effectExtent l="0" t="0" r="0" b="0"/>
                      <wp:wrapNone/>
                      <wp:docPr id="528" name="Frame528"/>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9" name="Frame5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93675" cy="175260"/>
                      <wp:effectExtent l="0" t="0" r="0" b="0"/>
                      <wp:wrapNone/>
                      <wp:docPr id="530" name="Frame530"/>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83235" cy="175260"/>
                      <wp:effectExtent l="0" t="0" r="0" b="0"/>
                      <wp:wrapNone/>
                      <wp:docPr id="531" name="Frame53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Benefit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 unconsolidated joint venture</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adjustment for net (gain) loss included in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(loss) gain</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(921)</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2026 and 2025, the Company paid dividends of $0.16 and $0.14, respectively, per share on the Company’s common stock for a total of $9.1 million and $8.1 million, respectively. During the six months ended June 30, 2026 and 2025, the Company paid dividends of $0.32 and $0.28, respectively, per share on the Company’s common stock for a total of $18.3 million and $16.3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Board of Directors (the “Board”) approved a stock repurchase program (the “Stock Repurchase Program”) pursuant to which the Company is authorized to repurchase shares of its common stock. The program has no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2026, the Company repurchased 499,700 shares of its common stock outstanding at an average repurchase price of $65.42, per share, for an aggregate purchase price of $32.7 million, excluding the excise tax on stock repurchases in excess of issuances. During the three months ended June 30, 2025, the Company repurchased 235,400 shares of its common stock outstanding at an average repurchase price of $44.66, per share, for an aggregate purchase price of $10.5 million, excluding the excise tax on stock repurchases in excess of issuances. During the six months ended June 30, 2026, the Company repurchased 575,837 shares of its common stock outstanding at an average repurchase price of $65.54, per share, for an aggregate purchase price of $37.7 million, excluding the excise tax on stock repurchases in excess of issuances. During the six months ended June 30, 2025, the Company repurchased 359,014 shares of its common stock outstanding at an average repurchase price of $45.13, per share, for an aggregate purchase price of $16.2 million, excluding the excise tax on stock repurchases in excess of issuances. In May 2026, the Board increased the total authorization under the Stock Repurchase Program to $200.0 million. As of June 30, 2026, the Company had a total authority of $173.0 million available for purchase of shares of its common stock. The Company may repurchase its common stock in open market purchases from time to time, in privately negotiated transactions or otherwise, pursuant to Rule 10b-18 under the Securities Exchange Act of 1934, as amended (the “Exchange Act”). The timing and amount of any additional stock to be repurchased will depend upon a variety of factors. Repurchases may be commenced or suspended at any time or from time to time without prior notice. The Stock Repurchase Program will continue until otherwise modified or terminated by the Company’s Board at any time in its sole discretion.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Issuance of Common Stock for Employee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2026, the Company granted 28,411 restricted stock awards to certain employees pursuant to the Company’s 2025 Performance and Equity Incentive Plan (the “2025 Plan”). The restricted stock awards vest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continued employment through and on the applicable vesting date. During the six months ended June 30, 2026, 1,766 unvested restricted shares were forfeited. The weighted average grant date fair value of the restricted stock awards was $72.69 per share.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2025, the Company granted 16,076 restricted stock awards to certain employees pursuant to the Company’s 2015 Performance and Equity Incentive Plan (the “2015 Plan”). The restricted stock awards vest in equal annual installments on the first, second and </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annual anniversary of the grant date, subject to the recipient’s continued employment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283" w:name="Tc_JVOYZVZ4V0WNA03I9o6aBg_10_9"/>
      <w:bookmarkStart w:id="2284" w:name="Tc_K32APWHZV0a2mNxlqfdMCA_10_4"/>
      <w:bookmarkStart w:id="2285" w:name="Tc_07vEvvryikGPlI_TwJPLLw_10_0"/>
      <w:bookmarkStart w:id="2286" w:name="Tc_cC7bJkRol0CNDVHE8Y6DnQ_9_10"/>
      <w:bookmarkStart w:id="2287" w:name="Tc_KyBk36MDqkSbxu_VrclWHA_9_9"/>
      <w:bookmarkStart w:id="2288" w:name="Tc_dJybgSbsM06y6DjaWBIr1g_9_7"/>
      <w:bookmarkStart w:id="2289" w:name="Tc_VNg8sGgQY0Kt-LUVLTpCYA_9_4"/>
      <w:bookmarkStart w:id="2290" w:name="Tc_KfY_Gy-DmECX4EXfVGZGUA_9_0"/>
      <w:bookmarkStart w:id="2291" w:name="Tc_sXLyjdRcXUWStczkX4kUiw_8_9"/>
      <w:bookmarkStart w:id="2292" w:name="Tc_E56MSQa2jUmrvgdKg7iPgA_8_4"/>
      <w:bookmarkStart w:id="2293" w:name="Tc_h2knPUNGuEWFedDOGywHEg_8_0"/>
      <w:bookmarkStart w:id="2294" w:name="Tc_PTsnwcERFE-4LoAcFjKkgQ_7_9"/>
      <w:bookmarkStart w:id="2295" w:name="Tc_akoHJlx0uUKtBsDNQGy36g_7_4"/>
      <w:bookmarkStart w:id="2296" w:name="Tc_o4b8KEHBPEK7MJwRoH8YwA_7_0"/>
      <w:bookmarkStart w:id="2297" w:name="Tc_QSoLPVy60EWvRVI7G-dp5w_6_9"/>
      <w:bookmarkStart w:id="2298" w:name="Tc_T_NG30Pjg0WEfNSIYOGy8w_6_4"/>
      <w:bookmarkStart w:id="2299" w:name="Tc_6sTJIHDAdEudcWEo17ysfg_6_0"/>
      <w:bookmarkStart w:id="2300" w:name="Tc_LNg3cveOfU2Y9vN1lesizg_5_10"/>
      <w:bookmarkStart w:id="2301" w:name="Tc_o4vrXERoe0KV8jNgPQpEqw_5_7"/>
      <w:bookmarkStart w:id="2302" w:name="Tc_C-oSInzdg0aFx0RLpteRQw_5_5"/>
      <w:bookmarkStart w:id="2303" w:name="Tc_hIP9xlvRpkG5ftDkdj8y9A_5_2"/>
      <w:bookmarkStart w:id="2304" w:name="Tc_Mze1O_n0_EGc0ndH-hhw4Q_5_0"/>
      <w:bookmarkStart w:id="2305" w:name="Tc_TFOfIBedXkW_5JRG0etwXw_4_10"/>
      <w:bookmarkStart w:id="2306" w:name="Tc_eQR2eOCUuEm4E1eaJVCbWg_4_7"/>
      <w:bookmarkStart w:id="2307" w:name="Tc_SAehY-r9CESv7chyEnzmDA_4_5"/>
      <w:bookmarkStart w:id="2308" w:name="Tc_0UlnVV5Xr0CSSFsjbJniGA_4_2"/>
      <w:bookmarkStart w:id="2309" w:name="Tc_Kq3IgGss8ECzEE9NJGwOig_3_10"/>
      <w:bookmarkStart w:id="2310" w:name="Tc_GcWwZJoTiUy0ekut9xY3Ew_3_5"/>
      <w:bookmarkStart w:id="2311" w:name="Tc_UiISKYr6p0aqcHwtWYSb2Q_2_10"/>
      <w:bookmarkStart w:id="2312" w:name="Tc_CyIa7ioK8Eubk-4d7CdNeQ_2_5"/>
      <w:bookmarkStart w:id="2313" w:name="Tc_NUpbAQZiJkegi39aS9MZmg_1_7"/>
      <w:bookmarkStart w:id="2314" w:name="Tc_MrKUruJcwUeKXEVFkhINaQ_1_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r>
        <w:rPr>
          <w:rFonts w:ascii="Times New Roman;Times;serif" w:hAnsi="Times New Roman;Times;serif"/>
          <w:sz w:val="20"/>
        </w:rPr>
        <w:t>through and on the applicable vesting date. During the six months ended June 30, 2026, 5,359 of the restricted shares vested on the annual anniversary. During the six months ended June 30, 2026, 899 unvested restricted shares were forfeited. The weighted average grant date fair value of the restricted stock awards was $46.24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2024, the Company granted 26,744 restricted stock awards to certain employees pursuant to the 2015 Plan. The restricted stock awards vest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continued employment through and on the applicable vesting date. During the six months ended June 30, 2026 and 2025, 8,050 and 8,051, respectively, of the restricted shares vested on the annual anniversaries. During the six months ended June 30, 2026, 730 unvested restricted shares were forfeited. The weighted average grant date fair value of the restricted stock awards was $54.16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March 2023, the Company granted 12,796 restricted stock awards to certain employees pursuant to the 2015 Plan. The restricted stock awards vested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continued employment through and on the applicable vesting date. During the six months ended June 30, 2026 and 2025, 3,187 and 3,185, respectively, of the restricted shares vested on the annual anniversaries. The weighted average grant date fair value of the restricted stock awards was $39.42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2023, the Company granted 17,943 restricted stock awards to certain employees pursuant to the 2015 Plan. The restricted stock awards vested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continued employment through and on the applicable vesting date. During the six months ended June 30, 2026 and 2025, 5,982 and 5,979, respectively, of the restricted shares vested on the annual anniversaries. The weighted average grant date fair value of the restricted stock awards was $44.30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the Company granted 25,594 restricted stock awards to certain employees pursuant to the 2015 Plan. The restricted stock awards vested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continued employment through and on the applicable vesting date. During the six months ended June 30, 2025, 7,664 of the restricted shares vested on the annual anniversary. The weighted average grant date fair value of the restricted stock awards was $46.73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2024, 2023 and 2022, the Company granted 3,332, 5,418, 5,760 and 4,361, respectively, restricted stock awards to an employee pursuant to the 2015 Plan, with a weighted average grant date fair value of $46.24, $54.16, $44.30 and $55.73, respectively, per share. The restricted stock awards vest in January 2030, subject to the recipient’s continued employment through and on the applicable vesting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the Company repurchased 4,835 shares of its common stock outstanding at an average repurchase price of $68.85, per share, for an aggregate purchase price of $0.3 million, excluding the excise tax on stock repurchases in excess of issuances, related to shares withheld from vested restricted stock awards to satisfy employees’ minimum statutory tax withholding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is a summary of non-vested restricted share activity:</w:t>
      </w:r>
    </w:p>
    <w:p>
      <w:pPr>
        <w:pStyle w:val="TextBody"/>
        <w:bidi w:val="0"/>
        <w:spacing w:before="0" w:after="0"/>
        <w:ind w:left="0" w:right="0" w:hanging="0"/>
        <w:jc w:val="left"/>
        <w:rPr/>
      </w:pPr>
      <w:r>
        <w:rPr/>
        <w:t>​</w:t>
      </w:r>
    </w:p>
    <w:tbl>
      <w:tblPr>
        <w:tblW w:w="8228" w:type="dxa"/>
        <w:jc w:val="left"/>
        <w:tblInd w:w="0" w:type="dxa"/>
        <w:tblLayout w:type="fixed"/>
        <w:tblCellMar>
          <w:top w:w="0" w:type="dxa"/>
          <w:left w:w="0" w:type="dxa"/>
          <w:bottom w:w="0" w:type="dxa"/>
          <w:right w:w="0" w:type="dxa"/>
        </w:tblCellMar>
      </w:tblPr>
      <w:tblGrid>
        <w:gridCol w:w="2641"/>
        <w:gridCol w:w="109"/>
        <w:gridCol w:w="886"/>
        <w:gridCol w:w="109"/>
        <w:gridCol w:w="211"/>
        <w:gridCol w:w="1456"/>
        <w:gridCol w:w="109"/>
        <w:gridCol w:w="886"/>
        <w:gridCol w:w="109"/>
        <w:gridCol w:w="211"/>
        <w:gridCol w:w="150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677035" cy="175260"/>
                      <wp:effectExtent l="0" t="0" r="0" b="0"/>
                      <wp:wrapNone/>
                      <wp:docPr id="532" name="Frame532"/>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9215" cy="175260"/>
                      <wp:effectExtent l="0" t="0" r="0" b="0"/>
                      <wp:wrapNone/>
                      <wp:docPr id="533" name="Frame5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562610" cy="175260"/>
                      <wp:effectExtent l="0" t="0" r="0" b="0"/>
                      <wp:wrapNone/>
                      <wp:docPr id="534" name="Frame53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9215" cy="175260"/>
                      <wp:effectExtent l="0" t="0" r="0" b="0"/>
                      <wp:wrapNone/>
                      <wp:docPr id="535" name="Frame5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3985" cy="175260"/>
                      <wp:effectExtent l="0" t="0" r="0" b="0"/>
                      <wp:wrapNone/>
                      <wp:docPr id="536" name="Frame5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924560" cy="175260"/>
                      <wp:effectExtent l="0" t="0" r="0" b="0"/>
                      <wp:wrapNone/>
                      <wp:docPr id="537" name="Frame537"/>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9215" cy="175260"/>
                      <wp:effectExtent l="0" t="0" r="0" b="0"/>
                      <wp:wrapNone/>
                      <wp:docPr id="538" name="Frame5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62610" cy="175260"/>
                      <wp:effectExtent l="0" t="0" r="0" b="0"/>
                      <wp:wrapNone/>
                      <wp:docPr id="539" name="Frame5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9215" cy="175260"/>
                      <wp:effectExtent l="0" t="0" r="0" b="0"/>
                      <wp:wrapNone/>
                      <wp:docPr id="540" name="Frame5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33985" cy="175260"/>
                      <wp:effectExtent l="0" t="0" r="0" b="0"/>
                      <wp:wrapNone/>
                      <wp:docPr id="541" name="Frame5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953135" cy="175260"/>
                      <wp:effectExtent l="0" t="0" r="0" b="0"/>
                      <wp:wrapNone/>
                      <wp:docPr id="542" name="Frame54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109" w:type="dxa"/>
            <w:tcBorders/>
            <w:vAlign w:val="center"/>
          </w:tcPr>
          <w:p>
            <w:pPr>
              <w:pStyle w:val="TableContents"/>
              <w:bidi w:val="0"/>
              <w:spacing w:before="0" w:after="0"/>
              <w:ind w:left="0" w:right="0" w:hanging="0"/>
              <w:jc w:val="center"/>
              <w:rPr/>
            </w:pPr>
            <w:r>
              <w:rPr/>
              <w:t>​</w:t>
            </w:r>
          </w:p>
        </w:tc>
        <w:tc>
          <w:tcPr>
            <w:tcW w:w="270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Non-Vested Restricted Shares</w:t>
            </w:r>
          </w:p>
        </w:tc>
        <w:tc>
          <w:tcPr>
            <w:tcW w:w="109"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49.02</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49.31</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47.59</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61.70</w:t>
            </w:r>
          </w:p>
        </w:tc>
        <w:tc>
          <w:tcPr>
            <w:tcW w:w="109"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59.58</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49.02</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Stock based compensation cost is measured at the grant date based on the fair value of the award and is typically recognized as expense on a straight-line basis over the requisite service period, which is the vesting period. Forfeitures are accounted for as they occur. During each of the three months ended June 30, 2026 and 2025, the Company recorded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expense of $0.3 million and during the six months ended June 30, 2026 and 2025, the Company recorded expense of $0.7 million and $0.6 million, respectively, related to restricted stock awards for employee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unrecognized compensation costs, related to non-vested restricted stock awards, were $2.9 million and $1.7 million, respectively. As of June 30, 2026, unrecognized compensation costs will be recognized over a weighted average period of 2.5 years.</w:t>
      </w:r>
    </w:p>
    <w:p>
      <w:pPr>
        <w:pStyle w:val="TextBody"/>
        <w:bidi w:val="0"/>
        <w:spacing w:before="0" w:after="240"/>
        <w:ind w:left="0" w:right="0" w:hanging="0"/>
        <w:jc w:val="left"/>
        <w:rPr>
          <w:rFonts w:ascii="Times New Roman;Times;serif" w:hAnsi="Times New Roman;Times;serif"/>
          <w:b/>
          <w:sz w:val="20"/>
        </w:rPr>
      </w:pPr>
      <w:bookmarkStart w:id="2315" w:name="Tc_XTGQW9HvkEWvwBEaDstz-g_13_14"/>
      <w:bookmarkStart w:id="2316" w:name="Tc_jcdnp5EKW06TXlyv3E6uiw_13_11"/>
      <w:bookmarkStart w:id="2317" w:name="Tc_kJsBkgUTM0mhO2zq9W1JNQ_13_8"/>
      <w:bookmarkStart w:id="2318" w:name="Tc__GPBvLHc6kqDZF2FOZtUzA_13_5"/>
      <w:bookmarkStart w:id="2319" w:name="Tc_Hp5JQTb-R0aDg_CVPjxJQg_13_2"/>
      <w:bookmarkStart w:id="2320" w:name="Tc_kephdwR6UUCD5JK6ZYiGuA_13_0"/>
      <w:bookmarkStart w:id="2321" w:name="Tc_rkpHn0eRXkSYpZgksmQ-ww_12_0"/>
      <w:bookmarkStart w:id="2322" w:name="Tc_08akFxMpPUK8XVHvijEzOg_11_12"/>
      <w:bookmarkStart w:id="2323" w:name="Tc_9w1usUcKeEKKohiPQfkOlg_11_9"/>
      <w:bookmarkStart w:id="2324" w:name="Tc_DrDsWNyBqkyX0RgT7V6xEA_11_3"/>
      <w:bookmarkStart w:id="2325" w:name="Tc_rYVZ0RuQYkqU_j-iSucofw_11_0"/>
      <w:bookmarkStart w:id="2326" w:name="Tc_yF6Aspx890WJB7n_EzWZ6A_10_14"/>
      <w:bookmarkStart w:id="2327" w:name="Tc_D1aaVDrB6kavlk67npGXvg_10_11"/>
      <w:bookmarkStart w:id="2328" w:name="Tc_DyYHQQ5E0EGLAULVbdlnhQ_10_8"/>
      <w:bookmarkStart w:id="2329" w:name="Tc_iKkEWxHR6UWZ6pUJlv-nkA_10_5"/>
      <w:bookmarkStart w:id="2330" w:name="Tc_LINfbN5i80eMD9X1N6shAA_10_2"/>
      <w:bookmarkStart w:id="2331" w:name="Tc_jHNOJyOaEUeIKqRyvKv5fQ_10_0"/>
      <w:bookmarkStart w:id="2332" w:name="Tc_NFxwZTU7PUCxk0bXb4WZXA_9_0"/>
      <w:bookmarkStart w:id="2333" w:name="Tc_izpkx5X4-0aFbLynTr5yDg_7_14"/>
      <w:bookmarkStart w:id="2334" w:name="Tc_J7YMMOot3Ua3WwNi83DdUQ_7_11"/>
      <w:bookmarkStart w:id="2335" w:name="Tc_D-vzpffpvUOQVJF7NpbE1w_7_8"/>
      <w:bookmarkStart w:id="2336" w:name="Tc_OOnUKD-d2EqvxjSV5ZLbiA_7_5"/>
      <w:bookmarkStart w:id="2337" w:name="Tc_P4us8P7cw0uJE8F7491sAA_7_2"/>
      <w:bookmarkStart w:id="2338" w:name="Tc_72jvgPPnqE2VkuryJWzd2w_7_0"/>
      <w:bookmarkStart w:id="2339" w:name="Tc_3IyW4uV5G0qS9VilJEpoeQ_6_0"/>
      <w:bookmarkStart w:id="2340" w:name="Tc_vb3WOhrP10-YqRecgDFkAA_5_12"/>
      <w:bookmarkStart w:id="2341" w:name="Tc_9sx4ZXWMm0qXaQr-Uy_SuA_5_9"/>
      <w:bookmarkStart w:id="2342" w:name="Tc_a7wB3R8EpEeKnDdpANXj4Q_5_3"/>
      <w:bookmarkStart w:id="2343" w:name="Tc_doy9dqwg90uNDSBFk0eGwA_5_0"/>
      <w:bookmarkStart w:id="2344" w:name="Tc_TMcWmxBzrUmdcqvjBW0Hng_4_14"/>
      <w:bookmarkStart w:id="2345" w:name="Tc_SwlCqzmkhkuHJfu-Ep6OBQ_4_11"/>
      <w:bookmarkStart w:id="2346" w:name="Tc_KIJdzkpu_02KQcAzcCZyNQ_4_8"/>
      <w:bookmarkStart w:id="2347" w:name="Tc_8KAhEkz7PUWP1-Tlw72GNw_4_5"/>
      <w:bookmarkStart w:id="2348" w:name="Tc_1f614DG-oUKAOWoLd61P5A_4_2"/>
      <w:bookmarkStart w:id="2349" w:name="Tc_YatRXIEiN0WwOzX4piaFjQ_4_0"/>
      <w:bookmarkStart w:id="2350" w:name="Tc_AKwo-b8tWUyIFY8K6YAp-A_3_0"/>
      <w:bookmarkStart w:id="2351" w:name="Tc_WTusMy-MY0iVP3Wlvs6I9Q_2_14"/>
      <w:bookmarkStart w:id="2352" w:name="Tc_30yy7wjdK0CjP4ddk616cA_2_11"/>
      <w:bookmarkStart w:id="2353" w:name="Tc_fntKpSfF3kG9P0Cj3LxkVg_2_8"/>
      <w:bookmarkStart w:id="2354" w:name="Tc_p2VMz0akxk24qBvGgLNYcg_2_5"/>
      <w:bookmarkStart w:id="2355" w:name="Tc_dL5eb9UMnkOvhqam3q2ocw_2_2"/>
      <w:bookmarkStart w:id="2356" w:name="Tc_VuLRdUhFK0GYRuEJB6qJMQ_1_2"/>
      <w:bookmarkStart w:id="2357" w:name="_f96e4aca_7d26_42d6_a7d4_032a8810ba5f"/>
      <w:bookmarkStart w:id="2358" w:name="Tc_aMfXI3JMKEunT6Ky6u64JQ_13_14"/>
      <w:bookmarkStart w:id="2359" w:name="Tc_bV3zsTLXtUu2-HJm_0Vffw_13_11"/>
      <w:bookmarkStart w:id="2360" w:name="Tc_ATWpP-XuZUis7Mrl9gOzfQ_13_8"/>
      <w:bookmarkStart w:id="2361" w:name="Tc_XbETO-cVLk-oXZ2hwZpX6Q_13_5"/>
      <w:bookmarkStart w:id="2362" w:name="Tc_ZVpEHrQxDEShKzshUvR8Bw_13_2"/>
      <w:bookmarkStart w:id="2363" w:name="Tc_o6YtVE7ewUyYD2-KXiI2Aw_13_0"/>
      <w:bookmarkStart w:id="2364" w:name="Tc_RNE_ZXW0N0ekg4qlT6iRWg_12_3"/>
      <w:bookmarkStart w:id="2365" w:name="Tc_r5gJbHfi4UmvtgWE-w_58w_12_0"/>
      <w:bookmarkStart w:id="2366" w:name="Tc_Db1HX9GdukSZbRbxWje23A_11_12"/>
      <w:bookmarkStart w:id="2367" w:name="Tc_nRtgRXhTyUi2162Vhbee9A_11_9"/>
      <w:bookmarkStart w:id="2368" w:name="Tc_ZMmo0-fJb0OuhpKum1x6IQ_11_3"/>
      <w:bookmarkStart w:id="2369" w:name="Tc_ITuW18l8z0W1o-QqXIuLRQ_11_0"/>
      <w:bookmarkStart w:id="2370" w:name="Tc__ykrm6W1oUqyBtJE-FrrGw_10_14"/>
      <w:bookmarkStart w:id="2371" w:name="Tc_dt0KN9YiNk-z_6BdznF8Dg_10_11"/>
      <w:bookmarkStart w:id="2372" w:name="Tc_1Jn6dJkvqk62qY6c-sSgVA_10_8"/>
      <w:bookmarkStart w:id="2373" w:name="Tc_L0iMC95AF0egDh2Kmuvtbw_10_5"/>
      <w:bookmarkStart w:id="2374" w:name="Tc_hecw3S6oc0OQD1yGPhvqaw_10_2"/>
      <w:bookmarkStart w:id="2375" w:name="Tc_FqsDRhFyDEyXtY7sG8ztlw_10_0"/>
      <w:bookmarkStart w:id="2376" w:name="Tc_u3eG-ahlAkKOfi_nFZXBiw_9_0"/>
      <w:bookmarkStart w:id="2377" w:name="Tc_RgrlN6TzS0yJDX4r5WiLxQ_7_14"/>
      <w:bookmarkStart w:id="2378" w:name="Tc_2-KWcI4m0kuqlgZrFSmVOQ_7_11"/>
      <w:bookmarkStart w:id="2379" w:name="Tc_d0jLJ45Sk0Skk-N69ctslw_7_8"/>
      <w:bookmarkStart w:id="2380" w:name="Tc_Af19ajfKNE2nSrH_bPdfVQ_7_5"/>
      <w:bookmarkStart w:id="2381" w:name="Tc_W8qIEqbsJ0Kd8jnGllfPfg_7_2"/>
      <w:bookmarkStart w:id="2382" w:name="Tc_PnofLc7JZUyNOmmL-YDTnQ_7_0"/>
      <w:bookmarkStart w:id="2383" w:name="Tc_P5DTxk3QUkW0j4r3KsfqBA_6_3"/>
      <w:bookmarkStart w:id="2384" w:name="Tc_gvB6rmcE4k6PvV_BwPKZNg_6_0"/>
      <w:bookmarkStart w:id="2385" w:name="Tc_PxMdVwpSzEGGaQXG2B5tww_5_12"/>
      <w:bookmarkStart w:id="2386" w:name="Tc_q5Byq5-LZ02Xp6QpZbyEng_5_9"/>
      <w:bookmarkStart w:id="2387" w:name="Tc_knGWDHGr70qya-pJqvt8sw_5_3"/>
      <w:bookmarkStart w:id="2388" w:name="Tc_6BOBXTG2HkCUh9QGzRACcA_5_0"/>
      <w:bookmarkStart w:id="2389" w:name="Tc_u04WIFJ1n0eTIdHDe6qMQA_4_14"/>
      <w:bookmarkStart w:id="2390" w:name="Tc_6qozkNCL8USLGFyuSOWxig_4_11"/>
      <w:bookmarkStart w:id="2391" w:name="Tc_0fx4Q8z3dEiJaK6Vw7lXLQ_4_8"/>
      <w:bookmarkStart w:id="2392" w:name="Tc_rrHvRGMpKEm3PFtdvxMfOA_4_5"/>
      <w:bookmarkStart w:id="2393" w:name="Tc_iCfR4OwHoEmu_qfLIfiLdw_4_2"/>
      <w:bookmarkStart w:id="2394" w:name="Tc_Tj25Ls0A1EeYPXraXyUCqw_4_0"/>
      <w:bookmarkStart w:id="2395" w:name="Tc_ialwBnDXFUmB3Xah-CeZlg_3_0"/>
      <w:bookmarkStart w:id="2396" w:name="Tc_GsyfQZ3UN0WUV4l2hNQNHg_2_14"/>
      <w:bookmarkStart w:id="2397" w:name="Tc__C4fmAVtyEeB0q8rFk9y7A_2_11"/>
      <w:bookmarkStart w:id="2398" w:name="Tc_FIXg5yE340OIfMwTsVUCdA_2_8"/>
      <w:bookmarkStart w:id="2399" w:name="Tc_SE4kjQcDlEWOb8yJ6K1SPg_2_5"/>
      <w:bookmarkStart w:id="2400" w:name="Tc_-OZ1xHotrk2qMs-4yOz1Ag_2_2"/>
      <w:bookmarkStart w:id="2401" w:name="Tc_KxdKH02HE0Sy_lfkZbv0dQ_1_2"/>
      <w:bookmarkStart w:id="2402" w:name="_90f63476_cd8f_4771_906d_1c6987d4b26a"/>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r>
        <w:rPr>
          <w:rFonts w:ascii="Times New Roman;Times;serif" w:hAnsi="Times New Roman;Times;serif"/>
          <w:b/>
          <w:sz w:val="20"/>
        </w:rPr>
        <w:t>14. Revenue Recognition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consists primarily of real estate sales, hospitality operations and leasing operations. Other revenue consists of real estate brokerage business, title insurance agency and insurance agency business revenue (collectively, “Business Services”) and mitigation bank credit sales revenue. Taxes collected from customers and remitted to governmental authorities (e.g., sales tax) are excluded from revenue, cost of revenue and expenses. The following represents revenue disaggregated by segment, goods or service and timing:</w:t>
      </w:r>
    </w:p>
    <w:p>
      <w:pPr>
        <w:pStyle w:val="TextBody"/>
        <w:bidi w:val="0"/>
        <w:spacing w:before="0" w:after="0"/>
        <w:ind w:left="0" w:right="0" w:hanging="0"/>
        <w:jc w:val="left"/>
        <w:rPr/>
      </w:pPr>
      <w:r>
        <w:rPr/>
        <w:t>​</w:t>
      </w:r>
    </w:p>
    <w:tbl>
      <w:tblPr>
        <w:tblW w:w="8217" w:type="dxa"/>
        <w:jc w:val="left"/>
        <w:tblInd w:w="0" w:type="dxa"/>
        <w:tblLayout w:type="fixed"/>
        <w:tblCellMar>
          <w:top w:w="0" w:type="dxa"/>
          <w:left w:w="0" w:type="dxa"/>
          <w:bottom w:w="0" w:type="dxa"/>
          <w:right w:w="0" w:type="dxa"/>
        </w:tblCellMar>
      </w:tblPr>
      <w:tblGrid>
        <w:gridCol w:w="2941"/>
        <w:gridCol w:w="109"/>
        <w:gridCol w:w="214"/>
        <w:gridCol w:w="687"/>
        <w:gridCol w:w="109"/>
        <w:gridCol w:w="217"/>
        <w:gridCol w:w="699"/>
        <w:gridCol w:w="109"/>
        <w:gridCol w:w="245"/>
        <w:gridCol w:w="790"/>
        <w:gridCol w:w="109"/>
        <w:gridCol w:w="211"/>
        <w:gridCol w:w="571"/>
        <w:gridCol w:w="109"/>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867535" cy="175260"/>
                      <wp:effectExtent l="0" t="0" r="0" b="0"/>
                      <wp:wrapNone/>
                      <wp:docPr id="543" name="Frame543"/>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9215" cy="175260"/>
                      <wp:effectExtent l="0" t="0" r="0" b="0"/>
                      <wp:wrapNone/>
                      <wp:docPr id="544" name="Frame5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35890" cy="175260"/>
                      <wp:effectExtent l="0" t="0" r="0" b="0"/>
                      <wp:wrapNone/>
                      <wp:docPr id="545" name="Frame54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36245" cy="175260"/>
                      <wp:effectExtent l="0" t="0" r="0" b="0"/>
                      <wp:wrapNone/>
                      <wp:docPr id="546" name="Frame546"/>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9215" cy="175260"/>
                      <wp:effectExtent l="0" t="0" r="0" b="0"/>
                      <wp:wrapNone/>
                      <wp:docPr id="547" name="Frame5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37795" cy="175260"/>
                      <wp:effectExtent l="0" t="0" r="0" b="0"/>
                      <wp:wrapNone/>
                      <wp:docPr id="548" name="Frame54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443865" cy="175260"/>
                      <wp:effectExtent l="0" t="0" r="0" b="0"/>
                      <wp:wrapNone/>
                      <wp:docPr id="549" name="Frame549"/>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9215" cy="175260"/>
                      <wp:effectExtent l="0" t="0" r="0" b="0"/>
                      <wp:wrapNone/>
                      <wp:docPr id="550" name="Frame5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55575" cy="175260"/>
                      <wp:effectExtent l="0" t="0" r="0" b="0"/>
                      <wp:wrapNone/>
                      <wp:docPr id="551" name="Frame55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501650" cy="175260"/>
                      <wp:effectExtent l="0" t="0" r="0" b="0"/>
                      <wp:wrapNone/>
                      <wp:docPr id="552" name="Frame552"/>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9215" cy="175260"/>
                      <wp:effectExtent l="0" t="0" r="0" b="0"/>
                      <wp:wrapNone/>
                      <wp:docPr id="553" name="Frame5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33985" cy="175260"/>
                      <wp:effectExtent l="0" t="0" r="0" b="0"/>
                      <wp:wrapNone/>
                      <wp:docPr id="554" name="Frame5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362585" cy="175260"/>
                      <wp:effectExtent l="0" t="0" r="0" b="0"/>
                      <wp:wrapNone/>
                      <wp:docPr id="555" name="Frame5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9215" cy="175260"/>
                      <wp:effectExtent l="0" t="0" r="0" b="0"/>
                      <wp:wrapNone/>
                      <wp:docPr id="556" name="Frame5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33985" cy="175260"/>
                      <wp:effectExtent l="0" t="0" r="0" b="0"/>
                      <wp:wrapNone/>
                      <wp:docPr id="557"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562610" cy="175260"/>
                      <wp:effectExtent l="0" t="0" r="0" b="0"/>
                      <wp:wrapNone/>
                      <wp:docPr id="558" name="Frame5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67"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1"/>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1"/>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52,837</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3,560</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69,583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74,229</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74,229</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15,017</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52,837</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78,930</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21,648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158,829</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52,837</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62,072</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128,095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15,717</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15,717</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15,017</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52,837</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78,930</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21,648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158,829</w:t>
            </w:r>
          </w:p>
        </w:tc>
      </w:tr>
    </w:tbl>
    <w:p>
      <w:pPr>
        <w:pStyle w:val="TextBody"/>
        <w:bidi w:val="0"/>
        <w:spacing w:before="0" w:after="240"/>
        <w:ind w:left="0" w:right="0" w:firstLine="360"/>
        <w:jc w:val="left"/>
        <w:rPr/>
      </w:pPr>
      <w:r>
        <w:rPr/>
        <w:t>​</w:t>
      </w:r>
    </w:p>
    <w:tbl>
      <w:tblPr>
        <w:tblW w:w="8217" w:type="dxa"/>
        <w:jc w:val="left"/>
        <w:tblInd w:w="0" w:type="dxa"/>
        <w:tblLayout w:type="fixed"/>
        <w:tblCellMar>
          <w:top w:w="0" w:type="dxa"/>
          <w:left w:w="0" w:type="dxa"/>
          <w:bottom w:w="0" w:type="dxa"/>
          <w:right w:w="0" w:type="dxa"/>
        </w:tblCellMar>
      </w:tblPr>
      <w:tblGrid>
        <w:gridCol w:w="2941"/>
        <w:gridCol w:w="109"/>
        <w:gridCol w:w="214"/>
        <w:gridCol w:w="687"/>
        <w:gridCol w:w="109"/>
        <w:gridCol w:w="217"/>
        <w:gridCol w:w="699"/>
        <w:gridCol w:w="109"/>
        <w:gridCol w:w="245"/>
        <w:gridCol w:w="790"/>
        <w:gridCol w:w="109"/>
        <w:gridCol w:w="211"/>
        <w:gridCol w:w="571"/>
        <w:gridCol w:w="109"/>
        <w:gridCol w:w="211"/>
        <w:gridCol w:w="886"/>
      </w:tblGrid>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67"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1"/>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1"/>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38,057</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43,828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68,746</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68,746</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38,097</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71,157</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129,082</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38,057</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56,340</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98,768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13,806</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13,806</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38,097</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71,157</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129,082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bookmarkStart w:id="2403" w:name="Tc_pIibdQ8mfUC-4xP12xpdRQ_13_14"/>
      <w:bookmarkStart w:id="2404" w:name="Tc_JSO-aOD9vEeaAEDmBk_hRw_13_11"/>
      <w:bookmarkStart w:id="2405" w:name="Tc_8zCU6YkPkk2vYQjmsjntsA_13_8"/>
      <w:bookmarkStart w:id="2406" w:name="Tc_z3Dj0hNqxUKIyd5n9YoxEA_13_5"/>
      <w:bookmarkStart w:id="2407" w:name="Tc_-1ZVmuIXLEaBhOEBBKiYWg_13_2"/>
      <w:bookmarkStart w:id="2408" w:name="Tc__LQTsnet2kaKJu4H-q7Umg_13_0"/>
      <w:bookmarkStart w:id="2409" w:name="Tc_U-klPTJ3A0G0ZVsdv-663A_12_0"/>
      <w:bookmarkStart w:id="2410" w:name="Tc_gCOGrmX2iECDdomiIyBJAQ_11_12"/>
      <w:bookmarkStart w:id="2411" w:name="Tc_uDM3VOjtK0aEof0RStW_0Q_11_9"/>
      <w:bookmarkStart w:id="2412" w:name="Tc_qsXaiIvM7Ua5qLrHUcTRdw_11_3"/>
      <w:bookmarkStart w:id="2413" w:name="Tc_j8XP_RiKeUOg7gRhChBoEQ_11_0"/>
      <w:bookmarkStart w:id="2414" w:name="Tc_CVkr9veaNkamt4RUWvzY1A_10_14"/>
      <w:bookmarkStart w:id="2415" w:name="Tc_e5Nva-MaNkaKszWkdl5Kzg_10_11"/>
      <w:bookmarkStart w:id="2416" w:name="Tc_fYYmQSMRbkivGpvx7fM9og_10_8"/>
      <w:bookmarkStart w:id="2417" w:name="Tc_jWBb1ksvEUCOTnRic9I7aQ_10_5"/>
      <w:bookmarkStart w:id="2418" w:name="Tc_vVu8ivULFUi7i1Mo-asJig_10_2"/>
      <w:bookmarkStart w:id="2419" w:name="Tc_QtL-0gkoeUCAYO1gf9W76g_10_0"/>
      <w:bookmarkStart w:id="2420" w:name="Tc_5RSxkYdhxU6Sk4w7EnQAXg_9_0"/>
      <w:bookmarkStart w:id="2421" w:name="Tc_hd5UfJ1vLUi5TEfdgqR8Uw_7_14"/>
      <w:bookmarkStart w:id="2422" w:name="Tc_-d7RsxjKeUuVSxT5nn2J_g_7_11"/>
      <w:bookmarkStart w:id="2423" w:name="Tc_WPUD30qrTUqfQqcWK84-bQ_7_8"/>
      <w:bookmarkStart w:id="2424" w:name="Tc_DEZslYTnyE-32DNFHD33DA_7_5"/>
      <w:bookmarkStart w:id="2425" w:name="Tc_WgSVuBFAIkmBdOO8S3wC4A_7_2"/>
      <w:bookmarkStart w:id="2426" w:name="Tc_FWtBF5NWz0iRenHiWq3sSA_7_0"/>
      <w:bookmarkStart w:id="2427" w:name="Tc_UEGNO1MhEEis2ahIDh2Qiw_6_0"/>
      <w:bookmarkStart w:id="2428" w:name="Tc_KYBcr2rVu0GrjWiIJyB8aw_5_12"/>
      <w:bookmarkStart w:id="2429" w:name="Tc_VBUAXw4SA0S635z4EM-4yA_5_9"/>
      <w:bookmarkStart w:id="2430" w:name="Tc_y8uj69xXTkyGcItxAI29aw_5_3"/>
      <w:bookmarkStart w:id="2431" w:name="Tc_n-LF0RGeBEKWTOmIlRGcmg_5_0"/>
      <w:bookmarkStart w:id="2432" w:name="Tc_YR6dJ-p_jES9Eag3vV6GEg_4_14"/>
      <w:bookmarkStart w:id="2433" w:name="Tc_R0cFgcEquUKLLt2DfA-GWw_4_11"/>
      <w:bookmarkStart w:id="2434" w:name="Tc_iWY-S8dDH0eT76SS1LUcEw_4_8"/>
      <w:bookmarkStart w:id="2435" w:name="Tc_Sck8TOEit06DOZYymmrRaQ_4_5"/>
      <w:bookmarkStart w:id="2436" w:name="Tc_vqWRbZ_FXU-mLI8B4emRSA_4_2"/>
      <w:bookmarkStart w:id="2437" w:name="Tc_TWI-sR24Z06XDfQlO0N3JQ_4_0"/>
      <w:bookmarkStart w:id="2438" w:name="Tc_FQxxvRHSBk-ejosxHthZZQ_3_0"/>
      <w:bookmarkStart w:id="2439" w:name="Tc_Y-G2g3-aZkOKz5tpxHpy6Q_2_14"/>
      <w:bookmarkStart w:id="2440" w:name="Tc_RSNBC5myuEyXdRck_ZZUDg_2_11"/>
      <w:bookmarkStart w:id="2441" w:name="Tc_0DERYZjoEU65SWMILUMfNw_2_8"/>
      <w:bookmarkStart w:id="2442" w:name="Tc_OL8hyuVfWUezXoTdH6h3eA_2_5"/>
      <w:bookmarkStart w:id="2443" w:name="Tc_B69WTu03xES0P0md14AXjw_2_2"/>
      <w:bookmarkStart w:id="2444" w:name="Tc_ksSk6kLySkOAgZKOs7Bs0g_1_2"/>
      <w:bookmarkStart w:id="2445" w:name="_e25d7aab_ebe8_4f87_9527_b80540a3ec83"/>
      <w:bookmarkStart w:id="2446" w:name="Tc_6uqtpwrBi0uKVgLZIoWPFA_13_14"/>
      <w:bookmarkStart w:id="2447" w:name="Tc_8LjmACebWkiqA9soitbbgw_13_11"/>
      <w:bookmarkStart w:id="2448" w:name="Tc_ShFfNsrNlESLu16gpb5FJA_13_8"/>
      <w:bookmarkStart w:id="2449" w:name="Tc_Gb_yZTEvzEqwizTqj6gITQ_13_5"/>
      <w:bookmarkStart w:id="2450" w:name="Tc_L0D1OFrtv0utusL-kcX5hw_13_2"/>
      <w:bookmarkStart w:id="2451" w:name="Tc_FpmHGgqwcEiAajgATCRjUw_13_0"/>
      <w:bookmarkStart w:id="2452" w:name="Tc_giyAONHQIEioAg5hxXUlJw_12_3"/>
      <w:bookmarkStart w:id="2453" w:name="Tc_p1IAFomvhE6DKoU8xPq4IQ_12_0"/>
      <w:bookmarkStart w:id="2454" w:name="Tc_oitj7IzEQUSnh-cR_iMDmA_11_12"/>
      <w:bookmarkStart w:id="2455" w:name="Tc_y8-KNfb7tUKSgNAfdBWv9g_11_9"/>
      <w:bookmarkStart w:id="2456" w:name="Tc_QN3fy8ERw0-oF9PBSBHl7g_11_3"/>
      <w:bookmarkStart w:id="2457" w:name="Tc_cmbHkBSZ3UWH04MzDnyKyQ_11_0"/>
      <w:bookmarkStart w:id="2458" w:name="Tc_XvOkV_mBMUmcc35bfnPAPg_10_14"/>
      <w:bookmarkStart w:id="2459" w:name="Tc_9DOF7dxCy0aQwCNnPUzX5g_10_11"/>
      <w:bookmarkStart w:id="2460" w:name="Tc_VxhRQhF4S0-3SrOowR9IEw_10_8"/>
      <w:bookmarkStart w:id="2461" w:name="Tc_oTSoJOwQV0mgRt1bfG6f6g_10_5"/>
      <w:bookmarkStart w:id="2462" w:name="Tc_y1-HSj2yrkKJDTRJ00kNdA_10_2"/>
      <w:bookmarkStart w:id="2463" w:name="Tc_DHQvgahI3kKbIi_fxiJIaw_10_0"/>
      <w:bookmarkStart w:id="2464" w:name="Tc_LmeNqXMMjkGBlrnfTYyarQ_9_0"/>
      <w:bookmarkStart w:id="2465" w:name="Tc_pevvNy-V4U-r2GmIXMii9A_7_14"/>
      <w:bookmarkStart w:id="2466" w:name="Tc_DbE_o8resEu-SFSoXc-oxw_7_11"/>
      <w:bookmarkStart w:id="2467" w:name="Tc_0JQOl2sWW06HZ7GcdQutnA_7_8"/>
      <w:bookmarkStart w:id="2468" w:name="Tc_BPhK45aefUmDS5z2mXeXuw_7_5"/>
      <w:bookmarkStart w:id="2469" w:name="Tc_jcFgy2FdBEmPlNRT6Fqbog_7_2"/>
      <w:bookmarkStart w:id="2470" w:name="Tc_QRSx2JctBkCOxEDSQVIlbQ_7_0"/>
      <w:bookmarkStart w:id="2471" w:name="Tc_ru0YiZtZakC8p5LmNCvRjA_6_3"/>
      <w:bookmarkStart w:id="2472" w:name="Tc_saLITeKAZ0ecuKGeV2oDng_6_0"/>
      <w:bookmarkStart w:id="2473" w:name="Tc_CRfz0nGbxEyCukOoFTu9Jg_5_12"/>
      <w:bookmarkStart w:id="2474" w:name="Tc_cCMcksAvx0CUpBi8BUeT_A_5_9"/>
      <w:bookmarkStart w:id="2475" w:name="Tc_XYQ1umQLX0yqdoG9hdJlLQ_5_3"/>
      <w:bookmarkStart w:id="2476" w:name="Tc_TF5dQ-LDrkecDeKlJ5OCWQ_5_0"/>
      <w:bookmarkStart w:id="2477" w:name="Tc_AowhlOhjmEyTxiAG9-IGhg_4_14"/>
      <w:bookmarkStart w:id="2478" w:name="Tc_AItk6-_B5EiDlf49PYJCxg_4_11"/>
      <w:bookmarkStart w:id="2479" w:name="Tc_E1kF5k_m5EqA1_gMidUc_g_4_8"/>
      <w:bookmarkStart w:id="2480" w:name="Tc_HQqKNh2A10qJFD4Zvi6fYg_4_5"/>
      <w:bookmarkStart w:id="2481" w:name="Tc_ivzLmpMXGkikHeGLXToObw_4_2"/>
      <w:bookmarkStart w:id="2482" w:name="Tc_PJLoWg8X9UKdPV3MwAWRaw_4_0"/>
      <w:bookmarkStart w:id="2483" w:name="Tc_Fe9tTLhQN0qjRW_PmyIc7w_3_0"/>
      <w:bookmarkStart w:id="2484" w:name="Tc_3fqEYhcWEUm3CouBere5og_2_14"/>
      <w:bookmarkStart w:id="2485" w:name="Tc_emhiFhpjAUG59gedrZs0Mw_2_11"/>
      <w:bookmarkStart w:id="2486" w:name="Tc_nePlp8bNJEOVZJemvTXJ7A_2_8"/>
      <w:bookmarkStart w:id="2487" w:name="Tc_XrMAUt_BIUK4ri5FHoC9IA_2_5"/>
      <w:bookmarkStart w:id="2488" w:name="Tc_e8i55JZ2skKgbvl6kejW_g_2_2"/>
      <w:bookmarkStart w:id="2489" w:name="Tc_vQjpaRa6B0aXO2YQVKZDmQ_1_2"/>
      <w:bookmarkStart w:id="2490" w:name="_b8b1664e_bbbc_4718_8f52_0b4f1c5091c4"/>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r>
        <w:rPr/>
        <w:t>​</w:t>
      </w:r>
    </w:p>
    <w:tbl>
      <w:tblPr>
        <w:tblW w:w="8293" w:type="dxa"/>
        <w:jc w:val="left"/>
        <w:tblInd w:w="0" w:type="dxa"/>
        <w:tblLayout w:type="fixed"/>
        <w:tblCellMar>
          <w:top w:w="0" w:type="dxa"/>
          <w:left w:w="0" w:type="dxa"/>
          <w:bottom w:w="0" w:type="dxa"/>
          <w:right w:w="0" w:type="dxa"/>
        </w:tblCellMar>
      </w:tblPr>
      <w:tblGrid>
        <w:gridCol w:w="2941"/>
        <w:gridCol w:w="109"/>
        <w:gridCol w:w="214"/>
        <w:gridCol w:w="687"/>
        <w:gridCol w:w="109"/>
        <w:gridCol w:w="211"/>
        <w:gridCol w:w="781"/>
        <w:gridCol w:w="109"/>
        <w:gridCol w:w="245"/>
        <w:gridCol w:w="790"/>
        <w:gridCol w:w="109"/>
        <w:gridCol w:w="211"/>
        <w:gridCol w:w="571"/>
        <w:gridCol w:w="109"/>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867535" cy="175260"/>
                      <wp:effectExtent l="0" t="0" r="0" b="0"/>
                      <wp:wrapNone/>
                      <wp:docPr id="559" name="Frame559"/>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9215" cy="175260"/>
                      <wp:effectExtent l="0" t="0" r="0" b="0"/>
                      <wp:wrapNone/>
                      <wp:docPr id="560" name="Frame5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35890" cy="175260"/>
                      <wp:effectExtent l="0" t="0" r="0" b="0"/>
                      <wp:wrapNone/>
                      <wp:docPr id="561" name="Frame56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436245" cy="175260"/>
                      <wp:effectExtent l="0" t="0" r="0" b="0"/>
                      <wp:wrapNone/>
                      <wp:docPr id="562" name="Frame56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9215" cy="175260"/>
                      <wp:effectExtent l="0" t="0" r="0" b="0"/>
                      <wp:wrapNone/>
                      <wp:docPr id="563" name="Frame5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33985" cy="175260"/>
                      <wp:effectExtent l="0" t="0" r="0" b="0"/>
                      <wp:wrapNone/>
                      <wp:docPr id="564" name="Frame5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495935" cy="175260"/>
                      <wp:effectExtent l="0" t="0" r="0" b="0"/>
                      <wp:wrapNone/>
                      <wp:docPr id="565" name="Frame5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9215" cy="175260"/>
                      <wp:effectExtent l="0" t="0" r="0" b="0"/>
                      <wp:wrapNone/>
                      <wp:docPr id="566" name="Frame5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55575" cy="175260"/>
                      <wp:effectExtent l="0" t="0" r="0" b="0"/>
                      <wp:wrapNone/>
                      <wp:docPr id="567" name="Frame567"/>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501650" cy="175260"/>
                      <wp:effectExtent l="0" t="0" r="0" b="0"/>
                      <wp:wrapNone/>
                      <wp:docPr id="568" name="Frame568"/>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9215" cy="175260"/>
                      <wp:effectExtent l="0" t="0" r="0" b="0"/>
                      <wp:wrapNone/>
                      <wp:docPr id="569" name="Frame5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33985" cy="175260"/>
                      <wp:effectExtent l="0" t="0" r="0" b="0"/>
                      <wp:wrapNone/>
                      <wp:docPr id="570" name="Frame5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362585" cy="175260"/>
                      <wp:effectExtent l="0" t="0" r="0" b="0"/>
                      <wp:wrapNone/>
                      <wp:docPr id="571" name="Frame5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9215" cy="175260"/>
                      <wp:effectExtent l="0" t="0" r="0" b="0"/>
                      <wp:wrapNone/>
                      <wp:docPr id="572" name="Frame5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33985" cy="175260"/>
                      <wp:effectExtent l="0" t="0" r="0" b="0"/>
                      <wp:wrapNone/>
                      <wp:docPr id="573" name="Frame5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562610" cy="175260"/>
                      <wp:effectExtent l="0" t="0" r="0" b="0"/>
                      <wp:wrapNone/>
                      <wp:docPr id="574" name="Frame57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0"/>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7,120</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109,282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118,915</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118,915</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81,168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127,984</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257,873</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95,404</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197,566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30,631</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30,631</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81,168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127,984</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257,873</w:t>
            </w:r>
          </w:p>
        </w:tc>
      </w:tr>
    </w:tbl>
    <w:p>
      <w:pPr>
        <w:pStyle w:val="TextBody"/>
        <w:bidi w:val="0"/>
        <w:spacing w:before="0" w:after="240"/>
        <w:ind w:left="0" w:right="0" w:hanging="0"/>
        <w:jc w:val="left"/>
        <w:rPr/>
      </w:pPr>
      <w:r>
        <w:rPr/>
        <w:t>​</w:t>
      </w:r>
    </w:p>
    <w:tbl>
      <w:tblPr>
        <w:tblW w:w="8293" w:type="dxa"/>
        <w:jc w:val="left"/>
        <w:tblInd w:w="0" w:type="dxa"/>
        <w:tblLayout w:type="fixed"/>
        <w:tblCellMar>
          <w:top w:w="0" w:type="dxa"/>
          <w:left w:w="0" w:type="dxa"/>
          <w:bottom w:w="0" w:type="dxa"/>
          <w:right w:w="0" w:type="dxa"/>
        </w:tblCellMar>
      </w:tblPr>
      <w:tblGrid>
        <w:gridCol w:w="2941"/>
        <w:gridCol w:w="109"/>
        <w:gridCol w:w="214"/>
        <w:gridCol w:w="687"/>
        <w:gridCol w:w="109"/>
        <w:gridCol w:w="211"/>
        <w:gridCol w:w="781"/>
        <w:gridCol w:w="109"/>
        <w:gridCol w:w="245"/>
        <w:gridCol w:w="790"/>
        <w:gridCol w:w="109"/>
        <w:gridCol w:w="211"/>
        <w:gridCol w:w="571"/>
        <w:gridCol w:w="109"/>
        <w:gridCol w:w="211"/>
        <w:gridCol w:w="886"/>
      </w:tblGrid>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0"/>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70,962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82,147</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108,382</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108,382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71,081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111,708</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38,005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223,279</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70,962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82,451</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163,198</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27,331</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27,331</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71,081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111,708</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38,005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223,279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91" w:name="Tc_uxtgnxiYAUWUIktif2PjVQ_18_11"/>
      <w:bookmarkStart w:id="2492" w:name="Tc_sCRKQPaZr061RuT91pCWOg_18_8"/>
      <w:bookmarkStart w:id="2493" w:name="Tc_rAxpaUf3UkegwczFUbfjEA_18_5"/>
      <w:bookmarkStart w:id="2494" w:name="Tc_gzXZTtZvnUiYEkt7jyNqaQ_18_2"/>
      <w:bookmarkStart w:id="2495" w:name="Tc_aoGfF3rP0k6J06uVHcZLew_18_0"/>
      <w:bookmarkStart w:id="2496" w:name="Tc_TD6ZT3tiIUCxcnSTxjjlbg_17_0"/>
      <w:bookmarkStart w:id="2497" w:name="Tc_tGfyURU6M02p3_9lWpAmFA_16_0"/>
      <w:bookmarkStart w:id="2498" w:name="Tc_hy_qJw8s0kWhVSqAWEmYFQ_15_3"/>
      <w:bookmarkStart w:id="2499" w:name="Tc_70SIR11N7UeAxBb193bXJA_15_0"/>
      <w:bookmarkStart w:id="2500" w:name="Tc_dAW-wvXGiUODeg76MAnpzA_14_0"/>
      <w:bookmarkStart w:id="2501" w:name="Tc_n_go1bFzEUqAM8q20-daJA_13_0"/>
      <w:bookmarkStart w:id="2502" w:name="Tc_3r36-epJakq36nFst7t2dg_12_0"/>
      <w:bookmarkStart w:id="2503" w:name="Tc_T0-NGqLyRUKuL-k9NwpruA_11_0"/>
      <w:bookmarkStart w:id="2504" w:name="Tc_t9fh3ik4_EuVcy0sXh0msg_10_0"/>
      <w:bookmarkStart w:id="2505" w:name="Tc_B-Sr7h1oh0y1_4JsNbYanA_9_0"/>
      <w:bookmarkStart w:id="2506" w:name="Tc_F9bf4BcNdkGx-NcVKulKkQ_8_0"/>
      <w:bookmarkStart w:id="2507" w:name="Tc_aSz3k6XNZkSOEHUTUV3OeA_7_0"/>
      <w:bookmarkStart w:id="2508" w:name="Tc_n2UqSw699kq0m8Diea3XHQ_6_0"/>
      <w:bookmarkStart w:id="2509" w:name="Tc_4uxUzioZf069kZOr4NXm7w_5_11"/>
      <w:bookmarkStart w:id="2510" w:name="Tc__x4IO32cNkCDUc4kA2qB2g_5_8"/>
      <w:bookmarkStart w:id="2511" w:name="Tc_eWnt-SMswkGk5VHIe1l5GA_5_5"/>
      <w:bookmarkStart w:id="2512" w:name="Tc_XprhwkyWbUmdZ8blDqMiNA_5_2"/>
      <w:bookmarkStart w:id="2513" w:name="Tc_SUhHiEo8dkqFf1IAnXxDYA_5_0"/>
      <w:bookmarkStart w:id="2514" w:name="Tc___EwhCmBXEy_QoXPpE45Ew_4_0"/>
      <w:bookmarkStart w:id="2515" w:name="Tc_elnrdl0ypEiffPJtAFnzSw_3_11"/>
      <w:bookmarkStart w:id="2516" w:name="Tc_2Id9jGST3UeeXxd6OIvvUg_3_8"/>
      <w:bookmarkStart w:id="2517" w:name="Tc_f5dMHssvj0SNMXvK9Q-fOQ_3_5"/>
      <w:bookmarkStart w:id="2518" w:name="Tc_uym4eyRZs0yCgQUtFB8eVA_3_2"/>
      <w:bookmarkStart w:id="2519" w:name="Tc_yLuhuTY-G0mC5vMQnJ8Mwg_2_8"/>
      <w:bookmarkStart w:id="2520" w:name="Tc_jiFp_NkaZkKIwDsrx1qwCg_2_2"/>
      <w:bookmarkStart w:id="2521" w:name="Tc_p_zm-6oz00mxh4G_BMSrIw_1_8"/>
      <w:bookmarkStart w:id="2522" w:name="Tc_8qy58DoiIkS9lD-UGbJFXA_1_2"/>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r>
        <w:rPr>
          <w:rFonts w:ascii="Times New Roman;Times;serif" w:hAnsi="Times New Roman;Times;serif"/>
          <w:b/>
          <w:sz w:val="20"/>
        </w:rPr>
        <w:t>15. Other Income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(expense), net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62"/>
        <w:gridCol w:w="346"/>
        <w:gridCol w:w="211"/>
        <w:gridCol w:w="664"/>
        <w:gridCol w:w="346"/>
        <w:gridCol w:w="211"/>
        <w:gridCol w:w="664"/>
        <w:gridCol w:w="346"/>
        <w:gridCol w:w="211"/>
        <w:gridCol w:w="769"/>
        <w:gridCol w:w="346"/>
        <w:gridCol w:w="211"/>
        <w:gridCol w:w="818"/>
      </w:tblGrid>
      <w:tr>
        <w:trPr/>
        <w:tc>
          <w:tcPr>
            <w:tcW w:w="5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214370" cy="175260"/>
                      <wp:effectExtent l="0" t="0" r="0" b="0"/>
                      <wp:wrapNone/>
                      <wp:docPr id="575" name="Frame575"/>
                      <a:graphic xmlns:a="http://schemas.openxmlformats.org/drawingml/2006/main">
                        <a:graphicData uri="http://schemas.microsoft.com/office/word/2010/wordprocessingShape">
                          <wps:wsp>
                            <wps:cNvSpPr txBox="1"/>
                            <wps:spPr>
                              <a:xfrm>
                                <a:off x="0" y="0"/>
                                <a:ext cx="321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6"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7"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421640" cy="175260"/>
                      <wp:effectExtent l="0" t="0" r="0" b="0"/>
                      <wp:wrapNone/>
                      <wp:docPr id="578" name="Frame578"/>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9"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33985" cy="175260"/>
                      <wp:effectExtent l="0" t="0" r="0" b="0"/>
                      <wp:wrapNone/>
                      <wp:docPr id="580" name="Frame5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421640" cy="175260"/>
                      <wp:effectExtent l="0" t="0" r="0" b="0"/>
                      <wp:wrapNone/>
                      <wp:docPr id="581" name="Frame581"/>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82" name="Frame5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3985" cy="175260"/>
                      <wp:effectExtent l="0" t="0" r="0" b="0"/>
                      <wp:wrapNone/>
                      <wp:docPr id="583" name="Frame5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488315" cy="175260"/>
                      <wp:effectExtent l="0" t="0" r="0" b="0"/>
                      <wp:wrapNone/>
                      <wp:docPr id="584" name="Frame584"/>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85" name="Frame5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33985" cy="175260"/>
                      <wp:effectExtent l="0" t="0" r="0" b="0"/>
                      <wp:wrapNone/>
                      <wp:docPr id="586" name="Frame5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519430" cy="175260"/>
                      <wp:effectExtent l="0" t="0" r="0" b="0"/>
                      <wp:wrapNone/>
                      <wp:docPr id="587" name="Frame587"/>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9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3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income, net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6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6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pPr>
            <w:r>
              <w:rPr/>
              <w:t>  ​</w:t>
            </w:r>
          </w:p>
        </w:tc>
      </w:tr>
      <w:tr>
        <w:trPr/>
        <w:tc>
          <w:tcPr>
            <w:tcW w:w="5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dividend and accretion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w:t>
            </w:r>
          </w:p>
        </w:tc>
      </w:tr>
      <w:tr>
        <w:trPr/>
        <w:tc>
          <w:tcPr>
            <w:tcW w:w="5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investments in SPEs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r>
      <w:tr>
        <w:trPr/>
        <w:tc>
          <w:tcPr>
            <w:tcW w:w="5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r>
      <w:tr>
        <w:trPr/>
        <w:tc>
          <w:tcPr>
            <w:tcW w:w="50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6,630</w:t>
            </w:r>
          </w:p>
        </w:tc>
      </w:tr>
      <w:tr>
        <w:trPr/>
        <w:tc>
          <w:tcPr>
            <w:tcW w:w="50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  ​</w:t>
            </w:r>
          </w:p>
        </w:tc>
      </w:tr>
      <w:tr>
        <w:trPr/>
        <w:tc>
          <w:tcPr>
            <w:tcW w:w="5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incurred for project financing and other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(11,093)</w:t>
            </w:r>
          </w:p>
        </w:tc>
      </w:tr>
      <w:tr>
        <w:trPr/>
        <w:tc>
          <w:tcPr>
            <w:tcW w:w="5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and amortization of discount and issuance costs for Senior Notes issued by SPE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w:t>
            </w:r>
          </w:p>
        </w:tc>
      </w:tr>
      <w:tr>
        <w:trPr/>
        <w:tc>
          <w:tcPr>
            <w:tcW w:w="50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(15,535)</w:t>
            </w:r>
          </w:p>
        </w:tc>
      </w:tr>
      <w:tr>
        <w:trPr/>
        <w:tc>
          <w:tcPr>
            <w:tcW w:w="50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 income from unconsolidated joint ventures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17,705</w:t>
            </w:r>
          </w:p>
        </w:tc>
      </w:tr>
      <w:tr>
        <w:trPr/>
        <w:tc>
          <w:tcPr>
            <w:tcW w:w="50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pPr>
            <w:r>
              <w:rPr/>
              <w:t>  ​</w:t>
            </w:r>
          </w:p>
        </w:tc>
      </w:tr>
      <w:tr>
        <w:trPr/>
        <w:tc>
          <w:tcPr>
            <w:tcW w:w="5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5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50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(454)</w:t>
            </w:r>
          </w:p>
        </w:tc>
      </w:tr>
      <w:tr>
        <w:trPr/>
        <w:tc>
          <w:tcPr>
            <w:tcW w:w="50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8,346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dividend and accretion income includes interest income accrued or received on the Company’s cash, cash equivalents and other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income from investments in SPEs primarily includes interest earned on the investments held by Panama City Timber Finance Company, LLC, which is used to pay the interest expense for Senior Notes held by Northwest Florida Timber Finance, LLC.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interest income includes interest earned on the Company’s unimproved land contribution to the unconsolidated Latitude Margaritaville Watersound JV as home sales are transacted in the community and other receivables.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includes interest incurred related to the Company’s project financing, Senior Notes issued by Northwest Florida Timber Finance, LLC, CDD debt and finance leases. Interest expense also includes amortization of debt discount and premium and debt issuance costs. Discount and issuance costs for the Senior Notes issued by Northwest Florida Timber Finance, LLC, are amortized based on the effective interest method at an effective rate of 4.9%.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and six months ended June 30, 2026 and 2025, the Company did not capitalize interest related to projects under development or construction.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 Income from Unconsolidated Joint Ventures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Equity in income from unconsolidated joint ventures includes the Company’s proportionate share of earnings or losses of unconsolidated JVs accounted for using the equity method. Equity in income from unconsolidated joint ventures includes income related to the Latitude Margaritaville Watersound JV of $5.0 million and $8.4 million during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three months ended June 30, 2026 and 2025, respectively, and $10.0 million and $21.1 million during the six months ended June 30, 2026 and 2025, respectively. The Latitude Margaritaville Watersound JV completed 86 and 137 home sale transactions during the three months ended June 30, 2026 and 2025, respectively, and 169 and 329 home sale transactions during the six months ended June 30, 2026 and 2025, respectively. Equity in income from unconsolidated joint ventures also includes loss related to the Pier Park RI JV of $0.4 million and $1.3 million during the six months ended June 30, 2026 and 2025, respectively. The six months ended June 30, 2025, include start-up, depreciation and interest expenses for the project. Equity in income from unconsolidated joint ventures also includes loss related to the Watersound Fountains Independent Living JV of $0.9 million and $1.0 million during the three months ended June 30, 2026 and 2025, respectively, and $1.8 million and $2.0 million during the six months ended June 30, 2026 and 2025, respectively. The community is under lease-up. 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expense, net primarily includes expense for design costs for certain commercial assets the Company is no longer pursuing, loss on early extinguishment of debt, fees related to loans, loss on disposal of assets and other income and expense items.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Segment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conducts primarily all of its business in the following three reportable segments: (1) residential, (2) hospitality and (3) commercial. The Company’s reportable segments are strategic business units that offer different products and services. They are each managed separately and decisions about allocations of resources are determined by management based on these strategic business units.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accounting policies of the segments are set forth in Note 2 to the Company’s consolidated financial statements contained in Item 15 of the Company’s Annual Report on Form 10-K for the year ended December 31, 2025. Total revenue represents sales to unaffiliated customers, as reported in the Company’s condensed consolidated statements of income. All significant intercompany transactions have been eliminated in consolidation. The Company uses total segment revenue, gross profit and income before income taxes and non-controlling interest and other qualitative measures for purposes of making decisions about allocating resources to each segment and assessing each segment’s performance, which the Company believes represents current performance measures.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President, Chief Executive Officer and Chairman of the Board is the Chief Operating Decision maker (the “CODM”). For the residential, hospitality and commercial segments, the CODM uses segment revenue, gross profit and income before income taxes and non-controlling interest to allocate resources (including employees, property, and financial or capital resources) for each segment predominantly in the annual budget and forecasting process. The CODM considers budget-to-actual variances on a monthly basis for the profit measures when making decisions about allocating capital and personnel to the segments. The CODM also uses segment revenue and gross profit for evaluating product pricing and segment income before income taxes and non-controlling interest to assess the performance for each segment by comparing the results and return on assets of each segment with one another and in the compensation of certain 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does not allocate income taxes or certain unusual items to segments. In addition, the hospitality and commercial segments have significant non-cash depreciation and amortization in reported profit or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caption entitled “Other” consists of Business Services revenue and cost of revenue; mitigation bank credit sales revenue and cost of revenue; corporate operating expenses; corporate depreciation and amortization and corporate other income and expense items.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523" w:name="Tc_0zD9IgG3xE29uuHlhGOAiQ_51_11"/>
      <w:bookmarkStart w:id="2524" w:name="Tc_Ee4x4mNM-Ueigm9pIZ5z3Q_51_8"/>
      <w:bookmarkStart w:id="2525" w:name="Tc_1fdOsmpozk2V2NNXDmn2ZA_51_5"/>
      <w:bookmarkStart w:id="2526" w:name="Tc_5CpuBIjmfk2F5P8DzYBN3g_51_2"/>
      <w:bookmarkStart w:id="2527" w:name="Tc__yQ2rPT_lU2yu-i8vHKX2A_51_0"/>
      <w:bookmarkStart w:id="2528" w:name="Tc_oq14JcmhSkGXgzA8c-lJsw_50_0"/>
      <w:bookmarkStart w:id="2529" w:name="Tc_6swmsobL-0eyerSlBaNwgg_49_0"/>
      <w:bookmarkStart w:id="2530" w:name="Tc_cx6jje1px0Gofr4uX8rTMw_48_0"/>
      <w:bookmarkStart w:id="2531" w:name="Tc_IRQtAW8PD06n3I-MqRco7g_47_11"/>
      <w:bookmarkStart w:id="2532" w:name="Tc_Qw2QhWeblEa50e7UF-vF4w_47_8"/>
      <w:bookmarkStart w:id="2533" w:name="Tc_CIVQj2WkeUOZ8-tc5zfAAA_47_5"/>
      <w:bookmarkStart w:id="2534" w:name="Tc_vbwHf-PPt0Kf1ZfmL6wZFQ_47_2"/>
      <w:bookmarkStart w:id="2535" w:name="Tc_SMqPO1HI9kqxL7dDLwQMgA_47_0"/>
      <w:bookmarkStart w:id="2536" w:name="Tc_CnngN6Rj1U-nV9MKZBM_bA_46_0"/>
      <w:bookmarkStart w:id="2537" w:name="Tc_EqZIfyWJxEam5U71dZUHzQ_44_11"/>
      <w:bookmarkStart w:id="2538" w:name="Tc_OYfqCJGUj06AxnXFR3bPeQ_44_8"/>
      <w:bookmarkStart w:id="2539" w:name="Tc_9l0nBwp69EOl6H9rR8-PQQ_44_5"/>
      <w:bookmarkStart w:id="2540" w:name="Tc_ur7jZeW5_EmJSyafAUfVfw_44_2"/>
      <w:bookmarkStart w:id="2541" w:name="Tc_F-lczp6SkEKGiqS9X_cvCQ_44_0"/>
      <w:bookmarkStart w:id="2542" w:name="Tc_s0qMBv-yy0yb42F0bWMyhQ_43_0"/>
      <w:bookmarkStart w:id="2543" w:name="Tc_QGGfzE8RkEmVLZE27Ruj1w_42_0"/>
      <w:bookmarkStart w:id="2544" w:name="Tc_lOpwGMTJ80mdRM9lW90HtQ_41_0"/>
      <w:bookmarkStart w:id="2545" w:name="Tc_8DB3qiW8b0awLwDyo-2hbg_40_11"/>
      <w:bookmarkStart w:id="2546" w:name="Tc_JemS1Ew4KEm7j_59Pws8vw_40_8"/>
      <w:bookmarkStart w:id="2547" w:name="Tc_45p6EuSppEKAEQYnjyiIvg_40_5"/>
      <w:bookmarkStart w:id="2548" w:name="Tc_nc7cRhhGLUiVp7WPm5fU4Q_40_2"/>
      <w:bookmarkStart w:id="2549" w:name="Tc_nmnCOvXw70Kw-CEKdMnNVw_40_0"/>
      <w:bookmarkStart w:id="2550" w:name="Tc_OZGdVChXaEaogKGXA2GcvQ_39_0"/>
      <w:bookmarkStart w:id="2551" w:name="Tc_ryvm_e1ukUma66ldg-d4rA_37_11"/>
      <w:bookmarkStart w:id="2552" w:name="Tc_YrdjNwTyCUKfCpO5fngCng_37_8"/>
      <w:bookmarkStart w:id="2553" w:name="Tc_WyEA52XZEE6c3Vw6SZeiRw_37_5"/>
      <w:bookmarkStart w:id="2554" w:name="Tc_OyP1R7lFwk-GGKE2NOJsYA_37_2"/>
      <w:bookmarkStart w:id="2555" w:name="Tc_9zPs5LwKnEajFvHyMD4Kbg_37_0"/>
      <w:bookmarkStart w:id="2556" w:name="Tc_-x9bYjB6FkCqlbLaeEXkBA_36_0"/>
      <w:bookmarkStart w:id="2557" w:name="Tc_WT5oqXnK9EO7IHKZKr2okw_35_0"/>
      <w:bookmarkStart w:id="2558" w:name="Tc_HNd850kcfEuIjZZjGmBzFw_34_0"/>
      <w:bookmarkStart w:id="2559" w:name="Tc_BN-ZoXKH0kei7_2BpDxFsA_33_11"/>
      <w:bookmarkStart w:id="2560" w:name="Tc_zn3z7YF6ckK9dRiNEogo1A_33_8"/>
      <w:bookmarkStart w:id="2561" w:name="Tc_qX7E_OZFakm9aZP-_1RFcA_33_5"/>
      <w:bookmarkStart w:id="2562" w:name="Tc_3SR5j94P-k-m4IfyVTrAIQ_33_2"/>
      <w:bookmarkStart w:id="2563" w:name="Tc_l9g1MEjg1EKYRIYYAbFQLA_33_0"/>
      <w:bookmarkStart w:id="2564" w:name="Tc_GcxRd0GG1kuTO1AwmotLDQ_32_0"/>
      <w:bookmarkStart w:id="2565" w:name="Tc_0BJza7VUGE6tftGfLGvVHw_30_11"/>
      <w:bookmarkStart w:id="2566" w:name="Tc_vuYYPkh5AUWrY7gctEDgig_30_8"/>
      <w:bookmarkStart w:id="2567" w:name="Tc_rpj8nknldECLq-M9Z0e9mQ_30_5"/>
      <w:bookmarkStart w:id="2568" w:name="Tc_Q6bxRHIjykecQX-BUkLZGA_30_2"/>
      <w:bookmarkStart w:id="2569" w:name="Tc_zn03RJ4I7kW29x1jn-43GA_30_0"/>
      <w:bookmarkStart w:id="2570" w:name="Tc_shGk2-VKREy29PyFKOU2kg_29_0"/>
      <w:bookmarkStart w:id="2571" w:name="Tc_ECyBVSqpR0ytsKiM8QF4DQ_28_0"/>
      <w:bookmarkStart w:id="2572" w:name="Tc_m7NnFUSxvESn7ML_Hryl4A_27_0"/>
      <w:bookmarkStart w:id="2573" w:name="Tc_6kdAV5YR3UGb-jVMHMsmkw_26_11"/>
      <w:bookmarkStart w:id="2574" w:name="Tc_BOFd5rAnmk2g-qXiFvFumw_26_8"/>
      <w:bookmarkStart w:id="2575" w:name="Tc_tF1VwkHUP0SjJ2B2TEIWsw_26_5"/>
      <w:bookmarkStart w:id="2576" w:name="Tc_9VH5979790yX0ujzX2-cng_26_2"/>
      <w:bookmarkStart w:id="2577" w:name="Tc_JKc47JiQbkm09qMzZqeavQ_26_0"/>
      <w:bookmarkStart w:id="2578" w:name="Tc_1WNTsC4oh06AIEerFYoVsg_25_0"/>
      <w:bookmarkStart w:id="2579" w:name="Tc_rEnTRJD5_0OPGtQmG-wQ0w_23_11"/>
      <w:bookmarkStart w:id="2580" w:name="Tc_HPo1-WncxEKE8JjRgXu0lw_23_8"/>
      <w:bookmarkStart w:id="2581" w:name="Tc_2XGmuEQ8EEKAk4aDMCqYdA_23_5"/>
      <w:bookmarkStart w:id="2582" w:name="Tc_ZUaDPQjeyU-EjHP2kZhG6A_23_2"/>
      <w:bookmarkStart w:id="2583" w:name="Tc_mP8lrcdXWkCtyE9pKMwXfQ_23_0"/>
      <w:bookmarkStart w:id="2584" w:name="Tc_qSCf-q32G0uXvuua3xoC9w_22_0"/>
      <w:bookmarkStart w:id="2585" w:name="Tc_S7i6Vhw7qEWy8M5Oj0L-9A_21_0"/>
      <w:bookmarkStart w:id="2586" w:name="Tc_8hY06K_Zp0W7LHvlg93NTg_20_0"/>
      <w:bookmarkStart w:id="2587" w:name="Tc_eeHLATAgOUm7qVB2az6dlg_19_11"/>
      <w:bookmarkStart w:id="2588" w:name="Tc__a0gueUFRkOv-IpRBHiQBQ_19_8"/>
      <w:bookmarkStart w:id="2589" w:name="Tc_Z0QYh1R_hEWPIj8FZ_64nw_19_5"/>
      <w:bookmarkStart w:id="2590" w:name="Tc_JqpknHnv30imoDN19rZcvw_19_2"/>
      <w:bookmarkStart w:id="2591" w:name="Tc_A4akk4LkekeWKpNFk8MSHw_19_0"/>
      <w:bookmarkStart w:id="2592" w:name="Tc_s8Xz6vQZWEa6I_cgQDKZkQ_18_0"/>
      <w:bookmarkStart w:id="2593" w:name="Tc_EcHWIim620-PRBbCyAjhwQ_16_11"/>
      <w:bookmarkStart w:id="2594" w:name="Tc_MaYHqkbcbEGCFsfIaX2JfQ_16_8"/>
      <w:bookmarkStart w:id="2595" w:name="Tc_0aZG_tqKvEaIetgLmkjhgA_16_5"/>
      <w:bookmarkStart w:id="2596" w:name="Tc_X_VV-YJlRESgqOTG2VBslQ_16_2"/>
      <w:bookmarkStart w:id="2597" w:name="Tc_0hgeGDTGLUG9sfwTD9sxQg_16_0"/>
      <w:bookmarkStart w:id="2598" w:name="Tc_bLM4gmby0E-wh5_fFpdJIA_15_0"/>
      <w:bookmarkStart w:id="2599" w:name="Tc_p04kzB67x0m2JOtG1XLRVg_14_0"/>
      <w:bookmarkStart w:id="2600" w:name="Tc_EpGN545Rf0a66C5HvTGzAQ_13_0"/>
      <w:bookmarkStart w:id="2601" w:name="Tc_bGuzJ_0DMEyYTY31dqrkng_12_11"/>
      <w:bookmarkStart w:id="2602" w:name="Tc_Ma--5l5Ze0CvlX6Yz5A-RQ_12_8"/>
      <w:bookmarkStart w:id="2603" w:name="Tc_Vjm1-Nk3R0ets4cLjRht-g_12_5"/>
      <w:bookmarkStart w:id="2604" w:name="Tc_fNxMkXd7T0WI_DQX5BTYVg_12_2"/>
      <w:bookmarkStart w:id="2605" w:name="Tc_kvpsECLBa0S9aQlsgoOVaA_12_0"/>
      <w:bookmarkStart w:id="2606" w:name="Tc_BuLIstvlbE2UcMti1QZhEw_11_0"/>
      <w:bookmarkStart w:id="2607" w:name="Tc_QAJvOLZ5jkChgPx5pCrOtw_9_11"/>
      <w:bookmarkStart w:id="2608" w:name="Tc_si9JUWpcLEqlL1C6JEy7AQ_9_8"/>
      <w:bookmarkStart w:id="2609" w:name="Tc_ZuO6-Dl_n0KXjwad7W2oug_9_5"/>
      <w:bookmarkStart w:id="2610" w:name="Tc_66blZqXnLkaZ67jU44QbsQ_9_2"/>
      <w:bookmarkStart w:id="2611" w:name="Tc_lz6z41-ogkq49j1Uci926w_9_0"/>
      <w:bookmarkStart w:id="2612" w:name="Tc_EPT2thI0ik6Ngn-FeHqb2A_8_0"/>
      <w:bookmarkStart w:id="2613" w:name="Tc_MYqqJWaWnE-aFJfiew2QjQ_7_0"/>
      <w:bookmarkStart w:id="2614" w:name="Tc_QR2sroouEECtRfOQdc113w_6_0"/>
      <w:bookmarkStart w:id="2615" w:name="Tc_VqFrsEPJt0yvU389AQGEtw_5_11"/>
      <w:bookmarkStart w:id="2616" w:name="Tc_f6corN4870ua1ulqq8S5gQ_5_8"/>
      <w:bookmarkStart w:id="2617" w:name="Tc_rOTUuTX-9EO7Zv0vHmEivQ_5_5"/>
      <w:bookmarkStart w:id="2618" w:name="Tc_hFCVXt4GBUmAmTvEq1CXjw_5_2"/>
      <w:bookmarkStart w:id="2619" w:name="Tc_ywxitNiWNUahDGEM8L3P3w_5_0"/>
      <w:bookmarkStart w:id="2620" w:name="Tc_oT1hyiH0Uk2m_G7LLMpJsg_4_0"/>
      <w:bookmarkStart w:id="2621" w:name="Tc_sMNdHZMmIkuLYr-2QyWxEQ_3_11"/>
      <w:bookmarkStart w:id="2622" w:name="Tc_Opz5W2sXsUCyWNJeFEWzfQ_3_8"/>
      <w:bookmarkStart w:id="2623" w:name="Tc_2_XavLPvzEO_hWxAg-JqVQ_3_5"/>
      <w:bookmarkStart w:id="2624" w:name="Tc_VU4bveUbR0K7wMkLL6ADNA_3_2"/>
      <w:bookmarkStart w:id="2625" w:name="Tc_b0mv2PpXrEaFYZVAaSs8IQ_2_8"/>
      <w:bookmarkStart w:id="2626" w:name="Tc_R04isAaZ0UaaPS8zCrBz5g_2_2"/>
      <w:bookmarkStart w:id="2627" w:name="Tc_GObpcB_JfECLSslJt7MREw_1_8"/>
      <w:bookmarkStart w:id="2628" w:name="Tc_Dk5yvUbky0m9Tpn1RLNyHA_1_2"/>
      <w:bookmarkStart w:id="2629" w:name="_d8a97f70_7094_45ff_91ee_475f6a8e798d"/>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r>
        <w:rPr>
          <w:rFonts w:ascii="Times New Roman;Times;serif" w:hAnsi="Times New Roman;Times;serif"/>
          <w:sz w:val="20"/>
        </w:rPr>
        <w:t>Information by business segment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08"/>
        <w:gridCol w:w="346"/>
        <w:gridCol w:w="211"/>
        <w:gridCol w:w="781"/>
        <w:gridCol w:w="346"/>
        <w:gridCol w:w="211"/>
        <w:gridCol w:w="781"/>
        <w:gridCol w:w="346"/>
        <w:gridCol w:w="211"/>
        <w:gridCol w:w="781"/>
        <w:gridCol w:w="346"/>
        <w:gridCol w:w="211"/>
        <w:gridCol w:w="826"/>
      </w:tblGrid>
      <w:tr>
        <w:trPr/>
        <w:tc>
          <w:tcPr>
            <w:tcW w:w="4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3053080" cy="175260"/>
                      <wp:effectExtent l="0" t="0" r="0" b="0"/>
                      <wp:wrapNone/>
                      <wp:docPr id="588" name="Frame588"/>
                      <a:graphic xmlns:a="http://schemas.openxmlformats.org/drawingml/2006/main">
                        <a:graphicData uri="http://schemas.microsoft.com/office/word/2010/wordprocessingShape">
                          <wps:wsp>
                            <wps:cNvSpPr txBox="1"/>
                            <wps:spPr>
                              <a:xfrm>
                                <a:off x="0" y="0"/>
                                <a:ext cx="305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89"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3985" cy="175260"/>
                      <wp:effectExtent l="0" t="0" r="0" b="0"/>
                      <wp:wrapNone/>
                      <wp:docPr id="590" name="Frame5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495935" cy="175260"/>
                      <wp:effectExtent l="0" t="0" r="0" b="0"/>
                      <wp:wrapNone/>
                      <wp:docPr id="591" name="Frame5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92" name="Frame5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33985" cy="175260"/>
                      <wp:effectExtent l="0" t="0" r="0" b="0"/>
                      <wp:wrapNone/>
                      <wp:docPr id="593" name="Frame5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495935" cy="175260"/>
                      <wp:effectExtent l="0" t="0" r="0" b="0"/>
                      <wp:wrapNone/>
                      <wp:docPr id="594" name="Frame5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19710" cy="175260"/>
                      <wp:effectExtent l="0" t="0" r="0" b="0"/>
                      <wp:wrapNone/>
                      <wp:docPr id="595" name="Frame5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33985" cy="175260"/>
                      <wp:effectExtent l="0" t="0" r="0" b="0"/>
                      <wp:wrapNone/>
                      <wp:docPr id="596" name="Frame5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95935" cy="175260"/>
                      <wp:effectExtent l="0" t="0" r="0" b="0"/>
                      <wp:wrapNone/>
                      <wp:docPr id="597" name="Frame5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98" name="Frame5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33985" cy="175260"/>
                      <wp:effectExtent l="0" t="0" r="0" b="0"/>
                      <wp:wrapNone/>
                      <wp:docPr id="599" name="Frame5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524510" cy="175260"/>
                      <wp:effectExtent l="0" t="0" r="0" b="0"/>
                      <wp:wrapNone/>
                      <wp:docPr id="600" name="Frame60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71,081</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Hospitality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111,708</w:t>
            </w:r>
          </w:p>
        </w:tc>
      </w:tr>
      <w:tr>
        <w:trPr/>
        <w:tc>
          <w:tcPr>
            <w:tcW w:w="480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(b)</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38,005</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158,829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129,082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257,873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223,279</w:t>
            </w:r>
          </w:p>
        </w:tc>
      </w:tr>
      <w:tr>
        <w:trPr/>
        <w:tc>
          <w:tcPr>
            <w:tcW w:w="48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residential revenue </w:t>
            </w:r>
            <w:r>
              <w:rPr>
                <w:rFonts w:ascii="Times New Roman;Times;serif" w:hAnsi="Times New Roman;Times;serif"/>
                <w:sz w:val="15"/>
              </w:rPr>
              <w:t>(d)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39,104</w:t>
            </w:r>
          </w:p>
        </w:tc>
      </w:tr>
      <w:tr>
        <w:trPr/>
        <w:tc>
          <w:tcPr>
            <w:tcW w:w="480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hospitality revenue </w:t>
            </w:r>
            <w:r>
              <w:rPr>
                <w:rFonts w:ascii="Times New Roman;Times;serif" w:hAnsi="Times New Roman;Times;serif"/>
                <w:sz w:val="15"/>
              </w:rPr>
              <w:t>(a) (d)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76,701</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commercial revenue </w:t>
            </w:r>
            <w:r>
              <w:rPr>
                <w:rFonts w:ascii="Times New Roman;Times;serif" w:hAnsi="Times New Roman;Times;serif"/>
                <w:sz w:val="15"/>
              </w:rPr>
              <w:t>(b) (d)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14,872</w:t>
            </w:r>
          </w:p>
        </w:tc>
      </w:tr>
      <w:tr>
        <w:trPr/>
        <w:tc>
          <w:tcPr>
            <w:tcW w:w="480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other revenue </w:t>
            </w:r>
            <w:r>
              <w:rPr>
                <w:rFonts w:ascii="Times New Roman;Times;serif" w:hAnsi="Times New Roman;Times;serif"/>
                <w:sz w:val="15"/>
              </w:rPr>
              <w:t>(c) (d)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Consolidated cost of revenue</w:t>
            </w:r>
            <w:r>
              <w:rPr>
                <w:rFonts w:ascii="Times New Roman;Times;serif" w:hAnsi="Times New Roman;Times;serif"/>
                <w:sz w:val="20"/>
              </w:rPr>
              <w:t xml:space="preserve"> </w:t>
            </w:r>
            <w:r>
              <w:rPr>
                <w:rFonts w:ascii="Times New Roman;Times;serif" w:hAnsi="Times New Roman;Times;serif"/>
                <w:b/>
                <w:sz w:val="15"/>
              </w:rPr>
              <w:t>(d)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85,407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73,694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146,510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132,287</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31,977</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Hospitality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35,007</w:t>
            </w:r>
          </w:p>
        </w:tc>
      </w:tr>
      <w:tr>
        <w:trPr/>
        <w:tc>
          <w:tcPr>
            <w:tcW w:w="480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(b)</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23,133</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73,422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111,363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90,992</w:t>
            </w:r>
          </w:p>
        </w:tc>
      </w:tr>
      <w:tr>
        <w:trPr/>
        <w:tc>
          <w:tcPr>
            <w:tcW w:w="48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 and other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Residential </w:t>
            </w:r>
            <w:r>
              <w:rPr>
                <w:rFonts w:ascii="Times New Roman;Times;serif" w:hAnsi="Times New Roman;Times;serif"/>
                <w:sz w:val="15"/>
              </w:rPr>
              <w:t>(d)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r>
      <w:tr>
        <w:trPr/>
        <w:tc>
          <w:tcPr>
            <w:tcW w:w="480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Hospitality </w:t>
            </w:r>
            <w:r>
              <w:rPr>
                <w:rFonts w:ascii="Times New Roman;Times;serif" w:hAnsi="Times New Roman;Times;serif"/>
                <w:sz w:val="15"/>
              </w:rPr>
              <w:t>(d)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w:t>
            </w:r>
          </w:p>
        </w:tc>
      </w:tr>
      <w:tr>
        <w:trPr/>
        <w:tc>
          <w:tcPr>
            <w:tcW w:w="480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(c) (d)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7,546</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 xml:space="preserve">Consolidated corporate and other operating expenses </w:t>
            </w:r>
            <w:r>
              <w:rPr>
                <w:rFonts w:ascii="Times New Roman;Times;serif" w:hAnsi="Times New Roman;Times;serif"/>
                <w:b/>
                <w:sz w:val="15"/>
              </w:rPr>
              <w:t>(d)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13,022</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depletion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14,352</w:t>
            </w:r>
          </w:p>
        </w:tc>
      </w:tr>
      <w:tr>
        <w:trPr/>
        <w:tc>
          <w:tcPr>
            <w:tcW w:w="480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(b)</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9,452</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depreciation, depletion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24,117</w:t>
            </w:r>
          </w:p>
        </w:tc>
      </w:tr>
      <w:tr>
        <w:trPr/>
        <w:tc>
          <w:tcPr>
            <w:tcW w:w="48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480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5,600</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investment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6,630</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5,310</w:t>
            </w:r>
          </w:p>
        </w:tc>
      </w:tr>
      <w:tr>
        <w:trPr/>
        <w:tc>
          <w:tcPr>
            <w:tcW w:w="480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(b)</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5,600</w:t>
            </w:r>
          </w:p>
        </w:tc>
      </w:tr>
      <w:tr>
        <w:trPr/>
        <w:tc>
          <w:tcPr>
            <w:tcW w:w="48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(f)</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15,535</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630" w:name="Tc_R8b31UNj_UChZPAY781dGQ_81_11"/>
      <w:bookmarkStart w:id="2631" w:name="Tc_gCELNzEtV0ihWSe3Ypg97A_81_8"/>
      <w:bookmarkStart w:id="2632" w:name="Tc_H1CldtEm0Ea6e3fcWb7xJw_81_5"/>
      <w:bookmarkStart w:id="2633" w:name="Tc_l27C3wFXM0y10XZGT8xsrg_81_2"/>
      <w:bookmarkStart w:id="2634" w:name="Tc_6ZItqT0jDkS7iKVjVeZnMw_81_0"/>
      <w:bookmarkStart w:id="2635" w:name="Tc_0VcFjJJnBEqQghG9J3XS_w_80_0"/>
      <w:bookmarkStart w:id="2636" w:name="Tc_s-KJb694QkOUIzWg9hNOxw_79_0"/>
      <w:bookmarkStart w:id="2637" w:name="Tc_OOsqyvwSO0iQJLHHjZSzCw_78_0"/>
      <w:bookmarkStart w:id="2638" w:name="Tc_IB0QcDvv1UWhB4NZQjeQIQ_77_11"/>
      <w:bookmarkStart w:id="2639" w:name="Tc_9sQ_tvBS2kyKEo_mGugHqQ_77_8"/>
      <w:bookmarkStart w:id="2640" w:name="Tc_CZj50BCm6UGBUNsjteB_RQ_77_5"/>
      <w:bookmarkStart w:id="2641" w:name="Tc_swAcmdXlJ0S_10Agr7iy9Q_77_2"/>
      <w:bookmarkStart w:id="2642" w:name="Tc_WuPg3ONUIUu10DCV6bwA7Q_77_0"/>
      <w:bookmarkStart w:id="2643" w:name="Tc_AE4n9yZ5s0yA_YehHqK3Mg_76_0"/>
      <w:bookmarkStart w:id="2644" w:name="Tc_B3NZzxa_-kOdL1PB1Lmcyw_74_11"/>
      <w:bookmarkStart w:id="2645" w:name="Tc_LaVYUU-oLUOdokvRV70vQw_74_8"/>
      <w:bookmarkStart w:id="2646" w:name="Tc_-lxI0EpEcEuSzvDzK-6tFQ_74_5"/>
      <w:bookmarkStart w:id="2647" w:name="Tc_AecbtB2BkEyqhnF59zwzcA_74_2"/>
      <w:bookmarkStart w:id="2648" w:name="Tc_pdSGEQRaPEKBXDQHojGJ7w_74_0"/>
      <w:bookmarkStart w:id="2649" w:name="Tc_6HnCdyYAzEGvcyf91P9hPQ_73_0"/>
      <w:bookmarkStart w:id="2650" w:name="Tc_X0MNl9ZVJU6uZ3vyn6b9kQ_72_0"/>
      <w:bookmarkStart w:id="2651" w:name="Tc_BwLkvKrpAEazvZbT5ZukmQ_71_0"/>
      <w:bookmarkStart w:id="2652" w:name="Tc_fAbzp0Zu9EqByHH_yBhLXA_70_11"/>
      <w:bookmarkStart w:id="2653" w:name="Tc_zT_1u7Sy9kSW5cflB1ODOw_70_8"/>
      <w:bookmarkStart w:id="2654" w:name="Tc_dyEXfWKaREOtv5t0874LBw_70_5"/>
      <w:bookmarkStart w:id="2655" w:name="Tc_nRhiIjFCB0OTCFdPAZgKXA_70_2"/>
      <w:bookmarkStart w:id="2656" w:name="Tc_E5TU4yMOe0SvLm8_J9rAvA_70_0"/>
      <w:bookmarkStart w:id="2657" w:name="Tc_ohGr0_7YZ0yXN-KqAXzKyQ_69_0"/>
      <w:bookmarkStart w:id="2658" w:name="Tc_Tyqsn2qzNkKeIVuFleuXUw_67_11"/>
      <w:bookmarkStart w:id="2659" w:name="Tc_Qhr75ffUmEOb0_cWiAQeiw_67_8"/>
      <w:bookmarkStart w:id="2660" w:name="Tc_7G5CCA_WR0WSFattXfTB2Q_67_5"/>
      <w:bookmarkStart w:id="2661" w:name="Tc_Ke0EaKex1k2iS28r96VsuA_67_2"/>
      <w:bookmarkStart w:id="2662" w:name="Tc_GKiW_obK0Uac_td6tD7iDw_67_0"/>
      <w:bookmarkStart w:id="2663" w:name="Tc_4esuYKqEGU6Fjpm6O6FxDQ_66_0"/>
      <w:bookmarkStart w:id="2664" w:name="Tc_ExFt7Z1GP02W0Ya0aH4utg_65_0"/>
      <w:bookmarkStart w:id="2665" w:name="Tc_NP1nCrpuqE28DIcGUJtu-A_64_0"/>
      <w:bookmarkStart w:id="2666" w:name="Tc_wI8PUD_i3E-WL6Kc5u2eUQ_63_11"/>
      <w:bookmarkStart w:id="2667" w:name="Tc_27223naCCUGXvCFAq51H2A_63_8"/>
      <w:bookmarkStart w:id="2668" w:name="Tc_PMx6GpnwbE2Oc3hEQIoEkg_63_5"/>
      <w:bookmarkStart w:id="2669" w:name="Tc_eckjy2oBUk-NrpsxomUVLg_63_2"/>
      <w:bookmarkStart w:id="2670" w:name="Tc_WsMSE_pTrkud6aZxzgJOdw_63_0"/>
      <w:bookmarkStart w:id="2671" w:name="Tc_KShcqGgDj0ewKT6ERWy_2g_62_0"/>
      <w:bookmarkStart w:id="2672" w:name="Tc_O0IXzNwwqEKTr0Z-Jn4HUw_60_11"/>
      <w:bookmarkStart w:id="2673" w:name="Tc_nSNfLJf9tkqTzGkbDaiBZg_60_8"/>
      <w:bookmarkStart w:id="2674" w:name="Tc_1SvgHbHpXEu0Su-aqLf52Q_60_5"/>
      <w:bookmarkStart w:id="2675" w:name="Tc_3Q2gEvS8RkyyN8c2i9EibQ_60_2"/>
      <w:bookmarkStart w:id="2676" w:name="Tc_iKBA30__5ECJi6rt00XMRw_60_0"/>
      <w:bookmarkStart w:id="2677" w:name="Tc_O4VP2GDGKEKavTo36swsPg_59_0"/>
      <w:bookmarkStart w:id="2678" w:name="Tc_0BBu3BsjAU-T7R8nbej4kg_58_11"/>
      <w:bookmarkStart w:id="2679" w:name="Tc_LSyWXl36-0uu7mFNdqtavw_58_8"/>
      <w:bookmarkStart w:id="2680" w:name="Tc_KkQHH0VckECP29QbdcGx_w_58_5"/>
      <w:bookmarkStart w:id="2681" w:name="Tc_FzSpxUbufUWFgzGXllX1Cw_58_2"/>
      <w:bookmarkStart w:id="2682" w:name="Tc_qqz74yremUm8Ccjjviv4cw_58_0"/>
      <w:bookmarkStart w:id="2683" w:name="Tc_qvlbEHsxIkaMEv6ZdkvjAA_57_0"/>
      <w:bookmarkStart w:id="2684" w:name="Tc_O2LjSWORIkqkT4S-Xuit6A_55_11"/>
      <w:bookmarkStart w:id="2685" w:name="Tc_Lq8FQWyFBU6WT37Vnimzzw_55_8"/>
      <w:bookmarkStart w:id="2686" w:name="Tc_IzG9ZjH0qkG5ghTXixtlyw_55_5"/>
      <w:bookmarkStart w:id="2687" w:name="Tc_cORifdMXOUymzewFuexDGg_55_2"/>
      <w:bookmarkStart w:id="2688" w:name="Tc_pZwMZRkXO0ydYwJqyQ35cw_54_8"/>
      <w:bookmarkStart w:id="2689" w:name="Tc_tXj2S9lekkqHXkUImx-Vlw_54_2"/>
      <w:bookmarkStart w:id="2690" w:name="Tc_AF7wLlqKO0K3ve6LiPhijQ_53_8"/>
      <w:bookmarkStart w:id="2691" w:name="Tc_ci9WQA2X00ekPxor_seWpQ_53_2"/>
      <w:bookmarkStart w:id="2692" w:name="Tc_R8b31UNj_UChZPAY781dGQ_81_11"/>
      <w:bookmarkStart w:id="2693" w:name="Tc_gCELNzEtV0ihWSe3Ypg97A_81_8"/>
      <w:bookmarkStart w:id="2694" w:name="Tc_H1CldtEm0Ea6e3fcWb7xJw_81_5"/>
      <w:bookmarkStart w:id="2695" w:name="Tc_l27C3wFXM0y10XZGT8xsrg_81_2"/>
      <w:bookmarkStart w:id="2696" w:name="Tc_6ZItqT0jDkS7iKVjVeZnMw_81_0"/>
      <w:bookmarkStart w:id="2697" w:name="Tc_0VcFjJJnBEqQghG9J3XS_w_80_0"/>
      <w:bookmarkStart w:id="2698" w:name="Tc_s-KJb694QkOUIzWg9hNOxw_79_0"/>
      <w:bookmarkStart w:id="2699" w:name="Tc_OOsqyvwSO0iQJLHHjZSzCw_78_0"/>
      <w:bookmarkStart w:id="2700" w:name="Tc_IB0QcDvv1UWhB4NZQjeQIQ_77_11"/>
      <w:bookmarkStart w:id="2701" w:name="Tc_9sQ_tvBS2kyKEo_mGugHqQ_77_8"/>
      <w:bookmarkStart w:id="2702" w:name="Tc_CZj50BCm6UGBUNsjteB_RQ_77_5"/>
      <w:bookmarkStart w:id="2703" w:name="Tc_swAcmdXlJ0S_10Agr7iy9Q_77_2"/>
      <w:bookmarkStart w:id="2704" w:name="Tc_WuPg3ONUIUu10DCV6bwA7Q_77_0"/>
      <w:bookmarkStart w:id="2705" w:name="Tc_AE4n9yZ5s0yA_YehHqK3Mg_76_0"/>
      <w:bookmarkStart w:id="2706" w:name="Tc_B3NZzxa_-kOdL1PB1Lmcyw_74_11"/>
      <w:bookmarkStart w:id="2707" w:name="Tc_LaVYUU-oLUOdokvRV70vQw_74_8"/>
      <w:bookmarkStart w:id="2708" w:name="Tc_-lxI0EpEcEuSzvDzK-6tFQ_74_5"/>
      <w:bookmarkStart w:id="2709" w:name="Tc_AecbtB2BkEyqhnF59zwzcA_74_2"/>
      <w:bookmarkStart w:id="2710" w:name="Tc_pdSGEQRaPEKBXDQHojGJ7w_74_0"/>
      <w:bookmarkStart w:id="2711" w:name="Tc_6HnCdyYAzEGvcyf91P9hPQ_73_0"/>
      <w:bookmarkStart w:id="2712" w:name="Tc_X0MNl9ZVJU6uZ3vyn6b9kQ_72_0"/>
      <w:bookmarkStart w:id="2713" w:name="Tc_BwLkvKrpAEazvZbT5ZukmQ_71_0"/>
      <w:bookmarkStart w:id="2714" w:name="Tc_fAbzp0Zu9EqByHH_yBhLXA_70_11"/>
      <w:bookmarkStart w:id="2715" w:name="Tc_zT_1u7Sy9kSW5cflB1ODOw_70_8"/>
      <w:bookmarkStart w:id="2716" w:name="Tc_dyEXfWKaREOtv5t0874LBw_70_5"/>
      <w:bookmarkStart w:id="2717" w:name="Tc_nRhiIjFCB0OTCFdPAZgKXA_70_2"/>
      <w:bookmarkStart w:id="2718" w:name="Tc_E5TU4yMOe0SvLm8_J9rAvA_70_0"/>
      <w:bookmarkStart w:id="2719" w:name="Tc_ohGr0_7YZ0yXN-KqAXzKyQ_69_0"/>
      <w:bookmarkStart w:id="2720" w:name="Tc_Tyqsn2qzNkKeIVuFleuXUw_67_11"/>
      <w:bookmarkStart w:id="2721" w:name="Tc_Qhr75ffUmEOb0_cWiAQeiw_67_8"/>
      <w:bookmarkStart w:id="2722" w:name="Tc_7G5CCA_WR0WSFattXfTB2Q_67_5"/>
      <w:bookmarkStart w:id="2723" w:name="Tc_Ke0EaKex1k2iS28r96VsuA_67_2"/>
      <w:bookmarkStart w:id="2724" w:name="Tc_GKiW_obK0Uac_td6tD7iDw_67_0"/>
      <w:bookmarkStart w:id="2725" w:name="Tc_4esuYKqEGU6Fjpm6O6FxDQ_66_0"/>
      <w:bookmarkStart w:id="2726" w:name="Tc_ExFt7Z1GP02W0Ya0aH4utg_65_0"/>
      <w:bookmarkStart w:id="2727" w:name="Tc_NP1nCrpuqE28DIcGUJtu-A_64_0"/>
      <w:bookmarkStart w:id="2728" w:name="Tc_wI8PUD_i3E-WL6Kc5u2eUQ_63_11"/>
      <w:bookmarkStart w:id="2729" w:name="Tc_27223naCCUGXvCFAq51H2A_63_8"/>
      <w:bookmarkStart w:id="2730" w:name="Tc_PMx6GpnwbE2Oc3hEQIoEkg_63_5"/>
      <w:bookmarkStart w:id="2731" w:name="Tc_eckjy2oBUk-NrpsxomUVLg_63_2"/>
      <w:bookmarkStart w:id="2732" w:name="Tc_WsMSE_pTrkud6aZxzgJOdw_63_0"/>
      <w:bookmarkStart w:id="2733" w:name="Tc_KShcqGgDj0ewKT6ERWy_2g_62_0"/>
      <w:bookmarkStart w:id="2734" w:name="Tc_O0IXzNwwqEKTr0Z-Jn4HUw_60_11"/>
      <w:bookmarkStart w:id="2735" w:name="Tc_nSNfLJf9tkqTzGkbDaiBZg_60_8"/>
      <w:bookmarkStart w:id="2736" w:name="Tc_1SvgHbHpXEu0Su-aqLf52Q_60_5"/>
      <w:bookmarkStart w:id="2737" w:name="Tc_3Q2gEvS8RkyyN8c2i9EibQ_60_2"/>
      <w:bookmarkStart w:id="2738" w:name="Tc_iKBA30__5ECJi6rt00XMRw_60_0"/>
      <w:bookmarkStart w:id="2739" w:name="Tc_O4VP2GDGKEKavTo36swsPg_59_0"/>
      <w:bookmarkStart w:id="2740" w:name="Tc_0BBu3BsjAU-T7R8nbej4kg_58_11"/>
      <w:bookmarkStart w:id="2741" w:name="Tc_LSyWXl36-0uu7mFNdqtavw_58_8"/>
      <w:bookmarkStart w:id="2742" w:name="Tc_KkQHH0VckECP29QbdcGx_w_58_5"/>
      <w:bookmarkStart w:id="2743" w:name="Tc_FzSpxUbufUWFgzGXllX1Cw_58_2"/>
      <w:bookmarkStart w:id="2744" w:name="Tc_qqz74yremUm8Ccjjviv4cw_58_0"/>
      <w:bookmarkStart w:id="2745" w:name="Tc_qvlbEHsxIkaMEv6ZdkvjAA_57_0"/>
      <w:bookmarkStart w:id="2746" w:name="Tc_O2LjSWORIkqkT4S-Xuit6A_55_11"/>
      <w:bookmarkStart w:id="2747" w:name="Tc_Lq8FQWyFBU6WT37Vnimzzw_55_8"/>
      <w:bookmarkStart w:id="2748" w:name="Tc_IzG9ZjH0qkG5ghTXixtlyw_55_5"/>
      <w:bookmarkStart w:id="2749" w:name="Tc_cORifdMXOUymzewFuexDGg_55_2"/>
      <w:bookmarkStart w:id="2750" w:name="Tc_pZwMZRkXO0ydYwJqyQ35cw_54_8"/>
      <w:bookmarkStart w:id="2751" w:name="Tc_tXj2S9lekkqHXkUImx-Vlw_54_2"/>
      <w:bookmarkStart w:id="2752" w:name="Tc_AF7wLlqKO0K3ve6LiPhijQ_53_8"/>
      <w:bookmarkStart w:id="2753" w:name="Tc_ci9WQA2X00ekPxor_seWpQ_53_2"/>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p>
    <w:tbl>
      <w:tblPr>
        <w:tblW w:w="10205" w:type="dxa"/>
        <w:jc w:val="left"/>
        <w:tblInd w:w="0" w:type="dxa"/>
        <w:tblLayout w:type="fixed"/>
        <w:tblCellMar>
          <w:top w:w="0" w:type="dxa"/>
          <w:left w:w="0" w:type="dxa"/>
          <w:bottom w:w="0" w:type="dxa"/>
          <w:right w:w="0" w:type="dxa"/>
        </w:tblCellMar>
      </w:tblPr>
      <w:tblGrid>
        <w:gridCol w:w="5128"/>
        <w:gridCol w:w="346"/>
        <w:gridCol w:w="211"/>
        <w:gridCol w:w="689"/>
        <w:gridCol w:w="346"/>
        <w:gridCol w:w="211"/>
        <w:gridCol w:w="689"/>
        <w:gridCol w:w="346"/>
        <w:gridCol w:w="211"/>
        <w:gridCol w:w="689"/>
        <w:gridCol w:w="346"/>
        <w:gridCol w:w="211"/>
        <w:gridCol w:w="782"/>
      </w:tblGrid>
      <w:tr>
        <w:trPr/>
        <w:tc>
          <w:tcPr>
            <w:tcW w:w="51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23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1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2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1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51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 income (loss) from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512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Residential </w:t>
            </w:r>
            <w:r>
              <w:rPr>
                <w:rFonts w:ascii="Times New Roman;Times;serif" w:hAnsi="Times New Roman;Times;serif"/>
                <w:sz w:val="15"/>
              </w:rPr>
              <w:t>(g)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21,135</w:t>
            </w:r>
          </w:p>
        </w:tc>
      </w:tr>
      <w:tr>
        <w:trPr/>
        <w:tc>
          <w:tcPr>
            <w:tcW w:w="512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w:t>
            </w:r>
          </w:p>
        </w:tc>
      </w:tr>
      <w:tr>
        <w:trPr/>
        <w:tc>
          <w:tcPr>
            <w:tcW w:w="51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equity in income from unconsolidated joint ventures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17,705</w:t>
            </w:r>
          </w:p>
        </w:tc>
      </w:tr>
      <w:tr>
        <w:trPr/>
        <w:tc>
          <w:tcPr>
            <w:tcW w:w="51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51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51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51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51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51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51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(454)</w:t>
            </w:r>
          </w:p>
        </w:tc>
      </w:tr>
      <w:tr>
        <w:trPr/>
        <w:tc>
          <w:tcPr>
            <w:tcW w:w="51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r>
      <w:tr>
        <w:trPr/>
        <w:tc>
          <w:tcPr>
            <w:tcW w:w="51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pPr>
            <w:r>
              <w:rPr/>
              <w:t>  ​</w:t>
            </w:r>
          </w:p>
        </w:tc>
      </w:tr>
      <w:tr>
        <w:trPr/>
        <w:tc>
          <w:tcPr>
            <w:tcW w:w="512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Residential </w:t>
            </w:r>
            <w:r>
              <w:rPr>
                <w:rFonts w:ascii="Times New Roman;Times;serif" w:hAnsi="Times New Roman;Times;serif"/>
                <w:sz w:val="15"/>
              </w:rPr>
              <w:t>(g)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51,532</w:t>
            </w:r>
          </w:p>
        </w:tc>
      </w:tr>
      <w:tr>
        <w:trPr/>
        <w:tc>
          <w:tcPr>
            <w:tcW w:w="512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Hospitality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14,404</w:t>
            </w:r>
          </w:p>
        </w:tc>
      </w:tr>
      <w:tr>
        <w:trPr/>
        <w:tc>
          <w:tcPr>
            <w:tcW w:w="512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(b) (h)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w:t>
            </w:r>
          </w:p>
        </w:tc>
      </w:tr>
      <w:tr>
        <w:trPr/>
        <w:tc>
          <w:tcPr>
            <w:tcW w:w="512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(c) (e) (f)</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(5,694)</w:t>
            </w:r>
          </w:p>
        </w:tc>
      </w:tr>
      <w:tr>
        <w:trPr/>
        <w:tc>
          <w:tcPr>
            <w:tcW w:w="51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income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55,098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39,723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72,895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62,199</w:t>
            </w:r>
          </w:p>
        </w:tc>
      </w:tr>
      <w:tr>
        <w:trPr/>
        <w:tc>
          <w:tcPr>
            <w:tcW w:w="51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51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  ​</w:t>
            </w:r>
          </w:p>
        </w:tc>
      </w:tr>
      <w:tr>
        <w:trPr/>
        <w:tc>
          <w:tcPr>
            <w:tcW w:w="51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51,407</w:t>
            </w:r>
          </w:p>
        </w:tc>
      </w:tr>
      <w:tr>
        <w:trPr/>
        <w:tc>
          <w:tcPr>
            <w:tcW w:w="51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7,176</w:t>
            </w:r>
          </w:p>
        </w:tc>
      </w:tr>
      <w:tr>
        <w:trPr/>
        <w:tc>
          <w:tcPr>
            <w:tcW w:w="51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10,104</w:t>
            </w:r>
          </w:p>
        </w:tc>
      </w:tr>
      <w:tr>
        <w:trPr/>
        <w:tc>
          <w:tcPr>
            <w:tcW w:w="51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51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44,651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69,230</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three and six months ended June 30, 2026, include $3.6</w:t>
            </w:r>
            <w:r>
              <w:rPr>
                <w:caps w:val="false"/>
                <w:smallCaps w:val="false"/>
              </w:rPr>
              <w:t xml:space="preserve"> </w:t>
            </w:r>
            <w:r>
              <w:rPr>
                <w:rFonts w:ascii="Times New Roman;Times;serif" w:hAnsi="Times New Roman;Times;serif"/>
                <w:b w:val="false"/>
                <w:i w:val="false"/>
                <w:caps w:val="false"/>
                <w:smallCaps w:val="false"/>
                <w:sz w:val="18"/>
              </w:rPr>
              <w:t>million and $7.1</w:t>
            </w:r>
            <w:r>
              <w:rPr>
                <w:caps w:val="false"/>
                <w:smallCaps w:val="false"/>
              </w:rPr>
              <w:t xml:space="preserve"> </w:t>
            </w:r>
            <w:r>
              <w:rPr>
                <w:rFonts w:ascii="Times New Roman;Times;serif" w:hAnsi="Times New Roman;Times;serif"/>
                <w:b w:val="false"/>
                <w:i w:val="false"/>
                <w:caps w:val="false"/>
                <w:smallCaps w:val="false"/>
                <w:sz w:val="18"/>
              </w:rPr>
              <w:t>million, respectively, of revenue and $1.3</w:t>
            </w:r>
            <w:r>
              <w:rPr>
                <w:caps w:val="false"/>
                <w:smallCaps w:val="false"/>
              </w:rPr>
              <w:t xml:space="preserve"> </w:t>
            </w:r>
            <w:r>
              <w:rPr>
                <w:rFonts w:ascii="Times New Roman;Times;serif" w:hAnsi="Times New Roman;Times;serif"/>
                <w:b w:val="false"/>
                <w:i w:val="false"/>
                <w:caps w:val="false"/>
                <w:smallCaps w:val="false"/>
                <w:sz w:val="18"/>
              </w:rPr>
              <w:t>million and $2.6</w:t>
            </w:r>
            <w:r>
              <w:rPr>
                <w:caps w:val="false"/>
                <w:smallCaps w:val="false"/>
              </w:rPr>
              <w:t xml:space="preserve"> </w:t>
            </w:r>
            <w:r>
              <w:rPr>
                <w:rFonts w:ascii="Times New Roman;Times;serif" w:hAnsi="Times New Roman;Times;serif"/>
                <w:b w:val="false"/>
                <w:i w:val="false"/>
                <w:caps w:val="false"/>
                <w:smallCaps w:val="false"/>
                <w:sz w:val="18"/>
              </w:rPr>
              <w:t>million, respectively, of cost of revenue, resulting in gross profit of $2.3</w:t>
            </w:r>
            <w:r>
              <w:rPr>
                <w:caps w:val="false"/>
                <w:smallCaps w:val="false"/>
              </w:rPr>
              <w:t xml:space="preserve"> </w:t>
            </w:r>
            <w:r>
              <w:rPr>
                <w:rFonts w:ascii="Times New Roman;Times;serif" w:hAnsi="Times New Roman;Times;serif"/>
                <w:b w:val="false"/>
                <w:i w:val="false"/>
                <w:caps w:val="false"/>
                <w:smallCaps w:val="false"/>
                <w:sz w:val="18"/>
              </w:rPr>
              <w:t>million and $4.5</w:t>
            </w:r>
            <w:r>
              <w:rPr>
                <w:caps w:val="false"/>
                <w:smallCaps w:val="false"/>
              </w:rPr>
              <w:t xml:space="preserve"> </w:t>
            </w:r>
            <w:r>
              <w:rPr>
                <w:rFonts w:ascii="Times New Roman;Times;serif" w:hAnsi="Times New Roman;Times;serif"/>
                <w:b w:val="false"/>
                <w:i w:val="false"/>
                <w:caps w:val="false"/>
                <w:smallCaps w:val="false"/>
                <w:sz w:val="18"/>
              </w:rPr>
              <w:t>million, respectively, related to the sale of vacation rental properties. The three and six months ended June 30, 2025, include $1.4</w:t>
            </w:r>
            <w:r>
              <w:rPr>
                <w:caps w:val="false"/>
                <w:smallCaps w:val="false"/>
              </w:rPr>
              <w:t xml:space="preserve"> </w:t>
            </w:r>
            <w:r>
              <w:rPr>
                <w:rFonts w:ascii="Times New Roman;Times;serif" w:hAnsi="Times New Roman;Times;serif"/>
                <w:b w:val="false"/>
                <w:i w:val="false"/>
                <w:caps w:val="false"/>
                <w:smallCaps w:val="false"/>
                <w:sz w:val="18"/>
              </w:rPr>
              <w:t>million of revenue and $0.8</w:t>
            </w:r>
            <w:r>
              <w:rPr>
                <w:caps w:val="false"/>
                <w:smallCaps w:val="false"/>
              </w:rPr>
              <w:t xml:space="preserve"> </w:t>
            </w:r>
            <w:r>
              <w:rPr>
                <w:rFonts w:ascii="Times New Roman;Times;serif" w:hAnsi="Times New Roman;Times;serif"/>
                <w:b w:val="false"/>
                <w:i w:val="false"/>
                <w:caps w:val="false"/>
                <w:smallCaps w:val="false"/>
                <w:sz w:val="18"/>
              </w:rPr>
              <w:t>million of cost of revenue, resulting in gross profit of $0.6</w:t>
            </w:r>
            <w:r>
              <w:rPr>
                <w:caps w:val="false"/>
                <w:smallCaps w:val="false"/>
              </w:rPr>
              <w:t xml:space="preserve"> </w:t>
            </w:r>
            <w:r>
              <w:rPr>
                <w:rFonts w:ascii="Times New Roman;Times;serif" w:hAnsi="Times New Roman;Times;serif"/>
                <w:b w:val="false"/>
                <w:i w:val="false"/>
                <w:caps w:val="false"/>
                <w:smallCaps w:val="false"/>
                <w:sz w:val="18"/>
              </w:rPr>
              <w:t>million, related to the sale of a hospitality property.</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 September 2025, the Watercrest JV sold its senior living community property and ceased operating activities.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three and six months ended June 30, 2026 and 2025, include activity for the Company’s real estate brokerage business, which began operations in the second quarter of 2025.</w:t>
            </w:r>
          </w:p>
        </w:tc>
      </w:tr>
    </w:tbl>
    <w:tbl>
      <w:tblPr>
        <w:tblW w:w="5882" w:type="dxa"/>
        <w:jc w:val="left"/>
        <w:tblInd w:w="0" w:type="dxa"/>
        <w:tblLayout w:type="fixed"/>
        <w:tblCellMar>
          <w:top w:w="0" w:type="dxa"/>
          <w:left w:w="0" w:type="dxa"/>
          <w:bottom w:w="0" w:type="dxa"/>
          <w:right w:w="0" w:type="dxa"/>
        </w:tblCellMar>
      </w:tblPr>
      <w:tblGrid>
        <w:gridCol w:w="331"/>
        <w:gridCol w:w="55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interest income from investments in SPE of $2.0</w:t>
            </w:r>
            <w:r>
              <w:rPr>
                <w:caps w:val="false"/>
                <w:smallCaps w:val="false"/>
              </w:rPr>
              <w:t xml:space="preserve"> </w:t>
            </w:r>
            <w:r>
              <w:rPr>
                <w:rFonts w:ascii="Times New Roman;Times;serif" w:hAnsi="Times New Roman;Times;serif"/>
                <w:b w:val="false"/>
                <w:i w:val="false"/>
                <w:caps w:val="false"/>
                <w:smallCaps w:val="false"/>
                <w:sz w:val="18"/>
              </w:rPr>
              <w:t>million in each of the three months ended June 30, 2026 and 2025 and $4.0</w:t>
            </w:r>
            <w:r>
              <w:rPr>
                <w:caps w:val="false"/>
                <w:smallCaps w:val="false"/>
              </w:rPr>
              <w:t xml:space="preserve"> </w:t>
            </w:r>
            <w:r>
              <w:rPr>
                <w:rFonts w:ascii="Times New Roman;Times;serif" w:hAnsi="Times New Roman;Times;serif"/>
                <w:b w:val="false"/>
                <w:i w:val="false"/>
                <w:caps w:val="false"/>
                <w:smallCaps w:val="false"/>
                <w:sz w:val="18"/>
              </w:rPr>
              <w:t>million in each of the six months ended June 30, 2026 and 2025.</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992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interest expense from investments in SPE of $2.2</w:t>
            </w:r>
            <w:r>
              <w:rPr>
                <w:caps w:val="false"/>
                <w:smallCaps w:val="false"/>
              </w:rPr>
              <w:t xml:space="preserve"> </w:t>
            </w:r>
            <w:r>
              <w:rPr>
                <w:rFonts w:ascii="Times New Roman;Times;serif" w:hAnsi="Times New Roman;Times;serif"/>
                <w:b w:val="false"/>
                <w:i w:val="false"/>
                <w:caps w:val="false"/>
                <w:smallCaps w:val="false"/>
                <w:sz w:val="18"/>
              </w:rPr>
              <w:t>million in each of the three months ended June 30, 2026 and 2025 and $4.5</w:t>
            </w:r>
            <w:r>
              <w:rPr>
                <w:caps w:val="false"/>
                <w:smallCaps w:val="false"/>
              </w:rPr>
              <w:t xml:space="preserve"> </w:t>
            </w:r>
            <w:r>
              <w:rPr>
                <w:rFonts w:ascii="Times New Roman;Times;serif" w:hAnsi="Times New Roman;Times;serif"/>
                <w:b w:val="false"/>
                <w:i w:val="false"/>
                <w:caps w:val="false"/>
                <w:smallCaps w:val="false"/>
                <w:sz w:val="18"/>
              </w:rPr>
              <w:t>million and $4.4</w:t>
            </w:r>
            <w:r>
              <w:rPr>
                <w:caps w:val="false"/>
                <w:smallCaps w:val="false"/>
              </w:rPr>
              <w:t xml:space="preserve"> </w:t>
            </w:r>
            <w:r>
              <w:rPr>
                <w:rFonts w:ascii="Times New Roman;Times;serif" w:hAnsi="Times New Roman;Times;serif"/>
                <w:b w:val="false"/>
                <w:i w:val="false"/>
                <w:caps w:val="false"/>
                <w:smallCaps w:val="false"/>
                <w:sz w:val="18"/>
              </w:rPr>
              <w:t>million in the six months ended June 30, 2026 and 2025, respectively.</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w:t>
            </w:r>
          </w:p>
        </w:tc>
        <w:tc>
          <w:tcPr>
            <w:tcW w:w="992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Equity in income from unconsolidated joint ventures includes $5.0</w:t>
            </w:r>
            <w:r>
              <w:rPr>
                <w:caps w:val="false"/>
                <w:smallCaps w:val="false"/>
              </w:rPr>
              <w:t xml:space="preserve"> </w:t>
            </w:r>
            <w:r>
              <w:rPr>
                <w:rFonts w:ascii="Times New Roman;Times;serif" w:hAnsi="Times New Roman;Times;serif"/>
                <w:b w:val="false"/>
                <w:i w:val="false"/>
                <w:caps w:val="false"/>
                <w:smallCaps w:val="false"/>
                <w:sz w:val="18"/>
              </w:rPr>
              <w:t>million and $8.4</w:t>
            </w:r>
            <w:r>
              <w:rPr>
                <w:caps w:val="false"/>
                <w:smallCaps w:val="false"/>
              </w:rPr>
              <w:t xml:space="preserve"> </w:t>
            </w:r>
            <w:r>
              <w:rPr>
                <w:rFonts w:ascii="Times New Roman;Times;serif" w:hAnsi="Times New Roman;Times;serif"/>
                <w:b w:val="false"/>
                <w:i w:val="false"/>
                <w:caps w:val="false"/>
                <w:smallCaps w:val="false"/>
                <w:sz w:val="18"/>
              </w:rPr>
              <w:t>million for the three months ended June 30, 2026 and 2025, respectively, and $10.0</w:t>
            </w:r>
            <w:r>
              <w:rPr>
                <w:caps w:val="false"/>
                <w:smallCaps w:val="false"/>
              </w:rPr>
              <w:t xml:space="preserve"> </w:t>
            </w:r>
            <w:r>
              <w:rPr>
                <w:rFonts w:ascii="Times New Roman;Times;serif" w:hAnsi="Times New Roman;Times;serif"/>
                <w:b w:val="false"/>
                <w:i w:val="false"/>
                <w:caps w:val="false"/>
                <w:smallCaps w:val="false"/>
                <w:sz w:val="18"/>
              </w:rPr>
              <w:t>million and $21.1</w:t>
            </w:r>
            <w:r>
              <w:rPr>
                <w:caps w:val="false"/>
                <w:smallCaps w:val="false"/>
              </w:rPr>
              <w:t xml:space="preserve"> </w:t>
            </w:r>
            <w:r>
              <w:rPr>
                <w:rFonts w:ascii="Times New Roman;Times;serif" w:hAnsi="Times New Roman;Times;serif"/>
                <w:b w:val="false"/>
                <w:i w:val="false"/>
                <w:caps w:val="false"/>
                <w:smallCaps w:val="false"/>
                <w:sz w:val="18"/>
              </w:rPr>
              <w:t>million for the six months ended June 30, 2026 and 2025, respectively, related to the Latitude Margaritaville Watersound JV. During the three months ended June 30, 2026 and 2025, the Latitude Margaritaville Watersound JV completed 86</w:t>
            </w:r>
            <w:r>
              <w:rPr>
                <w:caps w:val="false"/>
                <w:smallCaps w:val="false"/>
              </w:rPr>
              <w:t xml:space="preserve"> </w:t>
            </w:r>
            <w:r>
              <w:rPr>
                <w:rFonts w:ascii="Times New Roman;Times;serif" w:hAnsi="Times New Roman;Times;serif"/>
                <w:b w:val="false"/>
                <w:i w:val="false"/>
                <w:caps w:val="false"/>
                <w:smallCaps w:val="false"/>
                <w:sz w:val="18"/>
              </w:rPr>
              <w:t>and 137</w:t>
            </w:r>
            <w:r>
              <w:rPr>
                <w:caps w:val="false"/>
                <w:smallCaps w:val="false"/>
              </w:rPr>
              <w:t xml:space="preserve"> </w:t>
            </w:r>
            <w:r>
              <w:rPr>
                <w:rFonts w:ascii="Times New Roman;Times;serif" w:hAnsi="Times New Roman;Times;serif"/>
                <w:b w:val="false"/>
                <w:i w:val="false"/>
                <w:caps w:val="false"/>
                <w:smallCaps w:val="false"/>
                <w:sz w:val="18"/>
              </w:rPr>
              <w:t>home sale transactions, respectively, and 169</w:t>
            </w:r>
            <w:r>
              <w:rPr>
                <w:caps w:val="false"/>
                <w:smallCaps w:val="false"/>
              </w:rPr>
              <w:t xml:space="preserve"> </w:t>
            </w:r>
            <w:r>
              <w:rPr>
                <w:rFonts w:ascii="Times New Roman;Times;serif" w:hAnsi="Times New Roman;Times;serif"/>
                <w:b w:val="false"/>
                <w:i w:val="false"/>
                <w:caps w:val="false"/>
                <w:smallCaps w:val="false"/>
                <w:sz w:val="18"/>
              </w:rPr>
              <w:t>and 329</w:t>
            </w:r>
            <w:r>
              <w:rPr>
                <w:caps w:val="false"/>
                <w:smallCaps w:val="false"/>
              </w:rPr>
              <w:t xml:space="preserve"> </w:t>
            </w:r>
            <w:r>
              <w:rPr>
                <w:rFonts w:ascii="Times New Roman;Times;serif" w:hAnsi="Times New Roman;Times;serif"/>
                <w:b w:val="false"/>
                <w:i w:val="false"/>
                <w:caps w:val="false"/>
                <w:smallCaps w:val="false"/>
                <w:sz w:val="18"/>
              </w:rPr>
              <w:t xml:space="preserve">home sale transactions during the six months ended June 30, 2026 and 2025, respectively. See Note 4. </w:t>
            </w:r>
            <w:r>
              <w:rPr>
                <w:rFonts w:ascii="Times New Roman;Times;serif" w:hAnsi="Times New Roman;Times;serif"/>
                <w:b w:val="false"/>
                <w:i/>
                <w:sz w:val="18"/>
              </w:rPr>
              <w:t xml:space="preserve">Joint Ventures </w:t>
            </w:r>
            <w:r>
              <w:rPr>
                <w:rFonts w:ascii="Times New Roman;Times;serif" w:hAnsi="Times New Roman;Times;serif"/>
                <w:b w:val="false"/>
                <w:i w:val="false"/>
                <w:caps w:val="false"/>
                <w:smallCaps w:val="false"/>
                <w:sz w:val="18"/>
              </w:rPr>
              <w:t>and Note 15.</w:t>
            </w:r>
            <w:r>
              <w:rPr/>
              <w:t xml:space="preserve"> </w:t>
            </w:r>
            <w:r>
              <w:rPr>
                <w:rFonts w:ascii="Times New Roman;Times;serif" w:hAnsi="Times New Roman;Times;serif"/>
                <w:b w:val="false"/>
                <w:i/>
                <w:sz w:val="18"/>
              </w:rPr>
              <w:t xml:space="preserve">Other Income (Expense), Net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w:t>
            </w:r>
          </w:p>
        </w:tc>
        <w:tc>
          <w:tcPr>
            <w:tcW w:w="992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six months ended June 30, 2026 and 2025, include $0.4</w:t>
            </w:r>
            <w:r>
              <w:rPr>
                <w:caps w:val="false"/>
                <w:smallCaps w:val="false"/>
              </w:rPr>
              <w:t xml:space="preserve"> </w:t>
            </w:r>
            <w:r>
              <w:rPr>
                <w:rFonts w:ascii="Times New Roman;Times;serif" w:hAnsi="Times New Roman;Times;serif"/>
                <w:b w:val="false"/>
                <w:i w:val="false"/>
                <w:caps w:val="false"/>
                <w:smallCaps w:val="false"/>
                <w:sz w:val="18"/>
              </w:rPr>
              <w:t>million and $1.3</w:t>
            </w:r>
            <w:r>
              <w:rPr>
                <w:caps w:val="false"/>
                <w:smallCaps w:val="false"/>
              </w:rPr>
              <w:t xml:space="preserve"> </w:t>
            </w:r>
            <w:r>
              <w:rPr>
                <w:rFonts w:ascii="Times New Roman;Times;serif" w:hAnsi="Times New Roman;Times;serif"/>
                <w:b w:val="false"/>
                <w:i w:val="false"/>
                <w:caps w:val="false"/>
                <w:smallCaps w:val="false"/>
                <w:sz w:val="18"/>
              </w:rPr>
              <w:t>million, respectively, of equity in loss from unconsolidated joint ventures related to the Pier Park RI JV. The six months ended June 30, 2025, include start-up, depreciation and interest expenses for the project. The three months ended June 30, 2026 and 2025, include $0.9</w:t>
            </w:r>
            <w:r>
              <w:rPr>
                <w:caps w:val="false"/>
                <w:smallCaps w:val="false"/>
              </w:rPr>
              <w:t xml:space="preserve"> </w:t>
            </w:r>
            <w:r>
              <w:rPr>
                <w:rFonts w:ascii="Times New Roman;Times;serif" w:hAnsi="Times New Roman;Times;serif"/>
                <w:b w:val="false"/>
                <w:i w:val="false"/>
                <w:caps w:val="false"/>
                <w:smallCaps w:val="false"/>
                <w:sz w:val="18"/>
              </w:rPr>
              <w:t>million and $1.0</w:t>
            </w:r>
            <w:r>
              <w:rPr>
                <w:caps w:val="false"/>
                <w:smallCaps w:val="false"/>
              </w:rPr>
              <w:t xml:space="preserve"> </w:t>
            </w:r>
            <w:r>
              <w:rPr>
                <w:rFonts w:ascii="Times New Roman;Times;serif" w:hAnsi="Times New Roman;Times;serif"/>
                <w:b w:val="false"/>
                <w:i w:val="false"/>
                <w:caps w:val="false"/>
                <w:smallCaps w:val="false"/>
                <w:sz w:val="18"/>
              </w:rPr>
              <w:t>million, respectively, and the six months ended June 30, 2026 and 2025 include $1.8</w:t>
            </w:r>
            <w:r>
              <w:rPr>
                <w:caps w:val="false"/>
                <w:smallCaps w:val="false"/>
              </w:rPr>
              <w:t xml:space="preserve"> </w:t>
            </w:r>
            <w:r>
              <w:rPr>
                <w:rFonts w:ascii="Times New Roman;Times;serif" w:hAnsi="Times New Roman;Times;serif"/>
                <w:b w:val="false"/>
                <w:i w:val="false"/>
                <w:caps w:val="false"/>
                <w:smallCaps w:val="false"/>
                <w:sz w:val="18"/>
              </w:rPr>
              <w:t>million and $2.0</w:t>
            </w:r>
            <w:r>
              <w:rPr>
                <w:caps w:val="false"/>
                <w:smallCaps w:val="false"/>
              </w:rPr>
              <w:t xml:space="preserve"> </w:t>
            </w:r>
            <w:r>
              <w:rPr>
                <w:rFonts w:ascii="Times New Roman;Times;serif" w:hAnsi="Times New Roman;Times;serif"/>
                <w:b w:val="false"/>
                <w:i w:val="false"/>
                <w:caps w:val="false"/>
                <w:smallCaps w:val="false"/>
                <w:sz w:val="18"/>
              </w:rPr>
              <w:t xml:space="preserve">million, respectively, of equity in loss from unconsolidated joint ventures related to the Watersound Fountains Independent Living JV. The community is under lease-up. See Note 4. </w:t>
            </w:r>
            <w:r>
              <w:rPr>
                <w:rFonts w:ascii="Times New Roman;Times;serif" w:hAnsi="Times New Roman;Times;serif"/>
                <w:b w:val="false"/>
                <w:i/>
                <w:sz w:val="18"/>
              </w:rPr>
              <w:t xml:space="preserve">Joint Ventures </w:t>
            </w:r>
            <w:r>
              <w:rPr>
                <w:rFonts w:ascii="Times New Roman;Times;serif" w:hAnsi="Times New Roman;Times;serif"/>
                <w:b w:val="false"/>
                <w:i w:val="false"/>
                <w:caps w:val="false"/>
                <w:smallCaps w:val="false"/>
                <w:sz w:val="18"/>
              </w:rPr>
              <w:t>and Note 15.</w:t>
            </w:r>
            <w:r>
              <w:rPr/>
              <w:t xml:space="preserve"> </w:t>
            </w:r>
            <w:r>
              <w:rPr>
                <w:rFonts w:ascii="Times New Roman;Times;serif" w:hAnsi="Times New Roman;Times;serif"/>
                <w:b w:val="false"/>
                <w:i/>
                <w:sz w:val="18"/>
              </w:rPr>
              <w:t xml:space="preserve">Other Income (Expense), Net </w:t>
            </w:r>
            <w:r>
              <w:rPr>
                <w:rFonts w:ascii="Times New Roman;Times;serif" w:hAnsi="Times New Roman;Times;serif"/>
                <w:b w:val="false"/>
                <w:i w:val="false"/>
                <w:caps w:val="false"/>
                <w:smallCaps w:val="false"/>
                <w:sz w:val="18"/>
              </w:rPr>
              <w:t>for additional information.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754" w:name="Tc_NvYztRCvbkmEssgfXy2kaA_13_5"/>
      <w:bookmarkStart w:id="2755" w:name="Tc_XAReTbnkTk2nkOf5Y2MOyQ_13_2"/>
      <w:bookmarkStart w:id="2756" w:name="Tc_78ZJhwbQg0ivE82JSEKpGA_13_0"/>
      <w:bookmarkStart w:id="2757" w:name="Tc_XdHdc-8CcUmuv_KgSK9BpA_12_0"/>
      <w:bookmarkStart w:id="2758" w:name="Tc_ab_NVz9l2E2ON4_CO-dGxQ_11_0"/>
      <w:bookmarkStart w:id="2759" w:name="Tc_I6AwXp1rs0SBQ0CxZJc_zA_10_0"/>
      <w:bookmarkStart w:id="2760" w:name="Tc_7qlwITvgIk-Az2BpcwNQpw_9_5"/>
      <w:bookmarkStart w:id="2761" w:name="Tc_za85dDseaECOiSG6upecmA_9_2"/>
      <w:bookmarkStart w:id="2762" w:name="Tc_yx7SArKu8Uan4xlQdoXV-g_9_0"/>
      <w:bookmarkStart w:id="2763" w:name="Tc_IpxGKVZnxEy8eIcUjVy4mQ_8_0"/>
      <w:bookmarkStart w:id="2764" w:name="Tc_qi5OaSuIg0qQRcjoNpXEfw_6_5"/>
      <w:bookmarkStart w:id="2765" w:name="Tc_9sdKJMpu-k2i69693-k4Mg_6_2"/>
      <w:bookmarkStart w:id="2766" w:name="Tc_B8sM0ff-b0KjvTVrYj-LWQ_6_0"/>
      <w:bookmarkStart w:id="2767" w:name="Tc_AgCmfdzAGUe2GD9NsjLqFg_5_0"/>
      <w:bookmarkStart w:id="2768" w:name="Tc_BElDWfx-SEOLCsyGyAA1eg_4_5"/>
      <w:bookmarkStart w:id="2769" w:name="Tc_vULj-ml0lUuTFZIeAggiJw_4_2"/>
      <w:bookmarkStart w:id="2770" w:name="Tc_dR6VopyyW0OEvXUhlnTpJw_4_0"/>
      <w:bookmarkStart w:id="2771" w:name="Tc_JnbgJOVYQke0BAo25W9KTA_3_0"/>
      <w:bookmarkStart w:id="2772" w:name="Tc_ICZ91DY3BUysDKxpt4Vh9g_2_5"/>
      <w:bookmarkStart w:id="2773" w:name="Tc_n_1AIDVauUqOfBccxS71xQ_2_2"/>
      <w:bookmarkStart w:id="2774" w:name="Tc_B6P1YzpAmEmFLxwK4QHUTg_1_5"/>
      <w:bookmarkStart w:id="2775" w:name="Tc_cFMqRorwKkCphJGQMkV1dA_1_2"/>
      <w:bookmarkStart w:id="2776" w:name="_c0d94182_3da4_4bbb_9a88_68f9c7c82256"/>
      <w:bookmarkStart w:id="2777" w:name="Tc_NvYztRCvbkmEssgfXy2kaA_13_5"/>
      <w:bookmarkStart w:id="2778" w:name="Tc_XAReTbnkTk2nkOf5Y2MOyQ_13_2"/>
      <w:bookmarkStart w:id="2779" w:name="Tc_78ZJhwbQg0ivE82JSEKpGA_13_0"/>
      <w:bookmarkStart w:id="2780" w:name="Tc_XdHdc-8CcUmuv_KgSK9BpA_12_0"/>
      <w:bookmarkStart w:id="2781" w:name="Tc_ab_NVz9l2E2ON4_CO-dGxQ_11_0"/>
      <w:bookmarkStart w:id="2782" w:name="Tc_I6AwXp1rs0SBQ0CxZJc_zA_10_0"/>
      <w:bookmarkStart w:id="2783" w:name="Tc_7qlwITvgIk-Az2BpcwNQpw_9_5"/>
      <w:bookmarkStart w:id="2784" w:name="Tc_za85dDseaECOiSG6upecmA_9_2"/>
      <w:bookmarkStart w:id="2785" w:name="Tc_yx7SArKu8Uan4xlQdoXV-g_9_0"/>
      <w:bookmarkStart w:id="2786" w:name="Tc_IpxGKVZnxEy8eIcUjVy4mQ_8_0"/>
      <w:bookmarkStart w:id="2787" w:name="Tc_qi5OaSuIg0qQRcjoNpXEfw_6_5"/>
      <w:bookmarkStart w:id="2788" w:name="Tc_9sdKJMpu-k2i69693-k4Mg_6_2"/>
      <w:bookmarkStart w:id="2789" w:name="Tc_B8sM0ff-b0KjvTVrYj-LWQ_6_0"/>
      <w:bookmarkStart w:id="2790" w:name="Tc_AgCmfdzAGUe2GD9NsjLqFg_5_0"/>
      <w:bookmarkStart w:id="2791" w:name="Tc_BElDWfx-SEOLCsyGyAA1eg_4_5"/>
      <w:bookmarkStart w:id="2792" w:name="Tc_vULj-ml0lUuTFZIeAggiJw_4_2"/>
      <w:bookmarkStart w:id="2793" w:name="Tc_dR6VopyyW0OEvXUhlnTpJw_4_0"/>
      <w:bookmarkStart w:id="2794" w:name="Tc_JnbgJOVYQke0BAo25W9KTA_3_0"/>
      <w:bookmarkStart w:id="2795" w:name="Tc_ICZ91DY3BUysDKxpt4Vh9g_2_5"/>
      <w:bookmarkStart w:id="2796" w:name="Tc_n_1AIDVauUqOfBccxS71xQ_2_2"/>
      <w:bookmarkStart w:id="2797" w:name="Tc_B6P1YzpAmEmFLxwK4QHUTg_1_5"/>
      <w:bookmarkStart w:id="2798" w:name="Tc_cFMqRorwKkCphJGQMkV1dA_1_2"/>
      <w:bookmarkStart w:id="2799" w:name="_c0d94182_3da4_4bbb_9a88_68f9c7c8225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p>
    <w:tbl>
      <w:tblPr>
        <w:tblW w:w="7357" w:type="dxa"/>
        <w:jc w:val="left"/>
        <w:tblInd w:w="0" w:type="dxa"/>
        <w:tblLayout w:type="fixed"/>
        <w:tblCellMar>
          <w:top w:w="0" w:type="dxa"/>
          <w:left w:w="0" w:type="dxa"/>
          <w:bottom w:w="0" w:type="dxa"/>
          <w:right w:w="0" w:type="dxa"/>
        </w:tblCellMar>
      </w:tblPr>
      <w:tblGrid>
        <w:gridCol w:w="4276"/>
        <w:gridCol w:w="346"/>
        <w:gridCol w:w="211"/>
        <w:gridCol w:w="931"/>
        <w:gridCol w:w="346"/>
        <w:gridCol w:w="211"/>
        <w:gridCol w:w="103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715260" cy="175260"/>
                      <wp:effectExtent l="0" t="0" r="0" b="0"/>
                      <wp:wrapNone/>
                      <wp:docPr id="601" name="Frame601"/>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9710" cy="175260"/>
                      <wp:effectExtent l="0" t="0" r="0" b="0"/>
                      <wp:wrapNone/>
                      <wp:docPr id="602" name="Frame6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33985" cy="175260"/>
                      <wp:effectExtent l="0" t="0" r="0" b="0"/>
                      <wp:wrapNone/>
                      <wp:docPr id="603"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591185" cy="175260"/>
                      <wp:effectExtent l="0" t="0" r="0" b="0"/>
                      <wp:wrapNone/>
                      <wp:docPr id="604" name="Frame6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19710" cy="175260"/>
                      <wp:effectExtent l="0" t="0" r="0" b="0"/>
                      <wp:wrapNone/>
                      <wp:docPr id="605" name="Frame6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33985" cy="175260"/>
                      <wp:effectExtent l="0" t="0" r="0" b="0"/>
                      <wp:wrapNone/>
                      <wp:docPr id="606" name="Frame6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57860" cy="175260"/>
                      <wp:effectExtent l="0" t="0" r="0" b="0"/>
                      <wp:wrapNone/>
                      <wp:docPr id="607" name="Frame6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 unconsolidated joint ventures: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56,068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51,648</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14,404</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in unconsolidated joint ventures</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70,274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66,052</w:t>
            </w:r>
          </w:p>
        </w:tc>
      </w:tr>
      <w:tr>
        <w:trPr/>
        <w:tc>
          <w:tcPr>
            <w:tcW w:w="42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238,506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441,248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450,534</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505,490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323,896</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1,508,347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1,518,426</w:t>
            </w:r>
          </w:p>
        </w:tc>
      </w:tr>
    </w:tbl>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17. Commitments and Contingencies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establishes an accrued liability when it is both probable that a material loss has been incurred and the amount of the loss can be reasonably estimated. The Company will evaluate the range of reasonably estimated losses and record an accrued liability based on what it believes to be the minimum amount in the range, unless it believes an amount within the range is a better estimate than any other amount. In such cases, there may be an exposure to loss in excess of the amounts accrued. The Company evaluates quarterly whether further developments could affect the amount of the accrued liability previously established or would make a loss contingency both probable and reasonably estimable.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also provides disclosure when it believes it is reasonably possible that a material loss will be incurred or when it believes it is reasonably possible that the amount of a loss will exceed the recorded liability. The Company reviews loss contingencies at least quarterly to determine whether the likelihood of loss has changed and to assess whether a reasonable estimate of the loss or range of loss can be made. This estimated range of possible losses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a variety of litigation, claims, other disputes and governmental proceedings that arise from time to time in the ordinary course of its business, including litigation related to its prior development activities. The Company cannot make assurances that it will be successful in defending these matters. Based on current knowledge, the Company does not believe that loss contingencies arising from pending litigation, claims, other disputes and governmental proceedings, including those described herein, will have a material adverse effect on the consolidated financial position or liquidity of the Company. However, in light of the inherent uncertainties involved in these matters, an adverse outcome in one or more of these matters could be material to the Company’s results of operations or cash flows for any particular reporting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costs arising out of environmental laws and regulations, which include obligations to remove or limit the effects on the environment of the disposal or release of certain wastes or substances at various sites, including sites which have been previously sold. It is the Company’s policy to accrue and charge against earnings environmental cleanup costs when it is probable that a liability has been incurred and a range of loss can be reasonably estimated. As assessments and cleanups proceed, these accruals are reviewed and adjusted, if necessary, as additional information becomes available. The Company is in the process of assessing certain properties in regard to the effects, if any, on the environment from the disposal or release of wastes or substances. Management is unable to quantify future rehabilitation costs at this time or provide a reasonably estimated range of loss.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Other litigation, claims and disputes, including environmental matters, are pending against the Company. The Company did not have any accrued aggregate liabilities related to the matters described above as of June 30, 2026. Accrued aggregate liabilities related to the matters described above and other litigation matters were $0.1 million as of December 31, 2025. Significant judgment is required in both the determination of probability and whether the amount of an exposure is reasonably estimable. Due to uncertainties related to these matters, accruals are based only on the information available at the time. As additional information becomes available, management reassesses potential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liabilities related to pending claims and litigation and may revise its previous estimates, which could materially affect the Company’s results of operations for any particular reporting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retained certain self-insurance risks with respect to losses for third party liability and property damage, including its timber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the Company was required to provide surety bonds that guarantee completion and maintenance of certain infrastructure in certain development projects and mitigation banks, as well as other financial guarantees of $29.3 million and $14.7 million, respectively, as well as standby letters of credit in the amount of $0.4 million as of both periods, which may potentially result in liability to the Company if certain obligations of the Company are not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 Company had a total of $40.0 million, primarily in construction and development related contractual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2019, the Company’s unconsolidated Pier Park TPS JV, entered into a $14.4 million loan, as amended (the “Pier Park TPS JV Loan”). The loan bore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2.6%. The Pier Park TPS JV entered into an interest rate swap to hedge cash flows tied to changes in the underlying floating interest rate tied to SOFR. The interest rate swap fixed the variable rate on the related debt, initially at $14.4 million to a rate of 5.2%. The interest rate swap matured in January 2026.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April 2026, the Pier Park TPS JV amended the Pier Park TPS JV Loan, which decreased the principal balance to $10.8 million, reduced the interest rate to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2.1%, with a floor of 2.6%, and provides for monthly principal and interest payments with a final balloon payment at maturity in April 2031. The loan is secured by the real and personal property and certain other Security Interests. In connection with the amended loan, the Company, a wholly-owned subsidiary of the Company and the Company’s JV partner entered into a joint and several payment and performance guarantee in favor of the lender. The guarantee contains customary provisions providing for full recourse upon the occurrence of certain events. As guarantor, the Company’s liability under the loan can be reduced to 50% of the outstanding principal amount upon the project reaching and maintaining a trailing six months of operations with a certain debt service coverage ratio and further reduced to 25% of the outstanding principal amount upon reaching and maintaining a trailing twelve months of operations with a certain debt service coverage ratio. As of June 30, 2026 and December 31, 2025, $10.7 million and $12.8 million, respectively, was outstanding on the Pier Park TPS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the Company’s unconsolidated Latitude Margaritaville Watersound JV, entered into a $45.0 million loan, as amended (the “Latitude Margaritaville Watersound JV Loan”). The loan bears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2.5%, with a floor of 3.0%. The loan provides for monthly interest payments with a final balloon payment at maturity in January 2029, with an option to extend the maturity date by one year, subject to bank approval. The loan is secured by the real and personal property and certain other Security Interests. In connection with the loan, the Company and the Company’s JV partner entered into an unconditional guaranty of completion of certain homes and related improvements in favor of the lender. As of June 30, 2026 and December 31, 2025, there was no balance outstanding on the Latitude Margaritaville Watersound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2021, the Company’s unconsolidated Watersound Fountains Independent Living JV, entered into a $41.9 million loan, as amended (the “Watersound Fountains JV Loan”). The loan bears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2.1%, with a floor of 2.6%. The loan provides for monthly principal and interest payments with a final balloon payment at maturity in April 2027. The loan includes an option for an extension of the maturity date by twelve months, subject to certain conditions, which would provide for continued monthly principal and interest payments with a final balloon payment at the extended maturity date. The loan is secured by the real property and certain other Security Interests. In connection with the loan, the Company executed a guarantee in favor of the lender to guarantee the payment and performance of the borrower under the Watersound Fountains JV Loan. The guarantee contains customary provisions providing for full recourse upon the occurrence of certain events. The Company, as the guarantor, receives a quarterly fee related to the guarantee from its JV partners based on the JV partners’ ownership percentage. As of June 30, 2026 and December 31, 2025, $40.8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million and $41.2 million, respectively, was outstanding on the Watersound Fountains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the Company’s unconsolidated Electric Cart Watersound JV, entered into a $5.4 million loan (the “Electric Cart Watersound JV Loan”). The loan bears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1.8%, with a floor of 2.1%. The loan provides for monthly principal and interest payments with a final balloon payment at maturity in September 2032. The loan is secured by the real property and certain other Security Interests. In connection with the loan, the Company, a wholly-owned subsidiary of the Company and the Electric Cart Watersound JV entered into a joint and several payment and performance guarantee in favor of the lender. After the initial forty-eight months of the loan, the Company’s liability as guarantor under the loan will be reduced to 50% of the outstanding principal balance upon reaching a certain debt service coverage and other conditions. The Company is the sole guarantor and receives a quarterly fee related to the guarantee from its JV partner based on the JV partner’s ownership percentage. As of June 30, 2026 and December 31, 2025, $4.2 million and $4.3 million, respectively, was outstanding on the Electric Cart Watersound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assessed the need to record a liability for the guarantees related to the Company’s unconsolidated JVs and did not record an obligation as of both June 30, 2026 and December 31, 2025. As of both June 30, 2026 and December 31, 2025, allowance for credit losses related to the contingent aspect of these guarantees, based on historical experience and economic trends, was $0.1 million and is included within accounts payable and other liabilities on the condensed consolidated balance sheets.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part of a certain sale of forestry land in 2014, the Company generated significant tax gains. The installment note’s structure allowed the Company to defer the resulting federal and state tax liability of $45.6 million until 2029, the maturity date for the installment note. The Company has a deferred tax liability related to the gain in connection with the sale. At the maturity date of the installment note in 2029, the $200.0 million time deposit included in investments held by special purpose entities will be used to pay the $180.0 million of principal for the Senior Notes held by special purpose entity and the remaining $20.0 million will become available to the Company, which can be used to pay a portion of the tax liability. See Note 5. </w:t>
      </w:r>
      <w:r>
        <w:rPr>
          <w:rFonts w:ascii="TimesNewRomanPS-ItalicMT" w:hAnsi="TimesNewRomanPS-ItalicMT"/>
          <w:i/>
          <w:sz w:val="20"/>
        </w:rPr>
        <w:t>Financial Instruments and Fair Value</w:t>
      </w:r>
      <w:r>
        <w:rPr>
          <w:rFonts w:ascii="Times New Roman;Times;serif" w:hAnsi="Times New Roman;Times;serif"/>
          <w:sz w:val="20"/>
        </w:rPr>
        <w:t xml:space="preserve"> </w:t>
      </w:r>
      <w:r>
        <w:rPr>
          <w:rFonts w:ascii="TimesNewRomanPS-ItalicMT" w:hAnsi="TimesNewRomanPS-ItalicMT"/>
          <w:i/>
          <w:sz w:val="20"/>
        </w:rPr>
        <w:t xml:space="preserve">Measurements </w:t>
      </w:r>
      <w:r>
        <w:rPr>
          <w:rFonts w:ascii="Times New Roman;Times;serif" w:hAnsi="Times New Roman;Times;serif"/>
          <w:sz w:val="20"/>
        </w:rPr>
        <w:t>for additional information.</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provides land, mitigation bank credits, impact and other fees, property for lease and services to certain unconsolidated JVs. The Company recognized revenue related to these transactions of $0.4 million and $0.7 million during the three months ended June 30, 2026 and 2025, respectively, and $1.0 million and $1.6 million during the six months ended June 30, 2026 and 2025, respectively. As of both June 30, 2026 and December 31, 2025, receivables from unconsolidated JVs were $1.0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Watersound Management JV provides leasing management services for the Company’s multi-family communities. The Company incurred expense related to these transactions of $0.6 million during each of the three months ended June 30, 2026 and 2025 and $1.3 million during each of the six months ended June 30, 2026 and 2025.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incurred land development and planning costs reimbursements to the Latitude Margaritaville Watersound JV of less than $0.1 million and $0.6 million during the three months ended June 30, 2026 and 2025, respectively, and less than $0.1 million and $1.1 million during the six months ended June 30, 2026 and 2025, respectively, which were primarily included in investment in real estate, net on the condensed consolidated balance sheets. As of June 30, 2026, there were no payables to related parties. As of December 31, 2025, $0.1 million was payable to the Latitude Margaritaville Watersound JV. 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19. Subsequent Events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On July 29, 2026, the Company’s Board of Directors declared a cash dividend of $0.16 per share on the Company’s common stock, payable on September 18, 2026, to shareholders of record at the close of business on August 21, 2026.</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800" w:name="Item2ManagementsDiscussionandAnalysisofF"/>
      <w:bookmarkStart w:id="2801" w:name="_754931ff_3044_4739_9a8c_d7c8d3c8f954"/>
      <w:bookmarkEnd w:id="2800"/>
      <w:bookmarkEnd w:id="2801"/>
      <w:r>
        <w:rPr>
          <w:rFonts w:ascii="Times New Roman;Times;serif" w:hAnsi="Times New Roman;Times;serif"/>
          <w:b/>
          <w:sz w:val="20"/>
        </w:rPr>
        <w:t>Item 2.         </w:t>
      </w:r>
      <w:r>
        <w:rPr>
          <w:rFonts w:ascii="Times New Roman;Times;serif" w:hAnsi="Times New Roman;Times;serif"/>
          <w:b/>
          <w:i/>
          <w:sz w:val="20"/>
        </w:rPr>
        <w:t>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The statements in this discussion regarding industry outlook, our expectations regarding our future performance, liquidity and capital resources and other non-historical statements are forward-looking statements. These forward-looking statements are subject to risks and uncertainties, including the risks and uncertainties described in “Forward-Looking Statements” below and “Risk Factors” beginning on page 7 of our Annual Report on Form 10-K. Our actual results may differ materially from those contained in or implied by any forward-looking statements. We assume no obligation to revise or publicly release any revision to any forward-looking statements contained in this Quarterly Report on Form 10-Q, unless required by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St. Joe is a diversified Florida real estate development, asset management and operating company with all of its real estate assets and operations in Northwest Florida. We intend to use existing assets for residential, hospitality and commercial ventures. We have significant residential and commercial land-use entitlements. We actively seek higher and better uses for our real estate assets through a range of development activities. As part of our core business strategy, we have created a meaningful portion of our business through JVs. We enter into these arrangements for the purposes of developing real estate and other business activities, which we believe allows us to complement our growth strategy, leverage industry expertise and diversify our business. We may partner with or explore the sale of discrete assets, such as our sale of a senior living community property in September 2025, in order to optimize resource allocation and maximize value.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 We seek to continue to enhance the value of our owned real estate assets by developing residential, hospitality and commercial projects to meet market demand. Approximately 87% of our real estate is located in Florida’s Bay, Gulf, and Walton counties. Approximately 90% of our real estate land holdings are located within fifteen miles of the Gulf.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our present capital structure, liquidity and land provide us with years of opportunities to increase recurring revenue and long-term value for our shareholders. We intend to continue to focus on our core business activity of real estate development, asset management and operations by developing long-term, scalable residential communities, growing our hospitality offerings and expanding our portfolio of income producing commercial properties. In addition, we operate a real estate brokerage business, title insurance agency and insurance agency business. We continue to develop a broad range of asset types that we believe will provide acceptable rates of return, grow recurring revenues and support future business. Capital commitments will be funded with cash proceeds from completed projects, existing cash, owned-land, partner capital and financing arrangements. These investments are made with a long-term value creation perspective. Timing of projects may be subject to delays caused by factors beyond our control. We may also choose to operate rather than lease assets, lease rather than sell assets, or sell improved rather than unimproved land that may delay revenue and profits.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real estate investment strategy focuses on projects that meet long-term risk-adjusted return criteria. Our practice is to only incur such expenditures when our analysis indicates that a project will generate a return equal to or greater than the threshold return over its life.</w:t>
      </w:r>
    </w:p>
    <w:p>
      <w:pPr>
        <w:pStyle w:val="TextBody"/>
        <w:bidi w:val="0"/>
        <w:spacing w:before="0" w:after="240"/>
        <w:ind w:left="0" w:right="0" w:firstLine="360"/>
        <w:jc w:val="left"/>
        <w:rPr>
          <w:rFonts w:ascii="Times New Roman;Times;serif" w:hAnsi="Times New Roman;Times;serif"/>
          <w:sz w:val="18"/>
        </w:rPr>
      </w:pPr>
      <w:r>
        <w:rPr>
          <w:rFonts w:ascii="Times New Roman;Times;serif" w:hAnsi="Times New Roman;Times;serif"/>
          <w:b/>
          <w:i/>
          <w:sz w:val="20"/>
        </w:rPr>
        <w:t>Highlights for the second quarter of 2026 compared to the second quarter of 2025 include:</w:t>
      </w:r>
      <w:r>
        <w:rPr>
          <w:rFonts w:ascii="Times New Roman;Times;serif" w:hAnsi="Times New Roman;Times;serif"/>
          <w:sz w:val="18"/>
        </w:rPr>
        <w:t xml:space="preserv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net income increased by 37.3% to $40.5 million, or $0.71 per share, during the three months ended June 30, 2026, from $29.5 million, or $0.51 per share in the same period in 2025, our highest second quarter net income in 30 years since a one-off gain on sale of discontinued operations in 1996.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Toal quarterly revenue increased by 23.0% to $158.8 million during the three months ended June 30, 2026, from $129.1 million in the same period in 2025, our highest second quarter revenue in 20 years.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revenue increased by 58.9% to $69.6 million during the three months ended June 30, 2026, from $43.8 million in the same period in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revenue increased by 7.8% to a quarterly record of $74.2 million during the three months ended June 30, 2026, from $68.8 million in the same period in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2026, we funded $24.0 million in capital expenditures, repurchased $32.7 million of our common stock (499,700 shares), paid $9.1 million in cash dividends and repaid $10.9 million of debt.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Conditions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macroeconomic factors such as uncertainty over tariffs, continued inflation, geopolitical conflicts, elevated interest rates and higher insurance costs for consumers and overall consumer confidence, among other things, continued to produce economic headwinds and impacted buyer sentiment in many parts of the country, our segments continued to generate positive financial results through the first six months of 2026. We believe this is primarily due to the continued growth of Northwest Florida as a result of net migration, which we attribute to the region’s high quality of life, natural beauty and outstanding amenities.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Elevated interest rates, market conditions in home states, and higher insurance costs have negatively impacted or delayed the ability of some buyers to obtain financing or sell their existing homes in their home states. The negative impact has been partially offset by the net migration into our markets and the number of cash buyers. In addition, we have not experienced an increase in cancellation rates as homebuilders have continued to perform on their contractual obligations with 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Given our diverse portfolio of residential holdings, the mix of sales and pricing from different communities may impact revenue and margins period over period, as discussed in more detail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Reportable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primarily all of our business in the following three reportable segments: (1) residential, (2) hospitality and (3) commercial.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relative contribution of these reportable segments to our consolidated revenue:</w:t>
      </w:r>
    </w:p>
    <w:tbl>
      <w:tblPr>
        <w:tblW w:w="7657" w:type="dxa"/>
        <w:jc w:val="left"/>
        <w:tblInd w:w="0" w:type="dxa"/>
        <w:tblLayout w:type="fixed"/>
        <w:tblCellMar>
          <w:top w:w="0" w:type="dxa"/>
          <w:left w:w="0" w:type="dxa"/>
          <w:bottom w:w="0" w:type="dxa"/>
          <w:right w:w="0" w:type="dxa"/>
        </w:tblCellMar>
      </w:tblPr>
      <w:tblGrid>
        <w:gridCol w:w="1951"/>
        <w:gridCol w:w="346"/>
        <w:gridCol w:w="860"/>
        <w:gridCol w:w="589"/>
        <w:gridCol w:w="860"/>
        <w:gridCol w:w="391"/>
        <w:gridCol w:w="788"/>
        <w:gridCol w:w="539"/>
        <w:gridCol w:w="788"/>
        <w:gridCol w:w="391"/>
        <w:gridCol w:w="154"/>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238885" cy="175260"/>
                      <wp:effectExtent l="0" t="0" r="0" b="0"/>
                      <wp:wrapNone/>
                      <wp:docPr id="608" name="Frame608"/>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9710" cy="175260"/>
                      <wp:effectExtent l="0" t="0" r="0" b="0"/>
                      <wp:wrapNone/>
                      <wp:docPr id="609" name="Frame6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546100" cy="175260"/>
                      <wp:effectExtent l="0" t="0" r="0" b="0"/>
                      <wp:wrapNone/>
                      <wp:docPr id="610" name="Frame610"/>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374015" cy="175260"/>
                      <wp:effectExtent l="0" t="0" r="0" b="0"/>
                      <wp:wrapNone/>
                      <wp:docPr id="611" name="Frame611"/>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546100" cy="175260"/>
                      <wp:effectExtent l="0" t="0" r="0" b="0"/>
                      <wp:wrapNone/>
                      <wp:docPr id="612" name="Frame612"/>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48285" cy="175260"/>
                      <wp:effectExtent l="0" t="0" r="0" b="0"/>
                      <wp:wrapNone/>
                      <wp:docPr id="613" name="Frame61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500380" cy="175260"/>
                      <wp:effectExtent l="0" t="0" r="0" b="0"/>
                      <wp:wrapNone/>
                      <wp:docPr id="614" name="Frame614"/>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342265" cy="175260"/>
                      <wp:effectExtent l="0" t="0" r="0" b="0"/>
                      <wp:wrapNone/>
                      <wp:docPr id="615" name="Frame615"/>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500380" cy="175260"/>
                      <wp:effectExtent l="0" t="0" r="0" b="0"/>
                      <wp:wrapNone/>
                      <wp:docPr id="616" name="Frame616"/>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48285" cy="175260"/>
                      <wp:effectExtent l="0" t="0" r="0" b="0"/>
                      <wp:wrapNone/>
                      <wp:docPr id="617" name="Frame61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97790" cy="175260"/>
                      <wp:effectExtent l="0" t="0" r="0" b="0"/>
                      <wp:wrapNone/>
                      <wp:docPr id="618" name="Frame61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1" w:type="dxa"/>
            <w:tcBorders/>
            <w:vAlign w:val="center"/>
          </w:tcPr>
          <w:p>
            <w:pPr>
              <w:pStyle w:val="TableContents"/>
              <w:bidi w:val="0"/>
              <w:spacing w:before="0" w:after="0"/>
              <w:ind w:left="0" w:right="0" w:hanging="0"/>
              <w:jc w:val="center"/>
              <w:rPr/>
            </w:pPr>
            <w:r>
              <w:rPr/>
              <w:t>​</w:t>
            </w:r>
          </w:p>
        </w:tc>
        <w:tc>
          <w:tcPr>
            <w:tcW w:w="211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9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89" w:type="dxa"/>
            <w:tcBorders/>
            <w:vAlign w:val="center"/>
          </w:tcPr>
          <w:p>
            <w:pPr>
              <w:pStyle w:val="TableContents"/>
              <w:bidi w:val="0"/>
              <w:spacing w:before="0" w:after="0"/>
              <w:ind w:left="0" w:right="0" w:hanging="0"/>
              <w:jc w:val="left"/>
              <w:rPr/>
            </w:pPr>
            <w:r>
              <w:rPr/>
              <w:t>  ​ ​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39" w:type="dxa"/>
            <w:tcBorders/>
            <w:vAlign w:val="center"/>
          </w:tcPr>
          <w:p>
            <w:pPr>
              <w:pStyle w:val="TableContents"/>
              <w:bidi w:val="0"/>
              <w:spacing w:before="0" w:after="0"/>
              <w:ind w:left="0" w:right="0" w:hanging="0"/>
              <w:jc w:val="left"/>
              <w:rPr/>
            </w:pPr>
            <w:r>
              <w:rPr/>
              <w:t>  ​ ​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pPr>
            <w:r>
              <w:rPr/>
              <w:t>  ​</w:t>
            </w:r>
          </w:p>
        </w:tc>
        <w:tc>
          <w:tcPr>
            <w:tcW w:w="589"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539"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5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5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5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5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revenue</w:t>
            </w:r>
          </w:p>
        </w:tc>
        <w:tc>
          <w:tcPr>
            <w:tcW w:w="346" w:type="dxa"/>
            <w:tcBorders/>
            <w:vAlign w:val="center"/>
          </w:tcPr>
          <w:p>
            <w:pPr>
              <w:pStyle w:val="TableContents"/>
              <w:bidi w:val="0"/>
              <w:spacing w:before="0" w:after="0"/>
              <w:ind w:left="0" w:right="0" w:hanging="0"/>
              <w:jc w:val="left"/>
              <w:rPr/>
            </w:pPr>
            <w:r>
              <w:rPr/>
              <w:t> </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58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5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more information regarding our reportable segments see Note 16.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Residential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residential segment primarily plans and develops residential communities of various sizes across a wide range of price points and sells homesites to homebuilders or retail consumers. Our residential segment also evaluates opportunities to enter into JV agreements for specific communities such as Latitude Margaritaville Watersound.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residential segment generates revenue from sales of homesites, homes and other residential land and certain homesite residuals from homebuilder sales that provide us a percentage of the sale price of the completed home if the home price exceeds a negotiated threshold. Revenue is recognized at the point in time when a sale is closed and title and control have been transferred to the buyer. The residential segment also generates revenue from the sale of tap and impact fee credits, marketing fees and other fees on certain transactions. Certain homesite residuals and other revenue related to homebuilder homesite sales are recognized in revenue at the point in time of the closing of the sale.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residential segment incurs costs from direct costs (e.g., development and construction costs), selling costs and other indirect costs. Cost of real estate revenue excludes depreciation, depletion and amortization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residential segment includes the Bayside at Ward Creek, Breakfast Point East, Breakwater at Ward Creek, College Station, Park Place, Salt Creek at Mexico Beach, Salt Grass at Ward Creek, Titus Park, Watersound Camp Creek, Watersound Origins, Watersound Origins West and WindMark Beach communities, which are large scale, multi-phase communities with current development activity, sales activity or future phases. Homesites in these communities are developed based on market demand and sold primarily to homebuilders and on a limited basis to retail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East Lake Creek, East Lake Powell, Lake Powell, Lake Powell Estates, Park Place East, Pigeon Creek, Teachee, West Bay Creek and West Laird projects have phases of homesites in preliminary planning or permitting. Homesites in these projects will be developed based on market demand.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SummerCamp Beach community has homesites available for sale and along with the RiverCamps and SouthWood communities, have additional lands for future development.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Latitude Margaritaville Watersound community is a 55+ active adult residential community in Bay County, Florida. The community is located near the Intracoastal Waterway with convenient access to the Northwest Florida Beaches International Airport. The community is being developed through our unconsolidated Latitude Margaritaville Watersound JV with our partner Minto Communities USA, a homebuilder and community developer, and is estimated to include approximately 3,700 residential homes, which are being developed in smaller increments of discrete neighborhoods. As of June 30, 2026, the unconsolidated Latitude Margaritaville Watersound JV had completed 2,359 home sale transactions of the total estimated 3,700 homes planned in the community and had 183 homes under contract, which are expected to result in a sales value to the JV of approximately $115.1 million at closing of the homes.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residential homesite pipeline by community/project is as follows:</w:t>
      </w:r>
    </w:p>
    <w:tbl>
      <w:tblPr>
        <w:tblW w:w="9356" w:type="dxa"/>
        <w:jc w:val="left"/>
        <w:tblInd w:w="0" w:type="dxa"/>
        <w:tblLayout w:type="fixed"/>
        <w:tblCellMar>
          <w:top w:w="0" w:type="dxa"/>
          <w:left w:w="0" w:type="dxa"/>
          <w:bottom w:w="0" w:type="dxa"/>
          <w:right w:w="0" w:type="dxa"/>
        </w:tblCellMar>
      </w:tblPr>
      <w:tblGrid>
        <w:gridCol w:w="3016"/>
        <w:gridCol w:w="109"/>
        <w:gridCol w:w="1576"/>
        <w:gridCol w:w="109"/>
        <w:gridCol w:w="1051"/>
        <w:gridCol w:w="109"/>
        <w:gridCol w:w="1096"/>
        <w:gridCol w:w="109"/>
        <w:gridCol w:w="1366"/>
        <w:gridCol w:w="109"/>
        <w:gridCol w:w="70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915160" cy="175260"/>
                      <wp:effectExtent l="0" t="0" r="0" b="0"/>
                      <wp:wrapNone/>
                      <wp:docPr id="619" name="Frame619"/>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9215" cy="175260"/>
                      <wp:effectExtent l="0" t="0" r="0" b="0"/>
                      <wp:wrapNone/>
                      <wp:docPr id="620" name="Frame6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000760" cy="175260"/>
                      <wp:effectExtent l="0" t="0" r="0" b="0"/>
                      <wp:wrapNone/>
                      <wp:docPr id="621" name="Frame621"/>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9215" cy="175260"/>
                      <wp:effectExtent l="0" t="0" r="0" b="0"/>
                      <wp:wrapNone/>
                      <wp:docPr id="622" name="Frame6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67385" cy="175260"/>
                      <wp:effectExtent l="0" t="0" r="0" b="0"/>
                      <wp:wrapNone/>
                      <wp:docPr id="623" name="Frame62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9215" cy="175260"/>
                      <wp:effectExtent l="0" t="0" r="0" b="0"/>
                      <wp:wrapNone/>
                      <wp:docPr id="624" name="Frame6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95960" cy="175260"/>
                      <wp:effectExtent l="0" t="0" r="0" b="0"/>
                      <wp:wrapNone/>
                      <wp:docPr id="625" name="Frame62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26" name="Frame6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867410" cy="175260"/>
                      <wp:effectExtent l="0" t="0" r="0" b="0"/>
                      <wp:wrapNone/>
                      <wp:docPr id="627" name="Frame627"/>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9215" cy="175260"/>
                      <wp:effectExtent l="0" t="0" r="0" b="0"/>
                      <wp:wrapNone/>
                      <wp:docPr id="628" name="Frame6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448310" cy="175260"/>
                      <wp:effectExtent l="0" t="0" r="0" b="0"/>
                      <wp:wrapNone/>
                      <wp:docPr id="629" name="Frame62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46" w:type="dxa"/>
            <w:gridSpan w:val="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Residential Homesite Pipeline</w:t>
            </w:r>
            <w:r>
              <w:rPr>
                <w:rFonts w:ascii="Times New Roman;Times;serif" w:hAnsi="Times New Roman;Times;serif"/>
                <w:sz w:val="16"/>
              </w:rPr>
              <w:t xml:space="preserve"> </w:t>
            </w:r>
            <w:r>
              <w:rPr>
                <w:rFonts w:ascii="Times New Roman;Times;serif" w:hAnsi="Times New Roman;Times;serif"/>
                <w:b/>
                <w:sz w:val="12"/>
              </w:rPr>
              <w:t>(a)</w: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Platted or </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Entitlements with</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Community/Project</w:t>
            </w:r>
          </w:p>
        </w:tc>
        <w:tc>
          <w:tcPr>
            <w:tcW w:w="109" w:type="dxa"/>
            <w:tcBorders/>
            <w:vAlign w:val="center"/>
          </w:tcPr>
          <w:p>
            <w:pPr>
              <w:pStyle w:val="TableContents"/>
              <w:bidi w:val="0"/>
              <w:spacing w:before="0" w:after="0"/>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109"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Permitting</w:t>
            </w:r>
          </w:p>
        </w:tc>
        <w:tc>
          <w:tcPr>
            <w:tcW w:w="109" w:type="dxa"/>
            <w:tcBorders/>
            <w:vAlign w:val="center"/>
          </w:tcPr>
          <w:p>
            <w:pPr>
              <w:pStyle w:val="TableContents"/>
              <w:bidi w:val="0"/>
              <w:spacing w:before="0" w:after="0"/>
              <w:ind w:left="0" w:right="0" w:hanging="0"/>
              <w:jc w:val="center"/>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Concept Plan</w:t>
            </w:r>
          </w:p>
        </w:tc>
        <w:tc>
          <w:tcPr>
            <w:tcW w:w="109"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Breakfast Point East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College Station</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East Lake Creek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East Lake Powell </w:t>
            </w:r>
            <w:r>
              <w:rPr>
                <w:rFonts w:ascii="Times New Roman;Times;serif" w:hAnsi="Times New Roman;Times;serif"/>
                <w:sz w:val="14"/>
              </w:rPr>
              <w:t>(c)</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Lake Powell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1,323</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Lake Powell Estates</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Latitude Margaritaville Watersound </w:t>
            </w:r>
            <w:r>
              <w:rPr>
                <w:rFonts w:ascii="Times New Roman;Times;serif" w:hAnsi="Times New Roman;Times;serif"/>
                <w:sz w:val="14"/>
              </w:rPr>
              <w:t>(d) (e)</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1,262</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1,366</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Salt Creek at Mexico Beach </w:t>
            </w:r>
            <w:r>
              <w:rPr>
                <w:rFonts w:ascii="Times New Roman;Times;serif" w:hAnsi="Times New Roman;Times;serif"/>
                <w:sz w:val="14"/>
              </w:rPr>
              <w:t>(b)</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Park Place</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Park Place East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Pigeon Creek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3,330</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RiverCamps </w:t>
            </w:r>
            <w:r>
              <w:rPr>
                <w:rFonts w:ascii="Times New Roman;Times;serif" w:hAnsi="Times New Roman;Times;serif"/>
                <w:sz w:val="14"/>
              </w:rPr>
              <w:t>(c)</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SouthWood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Leon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SummerCamp Beach </w:t>
            </w:r>
            <w:r>
              <w:rPr>
                <w:rFonts w:ascii="Times New Roman;Times;serif" w:hAnsi="Times New Roman;Times;serif"/>
                <w:sz w:val="14"/>
              </w:rPr>
              <w:t>(b)</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Franklin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Teachee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1,647</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Titus Park</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Bayside at Ward Creek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Breakwater at Ward Creek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Salt Grass at Ward Creek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Camp Creek </w:t>
            </w:r>
            <w:r>
              <w:rPr>
                <w:rFonts w:ascii="Times New Roman;Times;serif" w:hAnsi="Times New Roman;Times;serif"/>
                <w:sz w:val="14"/>
              </w:rPr>
              <w:t>(f)</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Origins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Origins West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2,816</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3,143</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West Bay Creek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5,250</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West Laird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2,390</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2,390</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WindMark Beach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Gulf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Homesites</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2,288</w:t>
            </w:r>
          </w:p>
        </w:tc>
        <w:tc>
          <w:tcPr>
            <w:tcW w:w="109" w:type="dxa"/>
            <w:tcBorders/>
            <w:vAlign w:val="center"/>
          </w:tcPr>
          <w:p>
            <w:pPr>
              <w:pStyle w:val="TableContents"/>
              <w:bidi w:val="0"/>
              <w:spacing w:before="0" w:after="0"/>
              <w:ind w:left="0" w:right="0" w:hanging="0"/>
              <w:jc w:val="righ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1,509</w:t>
            </w:r>
          </w:p>
        </w:tc>
        <w:tc>
          <w:tcPr>
            <w:tcW w:w="109" w:type="dxa"/>
            <w:tcBorders/>
            <w:vAlign w:val="center"/>
          </w:tcPr>
          <w:p>
            <w:pPr>
              <w:pStyle w:val="TableContents"/>
              <w:bidi w:val="0"/>
              <w:spacing w:before="0" w:after="0"/>
              <w:ind w:left="0" w:right="0" w:hanging="0"/>
              <w:jc w:val="right"/>
              <w:rPr/>
            </w:pPr>
            <w:r>
              <w:rPr/>
              <w:t>​</w:t>
            </w:r>
          </w:p>
        </w:tc>
        <w:tc>
          <w:tcPr>
            <w:tcW w:w="13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21,337</w:t>
            </w:r>
          </w:p>
        </w:tc>
        <w:tc>
          <w:tcPr>
            <w:tcW w:w="109" w:type="dxa"/>
            <w:tcBorders/>
            <w:vAlign w:val="center"/>
          </w:tcPr>
          <w:p>
            <w:pPr>
              <w:pStyle w:val="TableContents"/>
              <w:bidi w:val="0"/>
              <w:spacing w:before="0" w:after="0"/>
              <w:ind w:left="0" w:right="0" w:hanging="0"/>
              <w:jc w:val="right"/>
              <w:rPr/>
            </w:pPr>
            <w:r>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25,134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number of homesites are preliminary and are subject to change. Includes homesites platted or currently in concept planning, engineering, permitting or development. We have significant additional entitlements for future residential homesites on our land holdings.</w:t>
            </w:r>
          </w:p>
        </w:tc>
      </w:tr>
    </w:tbl>
    <w:tbl>
      <w:tblPr>
        <w:tblW w:w="3137" w:type="dxa"/>
        <w:jc w:val="left"/>
        <w:tblInd w:w="0" w:type="dxa"/>
        <w:tblLayout w:type="fixed"/>
        <w:tblCellMar>
          <w:top w:w="0" w:type="dxa"/>
          <w:left w:w="0" w:type="dxa"/>
          <w:bottom w:w="0" w:type="dxa"/>
          <w:right w:w="0" w:type="dxa"/>
        </w:tblCellMar>
      </w:tblPr>
      <w:tblGrid>
        <w:gridCol w:w="331"/>
        <w:gridCol w:w="280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28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Planned Unit Development (“PUD”).</w:t>
            </w:r>
          </w:p>
        </w:tc>
      </w:tr>
    </w:tbl>
    <w:tbl>
      <w:tblPr>
        <w:tblW w:w="2867" w:type="dxa"/>
        <w:jc w:val="left"/>
        <w:tblInd w:w="0" w:type="dxa"/>
        <w:tblLayout w:type="fixed"/>
        <w:tblCellMar>
          <w:top w:w="0" w:type="dxa"/>
          <w:left w:w="0" w:type="dxa"/>
          <w:bottom w:w="0" w:type="dxa"/>
          <w:right w:w="0" w:type="dxa"/>
        </w:tblCellMar>
      </w:tblPr>
      <w:tblGrid>
        <w:gridCol w:w="316"/>
        <w:gridCol w:w="2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2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Development Agreement (“DA”).</w:t>
            </w:r>
          </w:p>
        </w:tc>
      </w:tr>
    </w:tbl>
    <w:tbl>
      <w:tblPr>
        <w:tblW w:w="3272" w:type="dxa"/>
        <w:jc w:val="left"/>
        <w:tblInd w:w="0" w:type="dxa"/>
        <w:tblLayout w:type="fixed"/>
        <w:tblCellMar>
          <w:top w:w="0" w:type="dxa"/>
          <w:left w:w="0" w:type="dxa"/>
          <w:bottom w:w="0" w:type="dxa"/>
          <w:right w:w="0" w:type="dxa"/>
        </w:tblCellMar>
      </w:tblPr>
      <w:tblGrid>
        <w:gridCol w:w="331"/>
        <w:gridCol w:w="29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2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Detailed Specific Area Plan (“DSAP”).</w:t>
            </w:r>
          </w:p>
        </w:tc>
      </w:tr>
    </w:tbl>
    <w:tbl>
      <w:tblPr>
        <w:tblW w:w="7667" w:type="dxa"/>
        <w:jc w:val="left"/>
        <w:tblInd w:w="0" w:type="dxa"/>
        <w:tblLayout w:type="fixed"/>
        <w:tblCellMar>
          <w:top w:w="0" w:type="dxa"/>
          <w:left w:w="0" w:type="dxa"/>
          <w:bottom w:w="0" w:type="dxa"/>
          <w:right w:w="0" w:type="dxa"/>
        </w:tblCellMar>
      </w:tblPr>
      <w:tblGrid>
        <w:gridCol w:w="316"/>
        <w:gridCol w:w="73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7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unconsolidated Latitude Margaritaville Watersound JV builds and sells homes in this community.</w:t>
            </w:r>
          </w:p>
        </w:tc>
      </w:tr>
    </w:tbl>
    <w:tbl>
      <w:tblPr>
        <w:tblW w:w="3467" w:type="dxa"/>
        <w:jc w:val="left"/>
        <w:tblInd w:w="0" w:type="dxa"/>
        <w:tblLayout w:type="fixed"/>
        <w:tblCellMar>
          <w:top w:w="0" w:type="dxa"/>
          <w:left w:w="0" w:type="dxa"/>
          <w:bottom w:w="0" w:type="dxa"/>
          <w:right w:w="0" w:type="dxa"/>
        </w:tblCellMar>
      </w:tblPr>
      <w:tblGrid>
        <w:gridCol w:w="301"/>
        <w:gridCol w:w="3166"/>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3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Development of Regional Impact (“DRI”).</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communities listed above, we have a number of other residential project concepts in various stages of planning and evaluation.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we had eighteen different homebuilders within our residential communities. As of June 30, 2026, we had 3,077 residential homesites under contract, which include 1,326 homesites within the Pigeon Creek project, which is structured to include significant variable revenue due to its long-term nature. In addition, as of June 30, 2026, we had approximately 647 entitled but undeveloped homesites within the SouthWood community under contract. Excluding the Pigeon Creek project and SouthWood community contracts due to their scale and timing, the remaining 1,104 residential homesites under contract are expected to result in revenue of approximately $109.2 million, plus residuals, at closing of the homesites over the next several years. By comparison, as of June 30, 2025, we had 1,209 residential homesites under contract, with an expected revenue of approximately $121.7 million, plus residuals. The change in homesites under contract is due to homesite transactions since the end of the prior period, new contracts, and the amount of remaining homesites in current phases of the residential communities. Homesite prices vary significantly by community and often sell in concentrated transactions that may impact period over period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Hospitality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hospitality segment features a private membership club (the “Watersound Club”), hotel operations, food and beverage operations, golf courses, beach clubs, retail outlets, marinas and other entertainment offerings. The hospitality segment generates revenue from membership sales, golf courses, lodging at our hotels, food and beverage operations, merchandise sales, marina operations (including boat slip rentals, boat storage fees and fuel sales), other resort and entertainment activities and beach clubs, which include food and beverage operations of the WaterColor Beach Club. Hospitality revenue is generally recognized at the point in time services are provided and represents a single performance obligation with a fixed transaction price. Hospitality revenue recognized over time includes non-refundable club membership initiation fees, club membership dues and other membership fees. The hospitality segment incurs costs from the services and goods provided, personnel costs, maintenance of the facilities and holding costs of the assets. From time to time, we may explore the sale of certain hospitality properties, the development of new hospitality properties, as well as new entertainment and management opportunities. Our hospitality segment may also generate revenue from the sale of operating properties. Real estate sales in our hospitality segment incur costs of revenue directly associated with the land, development, construction and selling costs. Cost of hospitality revenue and cost of real estate revenue exclude depreciation, depletion and amortization expense. Some of our JV assets and other assets incur interest and financing expenses related to the loans as described in Note 8. </w:t>
      </w:r>
      <w:r>
        <w:rPr>
          <w:rFonts w:ascii="TimesNewRomanPS-ItalicMT" w:hAnsi="TimesNewRomanPS-ItalicMT"/>
          <w:i/>
          <w:sz w:val="20"/>
        </w:rPr>
        <w:t>Debt, Net</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Watersound Club provides club members access to our member facilities, which include the Watersound Beach Club, Camp Creek golf course and amenities, Shark’s Tooth golf course and tennis center, The Third golf course and The Sporting Preserve. Watersound Club offers different types of club memberships, each with different access rights and associated fee structures. Watersound Club is focused on creating an outstanding membership experience combined with the luxurious aspects of a destination resort. Watersound Beach Club located on Scenic Highway 30A with over one mile of Gulf frontage, has two resort-style pools, two restaurants, three bars, kid’s room and a recreation area. Camp Creek includes an 18-hole golf course, a full club house, health and wellness center, three restaurants, a tennis and pickle ball center, a resort-style pool complex with separate adult pool, a golf teaching academy, pro shop and multi-sport fields. Shark’s Tooth includes an 18-hole golf course, tennis center, a full club house, a pro shop, as well as two food and beverage outlets. The Third includes an 18-hole golf course. The Sporting Preserve includes a 12-stand sporting clays course. Guests of some of our hotels also have access to certain Watersound Club amenities.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Watersound Origins amenities include a resort-style pool, fitness center, pickle ball courts and tennis courts located in the community. Access to these amenities is reserved to Watersound Origins, Watersound Origins West and Watersound Villas on the Fairway members consisting of the communities’ residents. In addition, an executive golf course located in the community is available to residents and for public play.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own and operate the award-winning WaterColor Inn (which includes the Fish Out of Water restaurant) and The Pearl Hotel (which includes the Havana Beach Bar &amp; Grill restaurant); the Camp Creek Inn, the Hilton Garden Inn Panama City Airport, the Homewood Suites by Hilton Panama City Beach, the Hotel Indigo Panama City Marina, the Home2 Suites by Hilton Santa Rosa Beach and the Watersound Inn. With our JV partners, we own and operate The Lodge 30A and the Embassy Suites by Hilton Panama City Beach Resort. We also operate the WaterColor Beach Club, which includes food and beverage operations and other hospitality related activities, such as beach chair rentals.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hotel portfolio by property is as follows:</w:t>
      </w:r>
    </w:p>
    <w:tbl>
      <w:tblPr>
        <w:tblW w:w="7301" w:type="dxa"/>
        <w:jc w:val="left"/>
        <w:tblInd w:w="0" w:type="dxa"/>
        <w:tblLayout w:type="fixed"/>
        <w:tblCellMar>
          <w:top w:w="0" w:type="dxa"/>
          <w:left w:w="0" w:type="dxa"/>
          <w:bottom w:w="0" w:type="dxa"/>
          <w:right w:w="0" w:type="dxa"/>
        </w:tblCellMar>
      </w:tblPr>
      <w:tblGrid>
        <w:gridCol w:w="4651"/>
        <w:gridCol w:w="109"/>
        <w:gridCol w:w="1531"/>
        <w:gridCol w:w="109"/>
        <w:gridCol w:w="90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953385" cy="175260"/>
                      <wp:effectExtent l="0" t="0" r="0" b="0"/>
                      <wp:wrapNone/>
                      <wp:docPr id="630" name="Frame630"/>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9215" cy="175260"/>
                      <wp:effectExtent l="0" t="0" r="0" b="0"/>
                      <wp:wrapNone/>
                      <wp:docPr id="631" name="Frame6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972185" cy="175260"/>
                      <wp:effectExtent l="0" t="0" r="0" b="0"/>
                      <wp:wrapNone/>
                      <wp:docPr id="632" name="Frame63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9215" cy="175260"/>
                      <wp:effectExtent l="0" t="0" r="0" b="0"/>
                      <wp:wrapNone/>
                      <wp:docPr id="633" name="Frame6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572135" cy="175260"/>
                      <wp:effectExtent l="0" t="0" r="0" b="0"/>
                      <wp:wrapNone/>
                      <wp:docPr id="634" name="Frame63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Hotel </w:t>
            </w:r>
          </w:p>
        </w:tc>
        <w:tc>
          <w:tcPr>
            <w:tcW w:w="109" w:type="dxa"/>
            <w:tcBorders/>
            <w:vAlign w:val="center"/>
          </w:tcPr>
          <w:p>
            <w:pPr>
              <w:pStyle w:val="TableContents"/>
              <w:bidi w:val="0"/>
              <w:spacing w:before="0" w:after="0"/>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Location</w:t>
            </w:r>
          </w:p>
        </w:tc>
        <w:tc>
          <w:tcPr>
            <w:tcW w:w="109"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Rooms</w:t>
            </w:r>
            <w:r>
              <w:rPr>
                <w:rFonts w:ascii="Times New Roman;Times;serif" w:hAnsi="Times New Roman;Times;serif"/>
                <w:sz w:val="18"/>
              </w:rPr>
              <w:t xml:space="preserve"> </w:t>
            </w:r>
            <w:r>
              <w:rPr>
                <w:rFonts w:ascii="Times New Roman;Times;serif" w:hAnsi="Times New Roman;Times;serif"/>
                <w:b/>
                <w:sz w:val="14"/>
              </w:rPr>
              <w:t>(a)</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Camp Creek Inn</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WaterColor Inn</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Pearl Hotel</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Watersound Inn</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The Lodge 30A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Home2 Suites by Hilton Santa Rosa Beach</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Embassy Suites by Hilton Panama City Beach Resort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Hilton Garden Inn Panama City Airport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Homewood Suites by Hilton Panama City Beach</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Hotel Indigo Panama City Marina</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TownePlace Suites by Marriott Panama City Beach Pier Park </w:t>
            </w:r>
            <w:r>
              <w:rPr>
                <w:rFonts w:ascii="Times New Roman;Times;serif" w:hAnsi="Times New Roman;Times;serif"/>
                <w:sz w:val="14"/>
              </w:rPr>
              <w:t>(c)</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465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Residence Inn Panama City Beach Pier Park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rooms</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1,298</w:t>
            </w:r>
          </w:p>
        </w:tc>
      </w:tr>
    </w:tbl>
    <w:tbl>
      <w:tblPr>
        <w:tblW w:w="9467" w:type="dxa"/>
        <w:jc w:val="left"/>
        <w:tblInd w:w="0" w:type="dxa"/>
        <w:tblLayout w:type="fixed"/>
        <w:tblCellMar>
          <w:top w:w="0" w:type="dxa"/>
          <w:left w:w="0" w:type="dxa"/>
          <w:bottom w:w="0" w:type="dxa"/>
          <w:right w:w="0" w:type="dxa"/>
        </w:tblCellMar>
      </w:tblPr>
      <w:tblGrid>
        <w:gridCol w:w="316"/>
        <w:gridCol w:w="91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hotels currently in operation. We have significant additional entitlements for future hotel projects on our land holdings.</w:t>
            </w:r>
          </w:p>
        </w:tc>
      </w:tr>
    </w:tbl>
    <w:tbl>
      <w:tblPr>
        <w:tblW w:w="7157" w:type="dxa"/>
        <w:jc w:val="left"/>
        <w:tblInd w:w="0" w:type="dxa"/>
        <w:tblLayout w:type="fixed"/>
        <w:tblCellMar>
          <w:top w:w="0" w:type="dxa"/>
          <w:left w:w="0" w:type="dxa"/>
          <w:bottom w:w="0" w:type="dxa"/>
          <w:right w:w="0" w:type="dxa"/>
        </w:tblCellMar>
      </w:tblPr>
      <w:tblGrid>
        <w:gridCol w:w="331"/>
        <w:gridCol w:w="682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68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Property is related to a consolidated JV.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The hotel is operated by our JV partner. The Pier Park TPS JV is unconsolidated and is accounted for using the equity method, which is included within our commercial segment.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The hotel is operated by our JV partner. The Pier Park RI JV is unconsolidated and is accounted for using the equity method, which is included within our commercial segment.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own and operate two marinas, the Point South Marina Bay Point in Bay County, Florida and Point South Marina Port St. Joe in Gulf County, Florida. We are planning new marinas along the Intracoastal Waterway.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own and operate retail stores, standalone restaurants and other entertainment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properties listed above, we have a number of hospitality projects in various stages of planning.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Commercial Segment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commercial segment includes leasing of commercial property, multi-family, self-storage and other assets, as well as senior living prior to the sale of the Watercrest JV’s senior living community property in September 2025.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 The commercial segment also oversees the planning, development, entitlement, management and sale of our commercial and forestry land holdings for a variety of uses, including a broad range of retail, office, hotel, senior living, multi-family, self-storage and industrial properties. We believe the diversity of our commercial segment complements the growth of our residential and hospitality segments. We provide development opportunities for national, regional and local retailers and other strategic partners in Northwest Florida. We own and manage retail shopping centers and develop commercial parcels. We are currently developing the Watersound Town Center in Walton County, Florida and Watersound West Bay Center in Bay County, Florida. These lifestyle centers are complementary to the Watersound Origins, Watersound Origins West and Latitude Margaritaville Watersound residential communities. In conjunction with Florida State University (“FSU”) and Tallahassee Memorial Hospital (“TMH”), we are in the process of developing an 87-acre medical campus in Panama City Beach, Florida. We have large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land holdings near the Pier Park retail center, adjacent to the Northwest Florida Beaches International Airport, near or within business districts in the region and along major roadways. We lease land for various other uses. The commercial segment manages our timber holdings in Northwest Florida, which includes growing and selling pulpwood, sawtimber and other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commercial segment generates leasing revenue and incurs leasing expenses primarily from maintenance and management of our properties, personnel costs and asset holding costs. Our commercial segment generates revenue from the sale of developed and undeveloped land, timber holdings or land with limited development and/or entitlements and the sale of commercial operating properties. Real estate sales in our commercial segment incur costs of revenue directly associated with the land, development, construction, timber and selling costs. Our commercial segment generates timber revenue primarily from open market sales of timber on site without the associated delivery costs. Cost of leasing revenue and cost of real estate revenue exclude depreciation, depletion and amortization expense. Some of our JV assets and other assets incur interest and financing expenses related to loans as described in Note 8. </w:t>
      </w:r>
      <w:r>
        <w:rPr>
          <w:rFonts w:ascii="TimesNewRomanPS-ItalicMT" w:hAnsi="TimesNewRomanPS-ItalicMT"/>
          <w:i/>
          <w:sz w:val="20"/>
        </w:rPr>
        <w:t>Debt,</w:t>
      </w:r>
      <w:r>
        <w:rPr>
          <w:rFonts w:ascii="Times New Roman;Times;serif" w:hAnsi="Times New Roman;Times;serif"/>
          <w:sz w:val="20"/>
        </w:rPr>
        <w:t xml:space="preserve"> </w:t>
      </w:r>
      <w:r>
        <w:rPr>
          <w:rFonts w:ascii="TimesNewRomanPS-ItalicMT" w:hAnsi="TimesNewRomanPS-ItalicMT"/>
          <w:i/>
          <w:sz w:val="20"/>
        </w:rPr>
        <w:t>Net</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Total units and percentage leased for multi-family and senior living communities by location are as follows:</w:t>
      </w:r>
    </w:p>
    <w:tbl>
      <w:tblPr>
        <w:tblW w:w="10205" w:type="dxa"/>
        <w:jc w:val="left"/>
        <w:tblInd w:w="0" w:type="dxa"/>
        <w:tblLayout w:type="fixed"/>
        <w:tblCellMar>
          <w:top w:w="0" w:type="dxa"/>
          <w:left w:w="0" w:type="dxa"/>
          <w:bottom w:w="0" w:type="dxa"/>
          <w:right w:w="0" w:type="dxa"/>
        </w:tblCellMar>
      </w:tblPr>
      <w:tblGrid>
        <w:gridCol w:w="2470"/>
        <w:gridCol w:w="109"/>
        <w:gridCol w:w="1356"/>
        <w:gridCol w:w="226"/>
        <w:gridCol w:w="719"/>
        <w:gridCol w:w="226"/>
        <w:gridCol w:w="736"/>
        <w:gridCol w:w="109"/>
        <w:gridCol w:w="526"/>
        <w:gridCol w:w="109"/>
        <w:gridCol w:w="751"/>
        <w:gridCol w:w="241"/>
        <w:gridCol w:w="109"/>
        <w:gridCol w:w="736"/>
        <w:gridCol w:w="109"/>
        <w:gridCol w:w="526"/>
        <w:gridCol w:w="109"/>
        <w:gridCol w:w="751"/>
        <w:gridCol w:w="287"/>
      </w:tblGrid>
      <w:tr>
        <w:trPr/>
        <w:tc>
          <w:tcPr>
            <w:tcW w:w="2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568450" cy="175260"/>
                      <wp:effectExtent l="0" t="0" r="0" b="0"/>
                      <wp:wrapNone/>
                      <wp:docPr id="635" name="Frame635"/>
                      <a:graphic xmlns:a="http://schemas.openxmlformats.org/drawingml/2006/main">
                        <a:graphicData uri="http://schemas.microsoft.com/office/word/2010/wordprocessingShape">
                          <wps:wsp>
                            <wps:cNvSpPr txBox="1"/>
                            <wps:spPr>
                              <a:xfrm>
                                <a:off x="0" y="0"/>
                                <a:ext cx="1568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9215" cy="175260"/>
                      <wp:effectExtent l="0" t="0" r="0" b="0"/>
                      <wp:wrapNone/>
                      <wp:docPr id="636" name="Frame6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861060" cy="175260"/>
                      <wp:effectExtent l="0" t="0" r="0" b="0"/>
                      <wp:wrapNone/>
                      <wp:docPr id="637" name="Frame637"/>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43510" cy="175260"/>
                      <wp:effectExtent l="0" t="0" r="0" b="0"/>
                      <wp:wrapNone/>
                      <wp:docPr id="638" name="Frame6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456565" cy="175260"/>
                      <wp:effectExtent l="0" t="0" r="0" b="0"/>
                      <wp:wrapNone/>
                      <wp:docPr id="639" name="Frame639"/>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43510" cy="175260"/>
                      <wp:effectExtent l="0" t="0" r="0" b="0"/>
                      <wp:wrapNone/>
                      <wp:docPr id="640" name="Frame6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467360" cy="175260"/>
                      <wp:effectExtent l="0" t="0" r="0" b="0"/>
                      <wp:wrapNone/>
                      <wp:docPr id="641" name="Frame64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9215" cy="175260"/>
                      <wp:effectExtent l="0" t="0" r="0" b="0"/>
                      <wp:wrapNone/>
                      <wp:docPr id="642" name="Frame6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334010" cy="175260"/>
                      <wp:effectExtent l="0" t="0" r="0" b="0"/>
                      <wp:wrapNone/>
                      <wp:docPr id="643" name="Frame64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9215" cy="175260"/>
                      <wp:effectExtent l="0" t="0" r="0" b="0"/>
                      <wp:wrapNone/>
                      <wp:docPr id="644" name="Frame6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476885" cy="175260"/>
                      <wp:effectExtent l="0" t="0" r="0" b="0"/>
                      <wp:wrapNone/>
                      <wp:docPr id="645" name="Frame64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53035" cy="175260"/>
                      <wp:effectExtent l="0" t="0" r="0" b="0"/>
                      <wp:wrapNone/>
                      <wp:docPr id="646" name="Frame64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9215" cy="175260"/>
                      <wp:effectExtent l="0" t="0" r="0" b="0"/>
                      <wp:wrapNone/>
                      <wp:docPr id="647" name="Frame6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467360" cy="175260"/>
                      <wp:effectExtent l="0" t="0" r="0" b="0"/>
                      <wp:wrapNone/>
                      <wp:docPr id="648" name="Frame64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9215" cy="175260"/>
                      <wp:effectExtent l="0" t="0" r="0" b="0"/>
                      <wp:wrapNone/>
                      <wp:docPr id="649" name="Frame6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334010" cy="175260"/>
                      <wp:effectExtent l="0" t="0" r="0" b="0"/>
                      <wp:wrapNone/>
                      <wp:docPr id="650" name="Frame65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9215" cy="175260"/>
                      <wp:effectExtent l="0" t="0" r="0" b="0"/>
                      <wp:wrapNone/>
                      <wp:docPr id="651" name="Frame6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476885" cy="175260"/>
                      <wp:effectExtent l="0" t="0" r="0" b="0"/>
                      <wp:wrapNone/>
                      <wp:docPr id="652" name="Frame65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82245" cy="175260"/>
                      <wp:effectExtent l="0" t="0" r="0" b="0"/>
                      <wp:wrapNone/>
                      <wp:docPr id="653" name="Frame65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5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1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3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23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2025</w:t>
            </w:r>
          </w:p>
        </w:tc>
        <w:tc>
          <w:tcPr>
            <w:tcW w:w="287" w:type="dxa"/>
            <w:tcBorders/>
            <w:vAlign w:val="center"/>
          </w:tcPr>
          <w:p>
            <w:pPr>
              <w:pStyle w:val="TableContents"/>
              <w:bidi w:val="0"/>
              <w:spacing w:before="0" w:after="1"/>
              <w:ind w:left="0" w:right="0" w:hanging="0"/>
              <w:jc w:val="left"/>
              <w:rPr/>
            </w:pPr>
            <w:r>
              <w:rPr/>
              <w:t>​</w:t>
            </w:r>
          </w:p>
        </w:tc>
      </w:tr>
      <w:tr>
        <w:trPr/>
        <w:tc>
          <w:tcPr>
            <w:tcW w:w="24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5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19"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Percentage</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Percentage</w:t>
            </w:r>
          </w:p>
        </w:tc>
        <w:tc>
          <w:tcPr>
            <w:tcW w:w="287" w:type="dxa"/>
            <w:tcBorders/>
            <w:vAlign w:val="center"/>
          </w:tcPr>
          <w:p>
            <w:pPr>
              <w:pStyle w:val="TableContents"/>
              <w:bidi w:val="0"/>
              <w:spacing w:before="0" w:after="1"/>
              <w:ind w:left="0" w:right="0" w:hanging="0"/>
              <w:jc w:val="left"/>
              <w:rPr/>
            </w:pPr>
            <w:r>
              <w:rPr/>
              <w:t>​</w:t>
            </w:r>
          </w:p>
        </w:tc>
      </w:tr>
      <w:tr>
        <w:trPr/>
        <w:tc>
          <w:tcPr>
            <w:tcW w:w="24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5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19"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287" w:type="dxa"/>
            <w:tcBorders/>
            <w:vAlign w:val="center"/>
          </w:tcPr>
          <w:p>
            <w:pPr>
              <w:pStyle w:val="TableContents"/>
              <w:bidi w:val="0"/>
              <w:spacing w:before="0" w:after="1"/>
              <w:ind w:left="0" w:right="0" w:hanging="0"/>
              <w:jc w:val="left"/>
              <w:rPr/>
            </w:pPr>
            <w:r>
              <w:rPr/>
              <w:t>​</w:t>
            </w:r>
          </w:p>
        </w:tc>
      </w:tr>
      <w:tr>
        <w:trPr/>
        <w:tc>
          <w:tcPr>
            <w:tcW w:w="24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5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719"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226" w:type="dxa"/>
            <w:tcBorders/>
            <w:vAlign w:val="center"/>
          </w:tcPr>
          <w:p>
            <w:pPr>
              <w:pStyle w:val="TableContents"/>
              <w:bidi w:val="0"/>
              <w:spacing w:before="0" w:after="1"/>
              <w:ind w:left="0" w:right="0" w:hanging="0"/>
              <w:jc w:val="center"/>
              <w:rPr/>
            </w:pPr>
            <w:r>
              <w:rPr/>
              <w:t>  ​</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Units </w:t>
            </w:r>
          </w:p>
        </w:tc>
        <w:tc>
          <w:tcPr>
            <w:tcW w:w="109"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of Units</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Units </w:t>
            </w:r>
          </w:p>
        </w:tc>
        <w:tc>
          <w:tcPr>
            <w:tcW w:w="109"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of Units</w:t>
            </w:r>
          </w:p>
        </w:tc>
        <w:tc>
          <w:tcPr>
            <w:tcW w:w="287" w:type="dxa"/>
            <w:tcBorders/>
            <w:vAlign w:val="center"/>
          </w:tcPr>
          <w:p>
            <w:pPr>
              <w:pStyle w:val="TableContents"/>
              <w:bidi w:val="0"/>
              <w:spacing w:before="0" w:after="1"/>
              <w:ind w:left="0" w:right="0" w:hanging="0"/>
              <w:jc w:val="left"/>
              <w:rPr/>
            </w:pPr>
            <w:r>
              <w:rPr/>
              <w:t>​</w:t>
            </w:r>
          </w:p>
        </w:tc>
      </w:tr>
      <w:tr>
        <w:trPr/>
        <w:tc>
          <w:tcPr>
            <w:tcW w:w="24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w:t>
            </w:r>
          </w:p>
        </w:tc>
        <w:tc>
          <w:tcPr>
            <w:tcW w:w="226" w:type="dxa"/>
            <w:tcBorders/>
            <w:vAlign w:val="center"/>
          </w:tcPr>
          <w:p>
            <w:pPr>
              <w:pStyle w:val="TableContents"/>
              <w:bidi w:val="0"/>
              <w:spacing w:before="0" w:after="1"/>
              <w:ind w:left="0" w:right="0" w:hanging="0"/>
              <w:jc w:val="center"/>
              <w:rPr/>
            </w:pPr>
            <w:r>
              <w:rPr/>
              <w:t>​</w:t>
            </w:r>
          </w:p>
        </w:tc>
        <w:tc>
          <w:tcPr>
            <w:tcW w:w="719"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Planned</w:t>
            </w:r>
            <w:r>
              <w:rPr>
                <w:rFonts w:ascii="Times New Roman;Times;serif" w:hAnsi="Times New Roman;Times;serif"/>
                <w:sz w:val="14"/>
              </w:rPr>
              <w:t xml:space="preserve"> </w:t>
            </w:r>
            <w:r>
              <w:rPr>
                <w:rFonts w:ascii="Times New Roman;Times;serif" w:hAnsi="Times New Roman;Times;serif"/>
                <w:b/>
                <w:sz w:val="11"/>
              </w:rPr>
              <w:t>(a)</w:t>
            </w:r>
          </w:p>
        </w:tc>
        <w:tc>
          <w:tcPr>
            <w:tcW w:w="226" w:type="dxa"/>
            <w:tcBorders/>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109"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109"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287" w:type="dxa"/>
            <w:tcBorders/>
            <w:vAlign w:val="center"/>
          </w:tcPr>
          <w:p>
            <w:pPr>
              <w:pStyle w:val="TableContents"/>
              <w:bidi w:val="0"/>
              <w:spacing w:before="0" w:after="1"/>
              <w:ind w:left="0" w:right="0" w:hanging="0"/>
              <w:jc w:val="left"/>
              <w:rPr/>
            </w:pPr>
            <w:r>
              <w:rPr/>
              <w:t>​</w:t>
            </w:r>
          </w:p>
        </w:tc>
      </w:tr>
      <w:tr>
        <w:trPr/>
        <w:tc>
          <w:tcPr>
            <w:tcW w:w="3935" w:type="dxa"/>
            <w:gridSpan w:val="3"/>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Multi-family</w:t>
            </w:r>
          </w:p>
        </w:tc>
        <w:tc>
          <w:tcPr>
            <w:tcW w:w="226" w:type="dxa"/>
            <w:tcBorders/>
            <w:shd w:fill="CCEEFF" w:val="clear"/>
            <w:vAlign w:val="center"/>
          </w:tcPr>
          <w:p>
            <w:pPr>
              <w:pStyle w:val="TableContents"/>
              <w:bidi w:val="0"/>
              <w:spacing w:before="0" w:after="1"/>
              <w:ind w:left="0" w:right="0" w:hanging="0"/>
              <w:jc w:val="center"/>
              <w:rPr/>
            </w:pPr>
            <w:r>
              <w:rPr/>
              <w:t>​</w:t>
            </w:r>
          </w:p>
        </w:tc>
        <w:tc>
          <w:tcPr>
            <w:tcW w:w="719"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center"/>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center"/>
              <w:rPr/>
            </w:pPr>
            <w:r>
              <w:rPr/>
              <w:t>​</w:t>
            </w:r>
          </w:p>
        </w:tc>
        <w:tc>
          <w:tcPr>
            <w:tcW w:w="287" w:type="dxa"/>
            <w:tcBorders/>
            <w:shd w:fill="CCEEFF" w:val="clear"/>
            <w:vAlign w:val="center"/>
          </w:tcPr>
          <w:p>
            <w:pPr>
              <w:pStyle w:val="TableContents"/>
              <w:bidi w:val="0"/>
              <w:spacing w:before="0" w:after="1"/>
              <w:ind w:left="0" w:right="0" w:hanging="0"/>
              <w:jc w:val="left"/>
              <w:rPr/>
            </w:pPr>
            <w:r>
              <w:rPr/>
              <w:t>​</w:t>
            </w:r>
          </w:p>
        </w:tc>
      </w:tr>
      <w:tr>
        <w:trPr/>
        <w:tc>
          <w:tcPr>
            <w:tcW w:w="2470"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Pier Park Crossings </w:t>
            </w:r>
            <w:r>
              <w:rPr>
                <w:rFonts w:ascii="Times New Roman;Times;serif" w:hAnsi="Times New Roman;Times;serif"/>
                <w:sz w:val="12"/>
              </w:rPr>
              <w:t>(b)</w:t>
            </w:r>
          </w:p>
        </w:tc>
        <w:tc>
          <w:tcPr>
            <w:tcW w:w="109" w:type="dxa"/>
            <w:tcBorders/>
            <w:vAlign w:val="center"/>
          </w:tcPr>
          <w:p>
            <w:pPr>
              <w:pStyle w:val="TableContents"/>
              <w:bidi w:val="0"/>
              <w:spacing w:before="0" w:after="1"/>
              <w:ind w:left="0" w:right="0" w:hanging="0"/>
              <w:jc w:val="left"/>
              <w:rPr/>
            </w:pPr>
            <w:r>
              <w:rPr/>
              <w:t>​</w:t>
            </w:r>
          </w:p>
        </w:tc>
        <w:tc>
          <w:tcPr>
            <w:tcW w:w="1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26"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2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2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7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Pier Park Crossings Phase II </w:t>
            </w:r>
            <w:r>
              <w:rPr>
                <w:rFonts w:ascii="Times New Roman;Times;serif" w:hAnsi="Times New Roman;Times;serif"/>
                <w:sz w:val="12"/>
              </w:rPr>
              <w:t>(b)</w:t>
            </w:r>
          </w:p>
        </w:tc>
        <w:tc>
          <w:tcPr>
            <w:tcW w:w="109" w:type="dxa"/>
            <w:tcBorders/>
            <w:shd w:fill="CCEEFF" w:val="clear"/>
            <w:vAlign w:val="center"/>
          </w:tcPr>
          <w:p>
            <w:pPr>
              <w:pStyle w:val="TableContents"/>
              <w:bidi w:val="0"/>
              <w:spacing w:before="0" w:after="1"/>
              <w:ind w:left="0" w:right="0" w:hanging="0"/>
              <w:jc w:val="left"/>
              <w:rPr/>
            </w:pPr>
            <w:r>
              <w:rPr/>
              <w:t>​</w:t>
            </w:r>
          </w:p>
        </w:tc>
        <w:tc>
          <w:tcPr>
            <w:tcW w:w="1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26" w:type="dxa"/>
            <w:tcBorders/>
            <w:shd w:fill="CCEEFF" w:val="clear"/>
            <w:vAlign w:val="center"/>
          </w:tcPr>
          <w:p>
            <w:pPr>
              <w:pStyle w:val="TableContents"/>
              <w:bidi w:val="0"/>
              <w:spacing w:before="0" w:after="1"/>
              <w:ind w:left="0" w:right="0" w:hanging="0"/>
              <w:jc w:val="left"/>
              <w:rPr/>
            </w:pPr>
            <w:r>
              <w:rPr/>
              <w:t>​</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2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70"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Watersound Origins Crossings </w:t>
            </w:r>
            <w:r>
              <w:rPr>
                <w:rFonts w:ascii="Times New Roman;Times;serif" w:hAnsi="Times New Roman;Times;serif"/>
                <w:sz w:val="12"/>
              </w:rPr>
              <w:t>(b)</w:t>
            </w:r>
          </w:p>
        </w:tc>
        <w:tc>
          <w:tcPr>
            <w:tcW w:w="109" w:type="dxa"/>
            <w:tcBorders/>
            <w:vAlign w:val="center"/>
          </w:tcPr>
          <w:p>
            <w:pPr>
              <w:pStyle w:val="TableContents"/>
              <w:bidi w:val="0"/>
              <w:spacing w:before="0" w:after="1"/>
              <w:ind w:left="0" w:right="0" w:hanging="0"/>
              <w:jc w:val="left"/>
              <w:rPr/>
            </w:pPr>
            <w:r>
              <w:rPr/>
              <w:t>​</w:t>
            </w:r>
          </w:p>
        </w:tc>
        <w:tc>
          <w:tcPr>
            <w:tcW w:w="1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26"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2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2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7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North Bay Landing</w:t>
            </w:r>
          </w:p>
        </w:tc>
        <w:tc>
          <w:tcPr>
            <w:tcW w:w="109" w:type="dxa"/>
            <w:tcBorders/>
            <w:shd w:fill="CCEEFF" w:val="clear"/>
            <w:vAlign w:val="center"/>
          </w:tcPr>
          <w:p>
            <w:pPr>
              <w:pStyle w:val="TableContents"/>
              <w:bidi w:val="0"/>
              <w:spacing w:before="0" w:after="1"/>
              <w:ind w:left="0" w:right="0" w:hanging="0"/>
              <w:jc w:val="left"/>
              <w:rPr/>
            </w:pPr>
            <w:r>
              <w:rPr/>
              <w:t>​</w:t>
            </w:r>
          </w:p>
        </w:tc>
        <w:tc>
          <w:tcPr>
            <w:tcW w:w="1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26" w:type="dxa"/>
            <w:tcBorders/>
            <w:shd w:fill="CCEEFF" w:val="clear"/>
            <w:vAlign w:val="center"/>
          </w:tcPr>
          <w:p>
            <w:pPr>
              <w:pStyle w:val="TableContents"/>
              <w:bidi w:val="0"/>
              <w:spacing w:before="0" w:after="1"/>
              <w:ind w:left="0" w:right="0" w:hanging="0"/>
              <w:jc w:val="left"/>
              <w:rPr/>
            </w:pPr>
            <w:r>
              <w:rPr/>
              <w:t>​</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2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70"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Mexico Beach Crossings </w:t>
            </w:r>
            <w:r>
              <w:rPr>
                <w:rFonts w:ascii="Times New Roman;Times;serif" w:hAnsi="Times New Roman;Times;serif"/>
                <w:sz w:val="12"/>
              </w:rPr>
              <w:t>(b)</w:t>
            </w:r>
          </w:p>
        </w:tc>
        <w:tc>
          <w:tcPr>
            <w:tcW w:w="109" w:type="dxa"/>
            <w:tcBorders/>
            <w:vAlign w:val="center"/>
          </w:tcPr>
          <w:p>
            <w:pPr>
              <w:pStyle w:val="TableContents"/>
              <w:bidi w:val="0"/>
              <w:spacing w:before="0" w:after="1"/>
              <w:ind w:left="0" w:right="0" w:hanging="0"/>
              <w:jc w:val="left"/>
              <w:rPr/>
            </w:pPr>
            <w:r>
              <w:rPr/>
              <w:t>​</w:t>
            </w:r>
          </w:p>
        </w:tc>
        <w:tc>
          <w:tcPr>
            <w:tcW w:w="1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26"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2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2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7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Watersound Villas on the Fairway </w:t>
            </w:r>
            <w:r>
              <w:rPr>
                <w:rFonts w:ascii="Times New Roman;Times;serif" w:hAnsi="Times New Roman;Times;serif"/>
                <w:sz w:val="12"/>
              </w:rPr>
              <w:t>(c)</w:t>
            </w:r>
          </w:p>
        </w:tc>
        <w:tc>
          <w:tcPr>
            <w:tcW w:w="109" w:type="dxa"/>
            <w:tcBorders/>
            <w:shd w:fill="CCEEFF" w:val="clear"/>
            <w:vAlign w:val="center"/>
          </w:tcPr>
          <w:p>
            <w:pPr>
              <w:pStyle w:val="TableContents"/>
              <w:bidi w:val="0"/>
              <w:spacing w:before="0" w:after="1"/>
              <w:ind w:left="0" w:right="0" w:hanging="0"/>
              <w:jc w:val="left"/>
              <w:rPr/>
            </w:pPr>
            <w:r>
              <w:rPr/>
              <w:t>​</w:t>
            </w:r>
          </w:p>
        </w:tc>
        <w:tc>
          <w:tcPr>
            <w:tcW w:w="1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26" w:type="dxa"/>
            <w:tcBorders/>
            <w:shd w:fill="CCEEFF" w:val="clear"/>
            <w:vAlign w:val="center"/>
          </w:tcPr>
          <w:p>
            <w:pPr>
              <w:pStyle w:val="TableContents"/>
              <w:bidi w:val="0"/>
              <w:spacing w:before="0" w:after="1"/>
              <w:ind w:left="0" w:right="0" w:hanging="0"/>
              <w:jc w:val="left"/>
              <w:rPr/>
            </w:pPr>
            <w:r>
              <w:rPr/>
              <w:t>​</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2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2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7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WindMark Beach</w:t>
            </w:r>
          </w:p>
        </w:tc>
        <w:tc>
          <w:tcPr>
            <w:tcW w:w="109" w:type="dxa"/>
            <w:tcBorders/>
            <w:vAlign w:val="center"/>
          </w:tcPr>
          <w:p>
            <w:pPr>
              <w:pStyle w:val="TableContents"/>
              <w:bidi w:val="0"/>
              <w:spacing w:before="0" w:after="1"/>
              <w:ind w:left="0" w:right="0" w:hanging="0"/>
              <w:jc w:val="left"/>
              <w:rPr/>
            </w:pPr>
            <w:r>
              <w:rPr/>
              <w:t>​</w:t>
            </w:r>
          </w:p>
        </w:tc>
        <w:tc>
          <w:tcPr>
            <w:tcW w:w="1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Gulf County, FL</w:t>
            </w:r>
          </w:p>
        </w:tc>
        <w:tc>
          <w:tcPr>
            <w:tcW w:w="226" w:type="dxa"/>
            <w:tcBorders/>
            <w:vAlign w:val="center"/>
          </w:tcPr>
          <w:p>
            <w:pPr>
              <w:pStyle w:val="TableContents"/>
              <w:bidi w:val="0"/>
              <w:spacing w:before="0" w:after="1"/>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22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109" w:type="dxa"/>
            <w:tcBorders/>
            <w:vAlign w:val="center"/>
          </w:tcPr>
          <w:p>
            <w:pPr>
              <w:pStyle w:val="TableContents"/>
              <w:bidi w:val="0"/>
              <w:spacing w:before="0" w:after="1"/>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109" w:type="dxa"/>
            <w:tcBorders/>
            <w:vAlign w:val="center"/>
          </w:tcPr>
          <w:p>
            <w:pPr>
              <w:pStyle w:val="TableContents"/>
              <w:bidi w:val="0"/>
              <w:spacing w:before="0" w:after="1"/>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c>
          <w:tcPr>
            <w:tcW w:w="2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935" w:type="dxa"/>
            <w:gridSpan w:val="3"/>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Total multi-family units</w:t>
            </w:r>
            <w:r>
              <w:rPr>
                <w:rFonts w:ascii="Times New Roman;Times;serif" w:hAnsi="Times New Roman;Times;serif"/>
                <w:sz w:val="16"/>
              </w:rPr>
              <w:t xml:space="preserve"> </w:t>
            </w:r>
            <w:r>
              <w:rPr>
                <w:rFonts w:ascii="Times New Roman;Times;serif" w:hAnsi="Times New Roman;Times;serif"/>
                <w:b/>
                <w:sz w:val="12"/>
              </w:rPr>
              <w:t>(d)</w:t>
            </w:r>
          </w:p>
        </w:tc>
        <w:tc>
          <w:tcPr>
            <w:tcW w:w="226" w:type="dxa"/>
            <w:tcBorders/>
            <w:shd w:fill="CCEEFF" w:val="clear"/>
            <w:vAlign w:val="center"/>
          </w:tcPr>
          <w:p>
            <w:pPr>
              <w:pStyle w:val="TableContents"/>
              <w:bidi w:val="0"/>
              <w:spacing w:before="0" w:after="1"/>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1,064</w:t>
            </w:r>
          </w:p>
        </w:tc>
        <w:tc>
          <w:tcPr>
            <w:tcW w:w="2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1,064</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1,024</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96</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1,104</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988</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r>
      <w:tr>
        <w:trPr/>
        <w:tc>
          <w:tcPr>
            <w:tcW w:w="3935" w:type="dxa"/>
            <w:gridSpan w:val="3"/>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Senior living</w:t>
            </w:r>
          </w:p>
        </w:tc>
        <w:tc>
          <w:tcPr>
            <w:tcW w:w="226" w:type="dxa"/>
            <w:tcBorders/>
            <w:shd w:fill="CCEEFF" w:val="clear"/>
            <w:vAlign w:val="center"/>
          </w:tcPr>
          <w:p>
            <w:pPr>
              <w:pStyle w:val="TableContents"/>
              <w:bidi w:val="0"/>
              <w:spacing w:before="0" w:after="1"/>
              <w:ind w:left="0" w:right="0" w:hanging="0"/>
              <w:jc w:val="left"/>
              <w:rPr/>
            </w:pPr>
            <w:r>
              <w:rPr/>
              <w:t>​</w:t>
            </w:r>
          </w:p>
        </w:tc>
        <w:tc>
          <w:tcPr>
            <w:tcW w:w="71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r>
      <w:tr>
        <w:trPr/>
        <w:tc>
          <w:tcPr>
            <w:tcW w:w="2470"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Watersound Fountains </w:t>
            </w:r>
            <w:r>
              <w:rPr>
                <w:rFonts w:ascii="Times New Roman;Times;serif" w:hAnsi="Times New Roman;Times;serif"/>
                <w:sz w:val="12"/>
              </w:rPr>
              <w:t>(e)</w:t>
            </w:r>
          </w:p>
        </w:tc>
        <w:tc>
          <w:tcPr>
            <w:tcW w:w="109" w:type="dxa"/>
            <w:tcBorders/>
            <w:vAlign w:val="center"/>
          </w:tcPr>
          <w:p>
            <w:pPr>
              <w:pStyle w:val="TableContents"/>
              <w:bidi w:val="0"/>
              <w:spacing w:before="0" w:after="1"/>
              <w:ind w:left="0" w:right="0" w:hanging="0"/>
              <w:jc w:val="left"/>
              <w:rPr/>
            </w:pPr>
            <w:r>
              <w:rPr/>
              <w:t>​</w:t>
            </w:r>
          </w:p>
        </w:tc>
        <w:tc>
          <w:tcPr>
            <w:tcW w:w="1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26" w:type="dxa"/>
            <w:tcBorders/>
            <w:vAlign w:val="center"/>
          </w:tcPr>
          <w:p>
            <w:pPr>
              <w:pStyle w:val="TableContents"/>
              <w:bidi w:val="0"/>
              <w:spacing w:before="0" w:after="1"/>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c>
          <w:tcPr>
            <w:tcW w:w="22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c>
          <w:tcPr>
            <w:tcW w:w="109"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c>
          <w:tcPr>
            <w:tcW w:w="109"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w:t>
            </w:r>
          </w:p>
        </w:tc>
        <w:tc>
          <w:tcPr>
            <w:tcW w:w="2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935" w:type="dxa"/>
            <w:gridSpan w:val="3"/>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senior living units</w:t>
            </w:r>
          </w:p>
        </w:tc>
        <w:tc>
          <w:tcPr>
            <w:tcW w:w="226" w:type="dxa"/>
            <w:tcBorders/>
            <w:shd w:fill="CCEEFF" w:val="clear"/>
            <w:vAlign w:val="center"/>
          </w:tcPr>
          <w:p>
            <w:pPr>
              <w:pStyle w:val="TableContents"/>
              <w:bidi w:val="0"/>
              <w:spacing w:before="0" w:after="1"/>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148</w:t>
            </w:r>
          </w:p>
        </w:tc>
        <w:tc>
          <w:tcPr>
            <w:tcW w:w="2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148</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148</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47</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935" w:type="dxa"/>
            <w:gridSpan w:val="3"/>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units</w:t>
            </w:r>
          </w:p>
        </w:tc>
        <w:tc>
          <w:tcPr>
            <w:tcW w:w="226" w:type="dxa"/>
            <w:tcBorders/>
            <w:vAlign w:val="center"/>
          </w:tcPr>
          <w:p>
            <w:pPr>
              <w:pStyle w:val="TableContents"/>
              <w:bidi w:val="0"/>
              <w:spacing w:before="0" w:after="1"/>
              <w:ind w:left="0" w:right="0" w:hanging="0"/>
              <w:jc w:val="left"/>
              <w:rPr/>
            </w:pPr>
            <w:r>
              <w:rPr/>
              <w:t>​</w:t>
            </w:r>
          </w:p>
        </w:tc>
        <w:tc>
          <w:tcPr>
            <w:tcW w:w="7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1,212</w:t>
            </w:r>
          </w:p>
        </w:tc>
        <w:tc>
          <w:tcPr>
            <w:tcW w:w="22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1,212</w:t>
            </w:r>
          </w:p>
        </w:tc>
        <w:tc>
          <w:tcPr>
            <w:tcW w:w="109" w:type="dxa"/>
            <w:tcBorders/>
            <w:vAlign w:val="center"/>
          </w:tcPr>
          <w:p>
            <w:pPr>
              <w:pStyle w:val="TableContents"/>
              <w:bidi w:val="0"/>
              <w:spacing w:before="0" w:after="1"/>
              <w:ind w:left="0" w:right="0" w:hanging="0"/>
              <w:jc w:val="right"/>
              <w:rPr/>
            </w:pPr>
            <w:r>
              <w:rPr/>
              <w:t>​</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1,104</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91</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1,252</w:t>
            </w:r>
          </w:p>
        </w:tc>
        <w:tc>
          <w:tcPr>
            <w:tcW w:w="109" w:type="dxa"/>
            <w:tcBorders/>
            <w:vAlign w:val="center"/>
          </w:tcPr>
          <w:p>
            <w:pPr>
              <w:pStyle w:val="TableContents"/>
              <w:bidi w:val="0"/>
              <w:spacing w:before="0" w:after="1"/>
              <w:ind w:left="0" w:right="0" w:hanging="0"/>
              <w:jc w:val="right"/>
              <w:rPr/>
            </w:pPr>
            <w:r>
              <w:rPr/>
              <w:t>​</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1,057</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84</w:t>
            </w:r>
          </w:p>
        </w:tc>
        <w:tc>
          <w:tcPr>
            <w:tcW w:w="2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tbl>
      <w:tblPr>
        <w:tblW w:w="5807" w:type="dxa"/>
        <w:jc w:val="left"/>
        <w:tblInd w:w="0" w:type="dxa"/>
        <w:tblLayout w:type="fixed"/>
        <w:tblCellMar>
          <w:top w:w="0" w:type="dxa"/>
          <w:left w:w="0" w:type="dxa"/>
          <w:bottom w:w="0" w:type="dxa"/>
          <w:right w:w="0" w:type="dxa"/>
        </w:tblCellMar>
      </w:tblPr>
      <w:tblGrid>
        <w:gridCol w:w="316"/>
        <w:gridCol w:w="549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4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have additional multi-family communities in various stages of planning.</w:t>
            </w:r>
          </w:p>
        </w:tc>
      </w:tr>
    </w:tbl>
    <w:tbl>
      <w:tblPr>
        <w:tblW w:w="7157" w:type="dxa"/>
        <w:jc w:val="left"/>
        <w:tblInd w:w="0" w:type="dxa"/>
        <w:tblLayout w:type="fixed"/>
        <w:tblCellMar>
          <w:top w:w="0" w:type="dxa"/>
          <w:left w:w="0" w:type="dxa"/>
          <w:bottom w:w="0" w:type="dxa"/>
          <w:right w:w="0" w:type="dxa"/>
        </w:tblCellMar>
      </w:tblPr>
      <w:tblGrid>
        <w:gridCol w:w="331"/>
        <w:gridCol w:w="682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68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Property is related to a consolidated JV.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23" w:type="dxa"/>
            <w:tcBorders/>
            <w:vAlign w:val="center"/>
          </w:tcPr>
          <w:p>
            <w:pPr>
              <w:pStyle w:val="TableContents"/>
              <w:bidi w:val="0"/>
              <w:spacing w:before="0" w:after="283"/>
              <w:jc w:val="left"/>
              <w:rPr/>
            </w:pPr>
            <w:r>
              <w:rPr>
                <w:rFonts w:ascii="TimesNewRomanPSMT" w:hAnsi="TimesNewRomanPSMT"/>
                <w:b w:val="false"/>
                <w:i w:val="false"/>
                <w:caps w:val="false"/>
                <w:smallCaps w:val="false"/>
                <w:sz w:val="18"/>
              </w:rPr>
              <w:t>In January 2025, the townhomes were platted as individual units, which created the ability to sell them individually. We are no longer entering into new leases. As of June 30, 2026, the townhomes are</w:t>
            </w:r>
            <w:r>
              <w:rPr>
                <w:caps w:val="false"/>
                <w:smallCaps w:val="false"/>
              </w:rPr>
              <w:t xml:space="preserve"> </w:t>
            </w:r>
            <w:r>
              <w:rPr>
                <w:rFonts w:ascii="Times New Roman;Times;serif" w:hAnsi="Times New Roman;Times;serif"/>
                <w:b w:val="false"/>
                <w:i w:val="false"/>
                <w:caps w:val="false"/>
                <w:smallCaps w:val="false"/>
                <w:sz w:val="18"/>
              </w:rPr>
              <w:t>included within our residential segment</w:t>
            </w:r>
            <w:r>
              <w:rPr>
                <w:rFonts w:ascii="TimesNewRomanPSMT" w:hAnsi="TimesNewRomanPSMT"/>
                <w:b w:val="false"/>
                <w:i w:val="false"/>
                <w:caps w:val="false"/>
                <w:smallCaps w:val="false"/>
                <w:sz w:val="18"/>
              </w:rPr>
              <w:t>.</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11" w:type="dxa"/>
            <w:tcBorders/>
            <w:vAlign w:val="center"/>
          </w:tcPr>
          <w:p>
            <w:pPr>
              <w:pStyle w:val="TableContents"/>
              <w:bidi w:val="0"/>
              <w:spacing w:before="0" w:after="283"/>
              <w:jc w:val="left"/>
              <w:rPr/>
            </w:pPr>
            <w:r>
              <w:rPr>
                <w:rFonts w:ascii="TimesNewRomanPSMT" w:hAnsi="TimesNewRomanPSMT"/>
                <w:b w:val="false"/>
                <w:i w:val="false"/>
                <w:caps w:val="false"/>
                <w:smallCaps w:val="false"/>
                <w:sz w:val="18"/>
              </w:rPr>
              <w:t xml:space="preserve">All multi-family communities are managed by our unconsolidated Watersound Management JV. The Watersound Management JV is unconsolidated and is accounted for using the equity method. See Note 4. </w:t>
            </w:r>
            <w:r>
              <w:rPr>
                <w:rFonts w:ascii="TimesNewRomanPS-ItalicMT" w:hAnsi="TimesNewRomanPS-ItalicMT"/>
                <w:b w:val="false"/>
                <w:i/>
                <w:sz w:val="18"/>
              </w:rPr>
              <w:t xml:space="preserve">Joint Ventures </w:t>
            </w:r>
            <w:r>
              <w:rPr>
                <w:rFonts w:ascii="TimesNewRomanPSMT" w:hAnsi="TimesNewRomanPSMT"/>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99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The community is under lease-up. The senior living community is operated by our JV partner. The Watersound Fountains Independent Living JV is unconsolidated and is accounted for using the equity method. </w:t>
            </w:r>
            <w:r>
              <w:rPr>
                <w:rFonts w:ascii="TimesNewRomanPSMT" w:hAnsi="TimesNewRomanPSMT"/>
                <w:b w:val="false"/>
                <w:i w:val="false"/>
                <w:caps w:val="false"/>
                <w:smallCaps w:val="false"/>
                <w:sz w:val="18"/>
              </w:rPr>
              <w:t xml:space="preserve">See Note 4. </w:t>
            </w:r>
            <w:r>
              <w:rPr>
                <w:rFonts w:ascii="TimesNewRomanPS-ItalicMT" w:hAnsi="TimesNewRomanPS-ItalicMT"/>
                <w:b w:val="false"/>
                <w:i/>
                <w:sz w:val="18"/>
              </w:rPr>
              <w:t xml:space="preserve">Joint Ventures </w:t>
            </w:r>
            <w:r>
              <w:rPr>
                <w:rFonts w:ascii="TimesNewRomanPSMT" w:hAnsi="TimesNewRomanPSMT"/>
                <w:b w:val="false"/>
                <w:i w:val="false"/>
                <w:caps w:val="false"/>
                <w:smallCaps w:val="false"/>
                <w:sz w:val="18"/>
              </w:rPr>
              <w:t>for additional information.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our leasing portfolio consists of approximately 1,196,000 square feet of leasable space for mixed-use, retail, industrial, office, self-storage and medical uses. Through separate unconsolidated JVs, </w:t>
      </w:r>
      <w:r>
        <w:rPr>
          <w:rFonts w:ascii="TimesNewRomanPSMT" w:hAnsi="TimesNewRomanPSMT"/>
          <w:sz w:val="20"/>
        </w:rPr>
        <w:t xml:space="preserve">other commercial properties that are operated by our JV partners include a 124-room TownePlace Suites by Marriott, a 121-room </w:t>
      </w:r>
      <w:r>
        <w:rPr>
          <w:rFonts w:ascii="Times New Roman;Times;serif" w:hAnsi="Times New Roman;Times;serif"/>
          <w:sz w:val="20"/>
        </w:rPr>
        <w:t xml:space="preserve">Residence Inn, </w:t>
      </w:r>
      <w:r>
        <w:rPr>
          <w:rFonts w:ascii="TimesNewRomanPSMT" w:hAnsi="TimesNewRomanPSMT"/>
          <w:sz w:val="20"/>
        </w:rPr>
        <w:t>a Busy Bee branded fuel station and convenience store</w:t>
      </w:r>
      <w:r>
        <w:rPr>
          <w:rFonts w:ascii="Times New Roman;Times;serif" w:hAnsi="Times New Roman;Times;serif"/>
          <w:sz w:val="20"/>
        </w:rPr>
        <w:t xml:space="preserve">, which includes a Starbucks, </w:t>
      </w:r>
      <w:r>
        <w:rPr>
          <w:rFonts w:ascii="TimesNewRomanPSMT" w:hAnsi="TimesNewRomanPSMT"/>
          <w:sz w:val="20"/>
        </w:rPr>
        <w:t>and a golf cart sales and service facility, all located in Bay County, Florida.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total net leasable building square feet and percentage leased of leasing properties are as follows:</w:t>
      </w:r>
    </w:p>
    <w:tbl>
      <w:tblPr>
        <w:tblW w:w="10205" w:type="dxa"/>
        <w:jc w:val="left"/>
        <w:tblInd w:w="0" w:type="dxa"/>
        <w:tblLayout w:type="fixed"/>
        <w:tblCellMar>
          <w:top w:w="0" w:type="dxa"/>
          <w:left w:w="0" w:type="dxa"/>
          <w:bottom w:w="0" w:type="dxa"/>
          <w:right w:w="0" w:type="dxa"/>
        </w:tblCellMar>
      </w:tblPr>
      <w:tblGrid>
        <w:gridCol w:w="2436"/>
        <w:gridCol w:w="346"/>
        <w:gridCol w:w="2269"/>
        <w:gridCol w:w="346"/>
        <w:gridCol w:w="826"/>
        <w:gridCol w:w="346"/>
        <w:gridCol w:w="781"/>
        <w:gridCol w:w="373"/>
        <w:gridCol w:w="109"/>
        <w:gridCol w:w="826"/>
        <w:gridCol w:w="346"/>
        <w:gridCol w:w="781"/>
        <w:gridCol w:w="420"/>
      </w:tblGrid>
      <w:tr>
        <w:trPr/>
        <w:tc>
          <w:tcPr>
            <w:tcW w:w="2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546860" cy="175260"/>
                      <wp:effectExtent l="0" t="0" r="0" b="0"/>
                      <wp:wrapNone/>
                      <wp:docPr id="654" name="Frame654"/>
                      <a:graphic xmlns:a="http://schemas.openxmlformats.org/drawingml/2006/main">
                        <a:graphicData uri="http://schemas.microsoft.com/office/word/2010/wordprocessingShape">
                          <wps:wsp>
                            <wps:cNvSpPr txBox="1"/>
                            <wps:spPr>
                              <a:xfrm>
                                <a:off x="0" y="0"/>
                                <a:ext cx="154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19710" cy="175260"/>
                      <wp:effectExtent l="0" t="0" r="0" b="0"/>
                      <wp:wrapNone/>
                      <wp:docPr id="655" name="Frame6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440815" cy="175260"/>
                      <wp:effectExtent l="0" t="0" r="0" b="0"/>
                      <wp:wrapNone/>
                      <wp:docPr id="656" name="Frame656"/>
                      <a:graphic xmlns:a="http://schemas.openxmlformats.org/drawingml/2006/main">
                        <a:graphicData uri="http://schemas.microsoft.com/office/word/2010/wordprocessingShape">
                          <wps:wsp>
                            <wps:cNvSpPr txBox="1"/>
                            <wps:spPr>
                              <a:xfrm>
                                <a:off x="0" y="0"/>
                                <a:ext cx="144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19710" cy="175260"/>
                      <wp:effectExtent l="0" t="0" r="0" b="0"/>
                      <wp:wrapNone/>
                      <wp:docPr id="657" name="Frame6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524510" cy="175260"/>
                      <wp:effectExtent l="0" t="0" r="0" b="0"/>
                      <wp:wrapNone/>
                      <wp:docPr id="658" name="Frame6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19710" cy="175260"/>
                      <wp:effectExtent l="0" t="0" r="0" b="0"/>
                      <wp:wrapNone/>
                      <wp:docPr id="659" name="Frame6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495935" cy="175260"/>
                      <wp:effectExtent l="0" t="0" r="0" b="0"/>
                      <wp:wrapNone/>
                      <wp:docPr id="660" name="Frame6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36855" cy="175260"/>
                      <wp:effectExtent l="0" t="0" r="0" b="0"/>
                      <wp:wrapNone/>
                      <wp:docPr id="661" name="Frame661"/>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9215" cy="175260"/>
                      <wp:effectExtent l="0" t="0" r="0" b="0"/>
                      <wp:wrapNone/>
                      <wp:docPr id="662" name="Frame6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524510" cy="175260"/>
                      <wp:effectExtent l="0" t="0" r="0" b="0"/>
                      <wp:wrapNone/>
                      <wp:docPr id="663" name="Frame66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19710" cy="175260"/>
                      <wp:effectExtent l="0" t="0" r="0" b="0"/>
                      <wp:wrapNone/>
                      <wp:docPr id="664" name="Frame6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495935" cy="175260"/>
                      <wp:effectExtent l="0" t="0" r="0" b="0"/>
                      <wp:wrapNone/>
                      <wp:docPr id="665" name="Frame6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66700" cy="175260"/>
                      <wp:effectExtent l="0" t="0" r="0" b="0"/>
                      <wp:wrapNone/>
                      <wp:docPr id="666" name="Frame66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420" w:type="dxa"/>
            <w:tcBorders/>
            <w:vAlign w:val="center"/>
          </w:tcPr>
          <w:p>
            <w:pPr>
              <w:pStyle w:val="TableContents"/>
              <w:bidi w:val="0"/>
              <w:spacing w:before="0" w:after="1"/>
              <w:ind w:left="0" w:right="0" w:hanging="0"/>
              <w:jc w:val="center"/>
              <w:rPr/>
            </w:pPr>
            <w:r>
              <w:rPr/>
              <w:t>​</w:t>
            </w:r>
          </w:p>
        </w:tc>
      </w:tr>
      <w:tr>
        <w:trPr/>
        <w:tc>
          <w:tcPr>
            <w:tcW w:w="2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73"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420" w:type="dxa"/>
            <w:tcBorders/>
            <w:vAlign w:val="center"/>
          </w:tcPr>
          <w:p>
            <w:pPr>
              <w:pStyle w:val="TableContents"/>
              <w:bidi w:val="0"/>
              <w:spacing w:before="0" w:after="1"/>
              <w:ind w:left="0" w:right="0" w:hanging="0"/>
              <w:jc w:val="center"/>
              <w:rPr/>
            </w:pPr>
            <w:r>
              <w:rPr/>
              <w:t>​</w:t>
            </w:r>
          </w:p>
        </w:tc>
      </w:tr>
      <w:tr>
        <w:trPr/>
        <w:tc>
          <w:tcPr>
            <w:tcW w:w="2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Leasable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Leasable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420" w:type="dxa"/>
            <w:tcBorders/>
            <w:vAlign w:val="center"/>
          </w:tcPr>
          <w:p>
            <w:pPr>
              <w:pStyle w:val="TableContents"/>
              <w:bidi w:val="0"/>
              <w:spacing w:before="0" w:after="1"/>
              <w:ind w:left="0" w:right="0" w:hanging="0"/>
              <w:jc w:val="center"/>
              <w:rPr/>
            </w:pPr>
            <w:r>
              <w:rPr/>
              <w:t>​</w:t>
            </w:r>
          </w:p>
        </w:tc>
      </w:tr>
      <w:tr>
        <w:trPr/>
        <w:tc>
          <w:tcPr>
            <w:tcW w:w="2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Square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Percentage</w:t>
            </w:r>
          </w:p>
        </w:tc>
        <w:tc>
          <w:tcPr>
            <w:tcW w:w="3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Square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Percentage</w:t>
            </w:r>
          </w:p>
        </w:tc>
        <w:tc>
          <w:tcPr>
            <w:tcW w:w="420" w:type="dxa"/>
            <w:tcBorders/>
            <w:vAlign w:val="center"/>
          </w:tcPr>
          <w:p>
            <w:pPr>
              <w:pStyle w:val="TableContents"/>
              <w:bidi w:val="0"/>
              <w:spacing w:before="0" w:after="1"/>
              <w:ind w:left="0" w:right="0" w:hanging="0"/>
              <w:jc w:val="center"/>
              <w:rPr/>
            </w:pPr>
            <w:r>
              <w:rPr/>
              <w:t>​</w:t>
            </w:r>
          </w:p>
        </w:tc>
      </w:tr>
      <w:tr>
        <w:trPr/>
        <w:tc>
          <w:tcPr>
            <w:tcW w:w="2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Location</w:t>
            </w:r>
          </w:p>
        </w:tc>
        <w:tc>
          <w:tcPr>
            <w:tcW w:w="34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Feet*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Leased</w:t>
            </w:r>
          </w:p>
        </w:tc>
        <w:tc>
          <w:tcPr>
            <w:tcW w:w="3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Feet*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Leased</w:t>
            </w:r>
          </w:p>
        </w:tc>
        <w:tc>
          <w:tcPr>
            <w:tcW w:w="420" w:type="dxa"/>
            <w:tcBorders/>
            <w:vAlign w:val="center"/>
          </w:tcPr>
          <w:p>
            <w:pPr>
              <w:pStyle w:val="TableContents"/>
              <w:bidi w:val="0"/>
              <w:spacing w:before="0" w:after="1"/>
              <w:ind w:left="0" w:right="0" w:hanging="0"/>
              <w:jc w:val="center"/>
              <w:rPr/>
            </w:pPr>
            <w:r>
              <w:rPr/>
              <w:t>​</w:t>
            </w:r>
          </w:p>
        </w:tc>
      </w:tr>
      <w:tr>
        <w:trPr/>
        <w:tc>
          <w:tcPr>
            <w:tcW w:w="24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Pier Park North</w:t>
            </w:r>
            <w:r>
              <w:rPr>
                <w:rFonts w:ascii="Times New Roman;Times;serif" w:hAnsi="Times New Roman;Times;serif"/>
                <w:sz w:val="16"/>
              </w:rPr>
              <w:t xml:space="preserve"> </w:t>
            </w:r>
            <w:r>
              <w:rPr>
                <w:rFonts w:ascii="Times New Roman;Times;serif" w:hAnsi="Times New Roman;Times;serif"/>
                <w:sz w:val="13"/>
              </w:rPr>
              <w:t>(a) (b)</w:t>
            </w:r>
          </w:p>
        </w:tc>
        <w:tc>
          <w:tcPr>
            <w:tcW w:w="346" w:type="dxa"/>
            <w:tcBorders/>
            <w:shd w:fill="CCEEFF" w:val="clear"/>
            <w:vAlign w:val="center"/>
          </w:tcPr>
          <w:p>
            <w:pPr>
              <w:pStyle w:val="TableContents"/>
              <w:bidi w:val="0"/>
              <w:spacing w:before="0" w:after="1"/>
              <w:ind w:left="0" w:right="0" w:hanging="0"/>
              <w:jc w:val="left"/>
              <w:rPr/>
            </w:pPr>
            <w:r>
              <w:rPr/>
              <w:t> </w:t>
            </w:r>
          </w:p>
        </w:tc>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318,278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  </w:t>
            </w:r>
            <w:r>
              <w:rPr>
                <w:rFonts w:ascii="Times New Roman;Times;serif" w:hAnsi="Times New Roman;Times;serif"/>
                <w:sz w:val="16"/>
              </w:rPr>
              <w:t xml:space="preserve">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320,310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  </w:t>
            </w:r>
            <w:r>
              <w:rPr>
                <w:rFonts w:ascii="Times New Roman;Times;serif" w:hAnsi="Times New Roman;Times;serif"/>
                <w:sz w:val="16"/>
              </w:rPr>
              <w:t xml:space="preserve"> </w:t>
            </w:r>
          </w:p>
        </w:tc>
      </w:tr>
      <w:tr>
        <w:trPr/>
        <w:tc>
          <w:tcPr>
            <w:tcW w:w="243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VentureCrossings</w:t>
            </w:r>
          </w:p>
        </w:tc>
        <w:tc>
          <w:tcPr>
            <w:tcW w:w="346" w:type="dxa"/>
            <w:tcBorders/>
            <w:vAlign w:val="center"/>
          </w:tcPr>
          <w:p>
            <w:pPr>
              <w:pStyle w:val="TableContents"/>
              <w:bidi w:val="0"/>
              <w:spacing w:before="0" w:after="1"/>
              <w:ind w:left="0" w:right="0" w:hanging="0"/>
              <w:jc w:val="left"/>
              <w:rPr/>
            </w:pPr>
            <w:r>
              <w:rPr/>
              <w:t> </w:t>
            </w:r>
          </w:p>
        </w:tc>
        <w:tc>
          <w:tcPr>
            <w:tcW w:w="226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303,605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303,605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Watersound Town Center</w:t>
            </w:r>
            <w:r>
              <w:rPr>
                <w:rFonts w:ascii="Times New Roman;Times;serif" w:hAnsi="Times New Roman;Times;serif"/>
                <w:sz w:val="16"/>
              </w:rPr>
              <w:t xml:space="preserve"> </w:t>
            </w:r>
            <w:r>
              <w:rPr>
                <w:rFonts w:ascii="Times New Roman;Times;serif" w:hAnsi="Times New Roman;Times;serif"/>
                <w:sz w:val="13"/>
              </w:rPr>
              <w:t>(c) (d)</w:t>
            </w:r>
          </w:p>
        </w:tc>
        <w:tc>
          <w:tcPr>
            <w:tcW w:w="346" w:type="dxa"/>
            <w:tcBorders/>
            <w:shd w:fill="CCEEFF" w:val="clear"/>
            <w:vAlign w:val="center"/>
          </w:tcPr>
          <w:p>
            <w:pPr>
              <w:pStyle w:val="TableContents"/>
              <w:bidi w:val="0"/>
              <w:spacing w:before="0" w:after="1"/>
              <w:ind w:left="0" w:right="0" w:hanging="0"/>
              <w:jc w:val="left"/>
              <w:rPr/>
            </w:pPr>
            <w:r>
              <w:rPr/>
              <w:t>​</w:t>
            </w:r>
          </w:p>
        </w:tc>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161,108</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98</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149,210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98</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Beckrich Office Park</w:t>
            </w:r>
            <w:r>
              <w:rPr>
                <w:rFonts w:ascii="Times New Roman;Times;serif" w:hAnsi="Times New Roman;Times;serif"/>
                <w:sz w:val="16"/>
              </w:rPr>
              <w:t xml:space="preserve"> </w:t>
            </w:r>
            <w:r>
              <w:rPr>
                <w:rFonts w:ascii="Times New Roman;Times;serif" w:hAnsi="Times New Roman;Times;serif"/>
                <w:sz w:val="13"/>
              </w:rPr>
              <w:t>(d) (e)</w:t>
            </w:r>
          </w:p>
        </w:tc>
        <w:tc>
          <w:tcPr>
            <w:tcW w:w="346" w:type="dxa"/>
            <w:tcBorders/>
            <w:vAlign w:val="center"/>
          </w:tcPr>
          <w:p>
            <w:pPr>
              <w:pStyle w:val="TableContents"/>
              <w:bidi w:val="0"/>
              <w:spacing w:before="0" w:after="1"/>
              <w:ind w:left="0" w:right="0" w:hanging="0"/>
              <w:jc w:val="left"/>
              <w:rPr/>
            </w:pPr>
            <w:r>
              <w:rPr/>
              <w:t> </w:t>
            </w:r>
          </w:p>
        </w:tc>
        <w:tc>
          <w:tcPr>
            <w:tcW w:w="226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80,675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87</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80,675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87</w:t>
            </w:r>
          </w:p>
        </w:tc>
        <w:tc>
          <w:tcPr>
            <w:tcW w:w="42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FSU/TMH Medical Campus</w:t>
            </w:r>
          </w:p>
        </w:tc>
        <w:tc>
          <w:tcPr>
            <w:tcW w:w="346" w:type="dxa"/>
            <w:tcBorders/>
            <w:shd w:fill="CCEEFF" w:val="clear"/>
            <w:vAlign w:val="center"/>
          </w:tcPr>
          <w:p>
            <w:pPr>
              <w:pStyle w:val="TableContents"/>
              <w:bidi w:val="0"/>
              <w:spacing w:before="0" w:after="1"/>
              <w:ind w:left="0" w:right="0" w:hanging="0"/>
              <w:jc w:val="left"/>
              <w:rPr/>
            </w:pPr>
            <w:r>
              <w:rPr/>
              <w:t>​</w:t>
            </w:r>
          </w:p>
        </w:tc>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78,670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78,670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Watersound Self-Storage</w:t>
            </w:r>
          </w:p>
        </w:tc>
        <w:tc>
          <w:tcPr>
            <w:tcW w:w="346" w:type="dxa"/>
            <w:tcBorders/>
            <w:vAlign w:val="center"/>
          </w:tcPr>
          <w:p>
            <w:pPr>
              <w:pStyle w:val="TableContents"/>
              <w:bidi w:val="0"/>
              <w:spacing w:before="0" w:after="1"/>
              <w:ind w:left="0" w:right="0" w:hanging="0"/>
              <w:jc w:val="left"/>
              <w:rPr/>
            </w:pPr>
            <w:r>
              <w:rPr/>
              <w:t>​</w:t>
            </w:r>
          </w:p>
        </w:tc>
        <w:tc>
          <w:tcPr>
            <w:tcW w:w="226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67,694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94</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67,694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93</w:t>
            </w:r>
          </w:p>
        </w:tc>
        <w:tc>
          <w:tcPr>
            <w:tcW w:w="42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WindMark Beach Town Center</w:t>
            </w:r>
            <w:r>
              <w:rPr>
                <w:rFonts w:ascii="Times New Roman;Times;serif" w:hAnsi="Times New Roman;Times;serif"/>
                <w:sz w:val="16"/>
              </w:rPr>
              <w:t xml:space="preserve"> </w:t>
            </w:r>
            <w:r>
              <w:rPr>
                <w:rFonts w:ascii="Times New Roman;Times;serif" w:hAnsi="Times New Roman;Times;serif"/>
                <w:sz w:val="13"/>
              </w:rPr>
              <w:t>(d) (f)</w:t>
            </w:r>
          </w:p>
        </w:tc>
        <w:tc>
          <w:tcPr>
            <w:tcW w:w="346" w:type="dxa"/>
            <w:tcBorders/>
            <w:shd w:fill="CCEEFF" w:val="clear"/>
            <w:vAlign w:val="center"/>
          </w:tcPr>
          <w:p>
            <w:pPr>
              <w:pStyle w:val="TableContents"/>
              <w:bidi w:val="0"/>
              <w:spacing w:before="0" w:after="1"/>
              <w:ind w:left="0" w:right="0" w:hanging="0"/>
              <w:jc w:val="left"/>
              <w:rPr/>
            </w:pPr>
            <w:r>
              <w:rPr/>
              <w:t> </w:t>
            </w:r>
          </w:p>
        </w:tc>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Gulf County, FL</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44,748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44,748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Watersound West Bay Center</w:t>
            </w:r>
            <w:r>
              <w:rPr>
                <w:rFonts w:ascii="Times New Roman;Times;serif" w:hAnsi="Times New Roman;Times;serif"/>
                <w:sz w:val="16"/>
              </w:rPr>
              <w:t xml:space="preserve"> </w:t>
            </w:r>
            <w:r>
              <w:rPr>
                <w:rFonts w:ascii="Times New Roman;Times;serif" w:hAnsi="Times New Roman;Times;serif"/>
                <w:sz w:val="13"/>
              </w:rPr>
              <w:t>(g)</w:t>
            </w:r>
          </w:p>
        </w:tc>
        <w:tc>
          <w:tcPr>
            <w:tcW w:w="346" w:type="dxa"/>
            <w:tcBorders/>
            <w:vAlign w:val="center"/>
          </w:tcPr>
          <w:p>
            <w:pPr>
              <w:pStyle w:val="TableContents"/>
              <w:bidi w:val="0"/>
              <w:spacing w:before="0" w:after="1"/>
              <w:ind w:left="0" w:right="0" w:hanging="0"/>
              <w:jc w:val="left"/>
              <w:rPr/>
            </w:pPr>
            <w:r>
              <w:rPr/>
              <w:t>​</w:t>
            </w:r>
          </w:p>
        </w:tc>
        <w:tc>
          <w:tcPr>
            <w:tcW w:w="226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21,369</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3,366</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Cedar Grove Commerce Park</w:t>
            </w:r>
          </w:p>
        </w:tc>
        <w:tc>
          <w:tcPr>
            <w:tcW w:w="346" w:type="dxa"/>
            <w:tcBorders/>
            <w:shd w:fill="CCEEFF" w:val="clear"/>
            <w:vAlign w:val="center"/>
          </w:tcPr>
          <w:p>
            <w:pPr>
              <w:pStyle w:val="TableContents"/>
              <w:bidi w:val="0"/>
              <w:spacing w:before="0" w:after="1"/>
              <w:ind w:left="0" w:right="0" w:hanging="0"/>
              <w:jc w:val="left"/>
              <w:rPr/>
            </w:pPr>
            <w:r>
              <w:rPr/>
              <w:t>​</w:t>
            </w:r>
          </w:p>
        </w:tc>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19,389</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19,389</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WaterColor Town Center</w:t>
            </w:r>
            <w:r>
              <w:rPr>
                <w:rFonts w:ascii="Times New Roman;Times;serif" w:hAnsi="Times New Roman;Times;serif"/>
                <w:sz w:val="16"/>
              </w:rPr>
              <w:t xml:space="preserve"> </w:t>
            </w:r>
            <w:r>
              <w:rPr>
                <w:rFonts w:ascii="Times New Roman;Times;serif" w:hAnsi="Times New Roman;Times;serif"/>
                <w:sz w:val="13"/>
              </w:rPr>
              <w:t>(d)</w:t>
            </w:r>
          </w:p>
        </w:tc>
        <w:tc>
          <w:tcPr>
            <w:tcW w:w="346" w:type="dxa"/>
            <w:tcBorders/>
            <w:vAlign w:val="center"/>
          </w:tcPr>
          <w:p>
            <w:pPr>
              <w:pStyle w:val="TableContents"/>
              <w:bidi w:val="0"/>
              <w:spacing w:before="0" w:after="1"/>
              <w:ind w:left="0" w:right="0" w:hanging="0"/>
              <w:jc w:val="left"/>
              <w:rPr/>
            </w:pPr>
            <w:r>
              <w:rPr/>
              <w:t> </w:t>
            </w:r>
          </w:p>
        </w:tc>
        <w:tc>
          <w:tcPr>
            <w:tcW w:w="226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17,560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98</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17,560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96</w:t>
            </w:r>
          </w:p>
        </w:tc>
        <w:tc>
          <w:tcPr>
            <w:tcW w:w="42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Port St. Joe Commercial</w:t>
            </w:r>
          </w:p>
        </w:tc>
        <w:tc>
          <w:tcPr>
            <w:tcW w:w="346" w:type="dxa"/>
            <w:tcBorders/>
            <w:shd w:fill="CCEEFF" w:val="clear"/>
            <w:vAlign w:val="center"/>
          </w:tcPr>
          <w:p>
            <w:pPr>
              <w:pStyle w:val="TableContents"/>
              <w:bidi w:val="0"/>
              <w:spacing w:before="0" w:after="1"/>
              <w:ind w:left="0" w:right="0" w:hanging="0"/>
              <w:jc w:val="left"/>
              <w:rPr/>
            </w:pPr>
            <w:r>
              <w:rPr/>
              <w:t> </w:t>
            </w:r>
          </w:p>
        </w:tc>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Gulf County, FL</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16,964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16,964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Beach Commerce Park</w:t>
            </w:r>
            <w:r>
              <w:rPr>
                <w:rFonts w:ascii="Times New Roman;Times;serif" w:hAnsi="Times New Roman;Times;serif"/>
                <w:sz w:val="16"/>
              </w:rPr>
              <w:t xml:space="preserve"> </w:t>
            </w:r>
            <w:r>
              <w:rPr>
                <w:rFonts w:ascii="Times New Roman;Times;serif" w:hAnsi="Times New Roman;Times;serif"/>
                <w:sz w:val="13"/>
              </w:rPr>
              <w:t>(d)</w:t>
            </w:r>
          </w:p>
        </w:tc>
        <w:tc>
          <w:tcPr>
            <w:tcW w:w="346" w:type="dxa"/>
            <w:tcBorders/>
            <w:vAlign w:val="center"/>
          </w:tcPr>
          <w:p>
            <w:pPr>
              <w:pStyle w:val="TableContents"/>
              <w:bidi w:val="0"/>
              <w:spacing w:before="0" w:after="1"/>
              <w:ind w:left="0" w:right="0" w:hanging="0"/>
              <w:jc w:val="left"/>
              <w:rPr/>
            </w:pPr>
            <w:r>
              <w:rPr/>
              <w:t> </w:t>
            </w:r>
          </w:p>
        </w:tc>
        <w:tc>
          <w:tcPr>
            <w:tcW w:w="226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14,800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14,800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South Walton Commerce Park</w:t>
            </w:r>
          </w:p>
        </w:tc>
        <w:tc>
          <w:tcPr>
            <w:tcW w:w="346" w:type="dxa"/>
            <w:tcBorders/>
            <w:shd w:fill="CCEEFF" w:val="clear"/>
            <w:vAlign w:val="center"/>
          </w:tcPr>
          <w:p>
            <w:pPr>
              <w:pStyle w:val="TableContents"/>
              <w:bidi w:val="0"/>
              <w:spacing w:before="0" w:after="1"/>
              <w:ind w:left="0" w:right="0" w:hanging="0"/>
              <w:jc w:val="left"/>
              <w:rPr/>
            </w:pPr>
            <w:r>
              <w:rPr/>
              <w:t>​</w:t>
            </w:r>
          </w:p>
        </w:tc>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11,570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11,570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r>
      <w:tr>
        <w:trPr/>
        <w:tc>
          <w:tcPr>
            <w:tcW w:w="24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Watersound Gatehouse</w:t>
            </w:r>
            <w:r>
              <w:rPr>
                <w:rFonts w:ascii="Times New Roman;Times;serif" w:hAnsi="Times New Roman;Times;serif"/>
                <w:sz w:val="16"/>
              </w:rPr>
              <w:t xml:space="preserve"> </w:t>
            </w:r>
            <w:r>
              <w:rPr>
                <w:rFonts w:ascii="Times New Roman;Times;serif" w:hAnsi="Times New Roman;Times;serif"/>
                <w:sz w:val="13"/>
              </w:rPr>
              <w:t>(d) (h)</w:t>
            </w:r>
          </w:p>
        </w:tc>
        <w:tc>
          <w:tcPr>
            <w:tcW w:w="346" w:type="dxa"/>
            <w:tcBorders/>
            <w:vAlign w:val="center"/>
          </w:tcPr>
          <w:p>
            <w:pPr>
              <w:pStyle w:val="TableContents"/>
              <w:bidi w:val="0"/>
              <w:spacing w:before="0" w:after="1"/>
              <w:ind w:left="0" w:right="0" w:hanging="0"/>
              <w:jc w:val="left"/>
              <w:rPr/>
            </w:pPr>
            <w:r>
              <w:rPr/>
              <w:t> </w:t>
            </w:r>
          </w:p>
        </w:tc>
        <w:tc>
          <w:tcPr>
            <w:tcW w:w="226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6,453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10,271</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87</w:t>
            </w:r>
          </w:p>
        </w:tc>
        <w:tc>
          <w:tcPr>
            <w:tcW w:w="42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Other</w:t>
            </w:r>
            <w:r>
              <w:rPr>
                <w:rFonts w:ascii="Times New Roman;Times;serif" w:hAnsi="Times New Roman;Times;serif"/>
                <w:sz w:val="16"/>
              </w:rPr>
              <w:t xml:space="preserve"> </w:t>
            </w:r>
            <w:r>
              <w:rPr>
                <w:rFonts w:ascii="Times New Roman;Times;serif" w:hAnsi="Times New Roman;Times;serif"/>
                <w:sz w:val="13"/>
              </w:rPr>
              <w:t>(i)</w:t>
            </w:r>
          </w:p>
        </w:tc>
        <w:tc>
          <w:tcPr>
            <w:tcW w:w="346" w:type="dxa"/>
            <w:tcBorders/>
            <w:shd w:fill="CCEEFF" w:val="clear"/>
            <w:vAlign w:val="center"/>
          </w:tcPr>
          <w:p>
            <w:pPr>
              <w:pStyle w:val="TableContents"/>
              <w:bidi w:val="0"/>
              <w:spacing w:before="0" w:after="1"/>
              <w:ind w:left="0" w:right="0" w:hanging="0"/>
              <w:jc w:val="left"/>
              <w:rPr/>
            </w:pPr>
            <w:r>
              <w:rPr/>
              <w:t>​</w:t>
            </w:r>
          </w:p>
        </w:tc>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Gulf and Walton Counties, FL</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33,096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35,208</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26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1,195,979</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95</w:t>
            </w:r>
          </w:p>
        </w:tc>
        <w:tc>
          <w:tcPr>
            <w:tcW w:w="373"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1,174,040</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96</w:t>
            </w:r>
          </w:p>
        </w:tc>
        <w:tc>
          <w:tcPr>
            <w:tcW w:w="420"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8"/>
              </w:rPr>
            </w:pPr>
            <w:r>
              <w:rPr>
                <w:rFonts w:ascii="Symbol" w:hAnsi="Symbol"/>
                <w:sz w:val="18"/>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Leasable Square Feet is designated as the current square feet available for lease as specified in the applicable lease agreements plus management’s estimate of space available for lease based on construction drawings.</w:t>
            </w:r>
          </w:p>
        </w:tc>
      </w:tr>
    </w:tbl>
    <w:p>
      <w:pPr>
        <w:pStyle w:val="TextBody"/>
        <w:bidi w:val="0"/>
        <w:spacing w:before="0" w:after="0"/>
        <w:ind w:left="0" w:right="0" w:hanging="0"/>
        <w:jc w:val="left"/>
        <w:rPr/>
      </w:pPr>
      <w:r>
        <w:rPr/>
        <w:t>​</w:t>
      </w:r>
    </w:p>
    <w:tbl>
      <w:tblPr>
        <w:tblW w:w="7142" w:type="dxa"/>
        <w:jc w:val="left"/>
        <w:tblInd w:w="0" w:type="dxa"/>
        <w:tblLayout w:type="fixed"/>
        <w:tblCellMar>
          <w:top w:w="0" w:type="dxa"/>
          <w:left w:w="0" w:type="dxa"/>
          <w:bottom w:w="0" w:type="dxa"/>
          <w:right w:w="0" w:type="dxa"/>
        </w:tblCellMar>
      </w:tblPr>
      <w:tblGrid>
        <w:gridCol w:w="316"/>
        <w:gridCol w:w="682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68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Property is related to a consolidated JV.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 of June 30, 2026, we occupied 2,032 square feet for our Business Services, which is excluded from net leasable square feet.</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 additional building was completed in the first quarter of 2026. As of June 30, 2026 and December 31, 2025, we occupied 6,752 square feet for our Business Services, which is excluded from net leasable square feet. Included in net leasable square feet as of December 31, 2025, is 1,200 square feet leased to an unconsolidated JV.</w:t>
            </w:r>
          </w:p>
        </w:tc>
      </w:tr>
    </w:tbl>
    <w:tbl>
      <w:tblPr>
        <w:tblW w:w="7787" w:type="dxa"/>
        <w:jc w:val="left"/>
        <w:tblInd w:w="0" w:type="dxa"/>
        <w:tblLayout w:type="fixed"/>
        <w:tblCellMar>
          <w:top w:w="0" w:type="dxa"/>
          <w:left w:w="0" w:type="dxa"/>
          <w:bottom w:w="0" w:type="dxa"/>
          <w:right w:w="0" w:type="dxa"/>
        </w:tblCellMar>
      </w:tblPr>
      <w:tblGrid>
        <w:gridCol w:w="331"/>
        <w:gridCol w:w="745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addition to net leasable square feet, there is also space that we occupy or that serves as common area.</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occupied approximately 22,556 square feet as our headquarters as of both June 30, 2026 and December 31, 2025, each of which is excluded from net leasable square feet.</w:t>
            </w:r>
          </w:p>
        </w:tc>
      </w:tr>
    </w:tbl>
    <w:tbl>
      <w:tblPr>
        <w:tblW w:w="9032" w:type="dxa"/>
        <w:jc w:val="left"/>
        <w:tblInd w:w="0" w:type="dxa"/>
        <w:tblLayout w:type="fixed"/>
        <w:tblCellMar>
          <w:top w:w="0" w:type="dxa"/>
          <w:left w:w="0" w:type="dxa"/>
          <w:bottom w:w="0" w:type="dxa"/>
          <w:right w:w="0" w:type="dxa"/>
        </w:tblCellMar>
      </w:tblPr>
      <w:tblGrid>
        <w:gridCol w:w="301"/>
        <w:gridCol w:w="8731"/>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8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net leasable square feet as of June 30, 2026 and December 31, 2025, is 5,658 square feet of unfinished space.</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An additional building was completed in the first quarter of 2026. In addition to net leasable square feet, as of June 30, 2026 and December 31, 2025, our unconsolidated Electric Cart Watersound JV owns and operates 11,813 square feet for its golf cart sales and service facility.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w:t>
            </w:r>
          </w:p>
        </w:tc>
        <w:tc>
          <w:tcPr>
            <w:tcW w:w="9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 of June 30, 2026, we occupied 2,468 square feet for our Business Services, which is excluded from net leasable square feet.</w:t>
            </w:r>
          </w:p>
        </w:tc>
      </w:tr>
    </w:tbl>
    <w:tbl>
      <w:tblPr>
        <w:tblW w:w="6437" w:type="dxa"/>
        <w:jc w:val="left"/>
        <w:tblInd w:w="0" w:type="dxa"/>
        <w:tblLayout w:type="fixed"/>
        <w:tblCellMar>
          <w:top w:w="0" w:type="dxa"/>
          <w:left w:w="0" w:type="dxa"/>
          <w:bottom w:w="0" w:type="dxa"/>
          <w:right w:w="0" w:type="dxa"/>
        </w:tblCellMar>
      </w:tblPr>
      <w:tblGrid>
        <w:gridCol w:w="286"/>
        <w:gridCol w:w="6151"/>
      </w:tblGrid>
      <w:tr>
        <w:trPr/>
        <w:tc>
          <w:tcPr>
            <w:tcW w:w="2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w:t>
            </w:r>
          </w:p>
        </w:tc>
        <w:tc>
          <w:tcPr>
            <w:tcW w:w="6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various other properties, each with less than 10,000 net leasable square feet.</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to the leased properties above, we have ground leases in various locations of our land holdings.</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commercial projects under development and construction as detailed in the table below. In addition to these properties, we have other commercial buildings and sites in various stages of planning and development.</w:t>
      </w:r>
    </w:p>
    <w:tbl>
      <w:tblPr>
        <w:tblW w:w="10205" w:type="dxa"/>
        <w:jc w:val="left"/>
        <w:tblInd w:w="0" w:type="dxa"/>
        <w:tblLayout w:type="fixed"/>
        <w:tblCellMar>
          <w:top w:w="0" w:type="dxa"/>
          <w:left w:w="0" w:type="dxa"/>
          <w:bottom w:w="0" w:type="dxa"/>
          <w:right w:w="0" w:type="dxa"/>
        </w:tblCellMar>
      </w:tblPr>
      <w:tblGrid>
        <w:gridCol w:w="1976"/>
        <w:gridCol w:w="109"/>
        <w:gridCol w:w="1200"/>
        <w:gridCol w:w="109"/>
        <w:gridCol w:w="1445"/>
        <w:gridCol w:w="109"/>
        <w:gridCol w:w="1913"/>
        <w:gridCol w:w="109"/>
        <w:gridCol w:w="1816"/>
        <w:gridCol w:w="109"/>
        <w:gridCol w:w="1310"/>
      </w:tblGrid>
      <w:tr>
        <w:trPr/>
        <w:tc>
          <w:tcPr>
            <w:tcW w:w="1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254760" cy="175260"/>
                      <wp:effectExtent l="0" t="0" r="0" b="0"/>
                      <wp:wrapNone/>
                      <wp:docPr id="667" name="Frame667"/>
                      <a:graphic xmlns:a="http://schemas.openxmlformats.org/drawingml/2006/main">
                        <a:graphicData uri="http://schemas.microsoft.com/office/word/2010/wordprocessingShape">
                          <wps:wsp>
                            <wps:cNvSpPr txBox="1"/>
                            <wps:spPr>
                              <a:xfrm>
                                <a:off x="0" y="0"/>
                                <a:ext cx="125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9215" cy="175260"/>
                      <wp:effectExtent l="0" t="0" r="0" b="0"/>
                      <wp:wrapNone/>
                      <wp:docPr id="668" name="Frame6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762000" cy="175260"/>
                      <wp:effectExtent l="0" t="0" r="0" b="0"/>
                      <wp:wrapNone/>
                      <wp:docPr id="669" name="Frame669"/>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9215" cy="175260"/>
                      <wp:effectExtent l="0" t="0" r="0" b="0"/>
                      <wp:wrapNone/>
                      <wp:docPr id="670" name="Frame6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917575" cy="175260"/>
                      <wp:effectExtent l="0" t="0" r="0" b="0"/>
                      <wp:wrapNone/>
                      <wp:docPr id="671" name="Frame671"/>
                      <a:graphic xmlns:a="http://schemas.openxmlformats.org/drawingml/2006/main">
                        <a:graphicData uri="http://schemas.microsoft.com/office/word/2010/wordprocessingShape">
                          <wps:wsp>
                            <wps:cNvSpPr txBox="1"/>
                            <wps:spPr>
                              <a:xfrm>
                                <a:off x="0" y="0"/>
                                <a:ext cx="917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9215" cy="175260"/>
                      <wp:effectExtent l="0" t="0" r="0" b="0"/>
                      <wp:wrapNone/>
                      <wp:docPr id="672" name="Frame6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214755" cy="175260"/>
                      <wp:effectExtent l="0" t="0" r="0" b="0"/>
                      <wp:wrapNone/>
                      <wp:docPr id="673" name="Frame673"/>
                      <a:graphic xmlns:a="http://schemas.openxmlformats.org/drawingml/2006/main">
                        <a:graphicData uri="http://schemas.microsoft.com/office/word/2010/wordprocessingShape">
                          <wps:wsp>
                            <wps:cNvSpPr txBox="1"/>
                            <wps:spPr>
                              <a:xfrm>
                                <a:off x="0" y="0"/>
                                <a:ext cx="1214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9215" cy="175260"/>
                      <wp:effectExtent l="0" t="0" r="0" b="0"/>
                      <wp:wrapNone/>
                      <wp:docPr id="674" name="Frame6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153160" cy="175260"/>
                      <wp:effectExtent l="0" t="0" r="0" b="0"/>
                      <wp:wrapNone/>
                      <wp:docPr id="675" name="Frame675"/>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9215" cy="175260"/>
                      <wp:effectExtent l="0" t="0" r="0" b="0"/>
                      <wp:wrapNone/>
                      <wp:docPr id="676" name="Frame6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831850" cy="175260"/>
                      <wp:effectExtent l="0" t="0" r="0" b="0"/>
                      <wp:wrapNone/>
                      <wp:docPr id="677" name="Frame677"/>
                      <a:graphic xmlns:a="http://schemas.openxmlformats.org/drawingml/2006/main">
                        <a:graphicData uri="http://schemas.microsoft.com/office/word/2010/wordprocessingShape">
                          <wps:wsp>
                            <wps:cNvSpPr txBox="1"/>
                            <wps:spPr>
                              <a:xfrm>
                                <a:off x="0" y="0"/>
                                <a:ext cx="831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109" w:type="dxa"/>
            <w:tcBorders/>
            <w:vAlign w:val="center"/>
          </w:tcPr>
          <w:p>
            <w:pPr>
              <w:pStyle w:val="TableContents"/>
              <w:bidi w:val="0"/>
              <w:spacing w:before="0" w:after="0"/>
              <w:ind w:left="0" w:right="0" w:hanging="0"/>
              <w:jc w:val="center"/>
              <w:rPr/>
            </w:pPr>
            <w:r>
              <w:rPr/>
              <w:t>​</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Completed Square Feet</w:t>
            </w:r>
          </w:p>
        </w:tc>
        <w:tc>
          <w:tcPr>
            <w:tcW w:w="109" w:type="dxa"/>
            <w:tcBorders/>
            <w:vAlign w:val="center"/>
          </w:tcPr>
          <w:p>
            <w:pPr>
              <w:pStyle w:val="TableContents"/>
              <w:bidi w:val="0"/>
              <w:spacing w:before="0" w:after="0"/>
              <w:ind w:left="0" w:right="0" w:hanging="0"/>
              <w:jc w:val="center"/>
              <w:rPr/>
            </w:pPr>
            <w:r>
              <w:rPr/>
              <w:t>​</w:t>
            </w:r>
          </w:p>
        </w:tc>
        <w:tc>
          <w:tcPr>
            <w:tcW w:w="19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Square Feet Under Construction</w:t>
            </w:r>
          </w:p>
        </w:tc>
        <w:tc>
          <w:tcPr>
            <w:tcW w:w="109" w:type="dxa"/>
            <w:tcBorders/>
            <w:vAlign w:val="center"/>
          </w:tcPr>
          <w:p>
            <w:pPr>
              <w:pStyle w:val="TableContents"/>
              <w:bidi w:val="0"/>
              <w:spacing w:before="0" w:after="0"/>
              <w:ind w:left="0" w:right="0" w:hanging="0"/>
              <w:jc w:val="center"/>
              <w:rPr/>
            </w:pPr>
            <w:r>
              <w:rP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Planned Square Feet</w:t>
            </w:r>
          </w:p>
        </w:tc>
        <w:tc>
          <w:tcPr>
            <w:tcW w:w="109" w:type="dxa"/>
            <w:tcBorders/>
            <w:vAlign w:val="center"/>
          </w:tcPr>
          <w:p>
            <w:pPr>
              <w:pStyle w:val="TableContents"/>
              <w:bidi w:val="0"/>
              <w:spacing w:before="0" w:after="0"/>
              <w:ind w:left="0" w:right="0" w:hanging="0"/>
              <w:jc w:val="center"/>
              <w:rPr/>
            </w:pPr>
            <w:r>
              <w:rPr/>
              <w:t>​</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Square Feet*</w:t>
            </w:r>
          </w:p>
        </w:tc>
      </w:tr>
      <w:tr>
        <w:trPr/>
        <w:tc>
          <w:tcPr>
            <w:tcW w:w="19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Town Center </w:t>
            </w:r>
            <w:r>
              <w:rPr>
                <w:rFonts w:ascii="Times New Roman;Times;serif" w:hAnsi="Times New Roman;Times;serif"/>
                <w:sz w:val="14"/>
              </w:rPr>
              <w:t>(a)</w:t>
            </w:r>
          </w:p>
        </w:tc>
        <w:tc>
          <w:tcPr>
            <w:tcW w:w="109"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4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168,887</w:t>
            </w:r>
          </w:p>
        </w:tc>
        <w:tc>
          <w:tcPr>
            <w:tcW w:w="109" w:type="dxa"/>
            <w:tcBorders/>
            <w:shd w:fill="CCEEFF" w:val="clear"/>
            <w:vAlign w:val="center"/>
          </w:tcPr>
          <w:p>
            <w:pPr>
              <w:pStyle w:val="TableContents"/>
              <w:bidi w:val="0"/>
              <w:spacing w:before="0" w:after="0"/>
              <w:ind w:left="0" w:right="0" w:hanging="0"/>
              <w:jc w:val="left"/>
              <w:rPr/>
            </w:pPr>
            <w:r>
              <w:rPr/>
              <w:t>​</w:t>
            </w:r>
          </w:p>
        </w:tc>
        <w:tc>
          <w:tcPr>
            <w:tcW w:w="191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231,113</w:t>
            </w:r>
          </w:p>
        </w:tc>
        <w:tc>
          <w:tcPr>
            <w:tcW w:w="109" w:type="dxa"/>
            <w:tcBorders/>
            <w:shd w:fill="CCEEFF" w:val="clear"/>
            <w:vAlign w:val="center"/>
          </w:tcPr>
          <w:p>
            <w:pPr>
              <w:pStyle w:val="TableContents"/>
              <w:bidi w:val="0"/>
              <w:spacing w:before="0" w:after="0"/>
              <w:ind w:left="0" w:right="0" w:hanging="0"/>
              <w:jc w:val="right"/>
              <w:rPr/>
            </w:pPr>
            <w:r>
              <w:rPr/>
              <w:t>​</w:t>
            </w:r>
          </w:p>
        </w:tc>
        <w:tc>
          <w:tcPr>
            <w:tcW w:w="13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400,000</w:t>
            </w:r>
          </w:p>
        </w:tc>
      </w:tr>
      <w:tr>
        <w:trPr/>
        <w:tc>
          <w:tcPr>
            <w:tcW w:w="197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West Bay Center </w:t>
            </w:r>
            <w:r>
              <w:rPr>
                <w:rFonts w:ascii="Times New Roman;Times;serif" w:hAnsi="Times New Roman;Times;serif"/>
                <w:sz w:val="14"/>
              </w:rPr>
              <w:t>(b) (c)</w:t>
            </w:r>
          </w:p>
        </w:tc>
        <w:tc>
          <w:tcPr>
            <w:tcW w:w="109"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4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33,182</w:t>
            </w:r>
          </w:p>
        </w:tc>
        <w:tc>
          <w:tcPr>
            <w:tcW w:w="109" w:type="dxa"/>
            <w:tcBorders/>
            <w:vAlign w:val="center"/>
          </w:tcPr>
          <w:p>
            <w:pPr>
              <w:pStyle w:val="TableContents"/>
              <w:bidi w:val="0"/>
              <w:spacing w:before="0" w:after="0"/>
              <w:ind w:left="0" w:right="0" w:hanging="0"/>
              <w:jc w:val="left"/>
              <w:rPr/>
            </w:pPr>
            <w:r>
              <w:rPr/>
              <w:t>​</w:t>
            </w:r>
          </w:p>
        </w:tc>
        <w:tc>
          <w:tcPr>
            <w:tcW w:w="19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69,134</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397,684</w:t>
            </w:r>
          </w:p>
        </w:tc>
        <w:tc>
          <w:tcPr>
            <w:tcW w:w="109" w:type="dxa"/>
            <w:tcBorders/>
            <w:vAlign w:val="center"/>
          </w:tcPr>
          <w:p>
            <w:pPr>
              <w:pStyle w:val="TableContents"/>
              <w:bidi w:val="0"/>
              <w:spacing w:before="0" w:after="0"/>
              <w:ind w:left="0" w:right="0" w:hanging="0"/>
              <w:jc w:val="right"/>
              <w:rPr/>
            </w:pPr>
            <w:r>
              <w:rPr/>
              <w:t>​</w:t>
            </w:r>
          </w:p>
        </w:tc>
        <w:tc>
          <w:tcPr>
            <w:tcW w:w="13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500,000</w:t>
            </w:r>
          </w:p>
        </w:tc>
      </w:tr>
      <w:tr>
        <w:trPr/>
        <w:tc>
          <w:tcPr>
            <w:tcW w:w="19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FSU/TMH Medical Campus</w:t>
            </w:r>
          </w:p>
        </w:tc>
        <w:tc>
          <w:tcPr>
            <w:tcW w:w="109"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4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78,670</w:t>
            </w:r>
          </w:p>
        </w:tc>
        <w:tc>
          <w:tcPr>
            <w:tcW w:w="109" w:type="dxa"/>
            <w:tcBorders/>
            <w:shd w:fill="CCEEFF" w:val="clear"/>
            <w:vAlign w:val="center"/>
          </w:tcPr>
          <w:p>
            <w:pPr>
              <w:pStyle w:val="TableContents"/>
              <w:bidi w:val="0"/>
              <w:spacing w:before="0" w:after="0"/>
              <w:ind w:left="0" w:right="0" w:hanging="0"/>
              <w:jc w:val="left"/>
              <w:rPr/>
            </w:pPr>
            <w:r>
              <w:rPr/>
              <w:t>​</w:t>
            </w:r>
          </w:p>
        </w:tc>
        <w:tc>
          <w:tcPr>
            <w:tcW w:w="1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241,330</w:t>
            </w:r>
          </w:p>
        </w:tc>
        <w:tc>
          <w:tcPr>
            <w:tcW w:w="109" w:type="dxa"/>
            <w:tcBorders/>
            <w:shd w:fill="CCEEFF" w:val="clear"/>
            <w:vAlign w:val="center"/>
          </w:tcPr>
          <w:p>
            <w:pPr>
              <w:pStyle w:val="TableContents"/>
              <w:bidi w:val="0"/>
              <w:spacing w:before="0" w:after="0"/>
              <w:ind w:left="0" w:right="0" w:hanging="0"/>
              <w:jc w:val="right"/>
              <w:rPr/>
            </w:pPr>
            <w:r>
              <w:rPr/>
              <w:t>​</w:t>
            </w:r>
          </w:p>
        </w:tc>
        <w:tc>
          <w:tcPr>
            <w:tcW w:w="1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320,000</w:t>
            </w:r>
          </w:p>
        </w:tc>
      </w:tr>
      <w:tr>
        <w:trPr/>
        <w:tc>
          <w:tcPr>
            <w:tcW w:w="1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280,739</w:t>
            </w:r>
          </w:p>
        </w:tc>
        <w:tc>
          <w:tcPr>
            <w:tcW w:w="109" w:type="dxa"/>
            <w:tcBorders/>
            <w:vAlign w:val="center"/>
          </w:tcPr>
          <w:p>
            <w:pPr>
              <w:pStyle w:val="TableContents"/>
              <w:bidi w:val="0"/>
              <w:spacing w:before="0" w:after="0"/>
              <w:ind w:left="0" w:right="0" w:hanging="0"/>
              <w:jc w:val="left"/>
              <w:rPr/>
            </w:pPr>
            <w:r>
              <w:rPr/>
              <w:t>​</w:t>
            </w:r>
          </w:p>
        </w:tc>
        <w:tc>
          <w:tcPr>
            <w:tcW w:w="19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69,134</w:t>
            </w:r>
          </w:p>
        </w:tc>
        <w:tc>
          <w:tcPr>
            <w:tcW w:w="109" w:type="dxa"/>
            <w:tcBorders/>
            <w:vAlign w:val="center"/>
          </w:tcPr>
          <w:p>
            <w:pPr>
              <w:pStyle w:val="TableContents"/>
              <w:bidi w:val="0"/>
              <w:spacing w:before="0" w:after="0"/>
              <w:ind w:left="0" w:right="0" w:hanging="0"/>
              <w:jc w:val="left"/>
              <w:rPr/>
            </w:pPr>
            <w:r>
              <w:rPr/>
              <w:t>​</w:t>
            </w:r>
          </w:p>
        </w:tc>
        <w:tc>
          <w:tcPr>
            <w:tcW w:w="18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870,127</w:t>
            </w:r>
          </w:p>
        </w:tc>
        <w:tc>
          <w:tcPr>
            <w:tcW w:w="109" w:type="dxa"/>
            <w:tcBorders/>
            <w:vAlign w:val="center"/>
          </w:tcPr>
          <w:p>
            <w:pPr>
              <w:pStyle w:val="TableContents"/>
              <w:bidi w:val="0"/>
              <w:spacing w:before="0" w:after="0"/>
              <w:ind w:left="0" w:right="0" w:hanging="0"/>
              <w:jc w:val="right"/>
              <w:rPr/>
            </w:pPr>
            <w:r>
              <w:rPr/>
              <w:t>​</w:t>
            </w:r>
          </w:p>
        </w:tc>
        <w:tc>
          <w:tcPr>
            <w:tcW w:w="131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1,220,000</w:t>
            </w:r>
          </w:p>
        </w:tc>
      </w:tr>
    </w:tbl>
    <w:tbl>
      <w:tblPr>
        <w:tblW w:w="5567" w:type="dxa"/>
        <w:jc w:val="left"/>
        <w:tblInd w:w="0" w:type="dxa"/>
        <w:tblLayout w:type="fixed"/>
        <w:tblCellMar>
          <w:top w:w="0" w:type="dxa"/>
          <w:left w:w="0" w:type="dxa"/>
          <w:bottom w:w="0" w:type="dxa"/>
          <w:right w:w="0" w:type="dxa"/>
        </w:tblCellMar>
      </w:tblPr>
      <w:tblGrid>
        <w:gridCol w:w="226"/>
        <w:gridCol w:w="5341"/>
      </w:tblGrid>
      <w:tr>
        <w:trPr/>
        <w:tc>
          <w:tcPr>
            <w:tcW w:w="22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3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Total square feet are based on current estimates and are subject to change</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occupy 6,752 square feet of the completed space for our Business Services. There is also an additional 1,027 square feet of completed space we occupy.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8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Completed square feet includes 11,813 square feet owned and operated by our unconsolidated Electric Cart Watersound JV for its golf cart sales and service facility.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6437" w:type="dxa"/>
        <w:jc w:val="left"/>
        <w:tblInd w:w="0" w:type="dxa"/>
        <w:tblLayout w:type="fixed"/>
        <w:tblCellMar>
          <w:top w:w="0" w:type="dxa"/>
          <w:left w:w="0" w:type="dxa"/>
          <w:bottom w:w="0" w:type="dxa"/>
          <w:right w:w="0" w:type="dxa"/>
        </w:tblCellMar>
      </w:tblPr>
      <w:tblGrid>
        <w:gridCol w:w="316"/>
        <w:gridCol w:w="612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6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Square feet under construction includes 5,509 square feet for our Business Services.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discussion and analysis of our financial condition and results of operations are based upon our condensed consolidated financial statements, which have been prepared in accordance with GAAP. The preparation of these financial statements requires us to make estimates and judgments that affect the reported amounts of assets, liabilities, revenue and expenses and related disclosures of contingent assets and liabilities. We base these estimates on historical experience, available current market information and on various other assumptions that management believes are reasonable under the circumstances. Additionally, we evaluate the results of these estimates on an on-going basis. Management’s estimates form the basis for making judgments about the carrying values of assets and liabilities that are not readily apparent from other sources. Actual results may differ from these estimates under different assumptions or conditions and our accounting estimates are subject to 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Critical accounting policies that we believe reflect our more significant judgments and estimates used in the preparation of our condensed consolidated financial statements are set forth in Item 7 of our Annual Report on Form 10-K for the year ended December 31, 2025. There have been no significant changes in these policies during the first six months of 2026, however we cannot assure you that these policies will not change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and Issued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See Note 2. </w:t>
      </w:r>
      <w:r>
        <w:rPr>
          <w:rFonts w:ascii="Times New Roman;Times;serif" w:hAnsi="Times New Roman;Times;serif"/>
          <w:i/>
          <w:sz w:val="20"/>
        </w:rPr>
        <w:t>Summary of Significant Accounting Policies</w:t>
      </w:r>
      <w:r>
        <w:rPr>
          <w:rFonts w:ascii="Times New Roman;Times;serif" w:hAnsi="Times New Roman;Times;serif"/>
          <w:sz w:val="20"/>
        </w:rPr>
        <w:t xml:space="preserve"> to our condensed consolidated financial statements included in this report for recently issued or adopted accounting standards, including the date of adoption and effect on our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 and Market Variability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operations may be affected by seasonal fluctuations. The revenues and earnings from our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we have no, or significantly less, revenue from residential or commercial real estate sales. We may also choose to operate rather than lease assets, lease rather than sell assets, or sell improved rather than unimproved land that may delay revenue and profits.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revenues are typically higher in the second and third quarters, and vary depending on the timing of holidays and school breaks. Commercial real estate sales tend to be non-recurring. Projects depend on uncertain demand. Extraordinary events such as hurricanes may dramatically change demand and pricing for products and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a comparison of the results of our operations:</w:t>
      </w:r>
    </w:p>
    <w:tbl>
      <w:tblPr>
        <w:tblW w:w="9028" w:type="dxa"/>
        <w:jc w:val="left"/>
        <w:tblInd w:w="0" w:type="dxa"/>
        <w:tblLayout w:type="fixed"/>
        <w:tblCellMar>
          <w:top w:w="0" w:type="dxa"/>
          <w:left w:w="0" w:type="dxa"/>
          <w:bottom w:w="0" w:type="dxa"/>
          <w:right w:w="0" w:type="dxa"/>
        </w:tblCellMar>
      </w:tblPr>
      <w:tblGrid>
        <w:gridCol w:w="4426"/>
        <w:gridCol w:w="346"/>
        <w:gridCol w:w="211"/>
        <w:gridCol w:w="586"/>
        <w:gridCol w:w="346"/>
        <w:gridCol w:w="211"/>
        <w:gridCol w:w="571"/>
        <w:gridCol w:w="346"/>
        <w:gridCol w:w="211"/>
        <w:gridCol w:w="586"/>
        <w:gridCol w:w="346"/>
        <w:gridCol w:w="211"/>
        <w:gridCol w:w="631"/>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810510" cy="175260"/>
                      <wp:effectExtent l="0" t="0" r="0" b="0"/>
                      <wp:wrapNone/>
                      <wp:docPr id="678" name="Frame678"/>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19710" cy="175260"/>
                      <wp:effectExtent l="0" t="0" r="0" b="0"/>
                      <wp:wrapNone/>
                      <wp:docPr id="679" name="Frame6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133985" cy="175260"/>
                      <wp:effectExtent l="0" t="0" r="0" b="0"/>
                      <wp:wrapNone/>
                      <wp:docPr id="680" name="Frame6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372110" cy="175260"/>
                      <wp:effectExtent l="0" t="0" r="0" b="0"/>
                      <wp:wrapNone/>
                      <wp:docPr id="681" name="Frame68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19710" cy="175260"/>
                      <wp:effectExtent l="0" t="0" r="0" b="0"/>
                      <wp:wrapNone/>
                      <wp:docPr id="682" name="Frame6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133985" cy="175260"/>
                      <wp:effectExtent l="0" t="0" r="0" b="0"/>
                      <wp:wrapNone/>
                      <wp:docPr id="683" name="Frame6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362585" cy="175260"/>
                      <wp:effectExtent l="0" t="0" r="0" b="0"/>
                      <wp:wrapNone/>
                      <wp:docPr id="684" name="Frame6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19710" cy="175260"/>
                      <wp:effectExtent l="0" t="0" r="0" b="0"/>
                      <wp:wrapNone/>
                      <wp:docPr id="685" name="Frame6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33985" cy="175260"/>
                      <wp:effectExtent l="0" t="0" r="0" b="0"/>
                      <wp:wrapNone/>
                      <wp:docPr id="686" name="Frame6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372110" cy="175260"/>
                      <wp:effectExtent l="0" t="0" r="0" b="0"/>
                      <wp:wrapNone/>
                      <wp:docPr id="687" name="Frame68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19710" cy="175260"/>
                      <wp:effectExtent l="0" t="0" r="0" b="0"/>
                      <wp:wrapNone/>
                      <wp:docPr id="688" name="Frame6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33985" cy="175260"/>
                      <wp:effectExtent l="0" t="0" r="0" b="0"/>
                      <wp:wrapNone/>
                      <wp:docPr id="689" name="Frame6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400685" cy="175260"/>
                      <wp:effectExtent l="0" t="0" r="0" b="0"/>
                      <wp:wrapNone/>
                      <wp:docPr id="690" name="Frame69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9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02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56"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r>
      <w:tr>
        <w:trPr/>
        <w:tc>
          <w:tcPr>
            <w:tcW w:w="4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revenue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44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hospitality revenue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4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leasing revenue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44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and other operating expenses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53.9</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from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62.2</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46.4</w:t>
            </w:r>
          </w:p>
        </w:tc>
      </w:tr>
    </w:tbl>
    <w:tbl>
      <w:tblPr>
        <w:tblW w:w="5867" w:type="dxa"/>
        <w:jc w:val="left"/>
        <w:tblInd w:w="0" w:type="dxa"/>
        <w:tblLayout w:type="fixed"/>
        <w:tblCellMar>
          <w:top w:w="0" w:type="dxa"/>
          <w:left w:w="0" w:type="dxa"/>
          <w:bottom w:w="0" w:type="dxa"/>
          <w:right w:w="0" w:type="dxa"/>
        </w:tblCellMar>
      </w:tblPr>
      <w:tblGrid>
        <w:gridCol w:w="316"/>
        <w:gridCol w:w="5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 Estate Revenue and Gross Profit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a comparison of our total consolidated real estate revenue and gross profit:</w:t>
      </w:r>
    </w:p>
    <w:tbl>
      <w:tblPr>
        <w:tblW w:w="10205" w:type="dxa"/>
        <w:jc w:val="left"/>
        <w:tblInd w:w="0" w:type="dxa"/>
        <w:tblLayout w:type="fixed"/>
        <w:tblCellMar>
          <w:top w:w="0" w:type="dxa"/>
          <w:left w:w="0" w:type="dxa"/>
          <w:bottom w:w="0" w:type="dxa"/>
          <w:right w:w="0" w:type="dxa"/>
        </w:tblCellMar>
      </w:tblPr>
      <w:tblGrid>
        <w:gridCol w:w="1513"/>
        <w:gridCol w:w="346"/>
        <w:gridCol w:w="211"/>
        <w:gridCol w:w="466"/>
        <w:gridCol w:w="346"/>
        <w:gridCol w:w="571"/>
        <w:gridCol w:w="391"/>
        <w:gridCol w:w="211"/>
        <w:gridCol w:w="466"/>
        <w:gridCol w:w="346"/>
        <w:gridCol w:w="571"/>
        <w:gridCol w:w="391"/>
        <w:gridCol w:w="346"/>
        <w:gridCol w:w="211"/>
        <w:gridCol w:w="571"/>
        <w:gridCol w:w="346"/>
        <w:gridCol w:w="571"/>
        <w:gridCol w:w="391"/>
        <w:gridCol w:w="211"/>
        <w:gridCol w:w="466"/>
        <w:gridCol w:w="346"/>
        <w:gridCol w:w="571"/>
        <w:gridCol w:w="346"/>
      </w:tblGrid>
      <w:tr>
        <w:trPr/>
        <w:tc>
          <w:tcPr>
            <w:tcW w:w="1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960755" cy="175260"/>
                      <wp:effectExtent l="0" t="0" r="0" b="0"/>
                      <wp:wrapNone/>
                      <wp:docPr id="691" name="Frame691"/>
                      <a:graphic xmlns:a="http://schemas.openxmlformats.org/drawingml/2006/main">
                        <a:graphicData uri="http://schemas.microsoft.com/office/word/2010/wordprocessingShape">
                          <wps:wsp>
                            <wps:cNvSpPr txBox="1"/>
                            <wps:spPr>
                              <a:xfrm>
                                <a:off x="0" y="0"/>
                                <a:ext cx="960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19710" cy="175260"/>
                      <wp:effectExtent l="0" t="0" r="0" b="0"/>
                      <wp:wrapNone/>
                      <wp:docPr id="692" name="Frame6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33985" cy="175260"/>
                      <wp:effectExtent l="0" t="0" r="0" b="0"/>
                      <wp:wrapNone/>
                      <wp:docPr id="693" name="Frame6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95910" cy="175260"/>
                      <wp:effectExtent l="0" t="0" r="0" b="0"/>
                      <wp:wrapNone/>
                      <wp:docPr id="694" name="Frame69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19710" cy="175260"/>
                      <wp:effectExtent l="0" t="0" r="0" b="0"/>
                      <wp:wrapNone/>
                      <wp:docPr id="695" name="Frame6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362585" cy="175260"/>
                      <wp:effectExtent l="0" t="0" r="0" b="0"/>
                      <wp:wrapNone/>
                      <wp:docPr id="696" name="Frame6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248285" cy="175260"/>
                      <wp:effectExtent l="0" t="0" r="0" b="0"/>
                      <wp:wrapNone/>
                      <wp:docPr id="697" name="Frame69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33985" cy="175260"/>
                      <wp:effectExtent l="0" t="0" r="0" b="0"/>
                      <wp:wrapNone/>
                      <wp:docPr id="698" name="Frame6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295910" cy="175260"/>
                      <wp:effectExtent l="0" t="0" r="0" b="0"/>
                      <wp:wrapNone/>
                      <wp:docPr id="699" name="Frame69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19710" cy="175260"/>
                      <wp:effectExtent l="0" t="0" r="0" b="0"/>
                      <wp:wrapNone/>
                      <wp:docPr id="700" name="Frame7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362585" cy="175260"/>
                      <wp:effectExtent l="0" t="0" r="0" b="0"/>
                      <wp:wrapNone/>
                      <wp:docPr id="701" name="Frame7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48285" cy="175260"/>
                      <wp:effectExtent l="0" t="0" r="0" b="0"/>
                      <wp:wrapNone/>
                      <wp:docPr id="702" name="Frame70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19710" cy="175260"/>
                      <wp:effectExtent l="0" t="0" r="0" b="0"/>
                      <wp:wrapNone/>
                      <wp:docPr id="703" name="Frame7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133985" cy="175260"/>
                      <wp:effectExtent l="0" t="0" r="0" b="0"/>
                      <wp:wrapNone/>
                      <wp:docPr id="704" name="Frame7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362585" cy="175260"/>
                      <wp:effectExtent l="0" t="0" r="0" b="0"/>
                      <wp:wrapNone/>
                      <wp:docPr id="705" name="Frame7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19710" cy="175260"/>
                      <wp:effectExtent l="0" t="0" r="0" b="0"/>
                      <wp:wrapNone/>
                      <wp:docPr id="706" name="Frame7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362585" cy="175260"/>
                      <wp:effectExtent l="0" t="0" r="0" b="0"/>
                      <wp:wrapNone/>
                      <wp:docPr id="707" name="Frame7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48285" cy="175260"/>
                      <wp:effectExtent l="0" t="0" r="0" b="0"/>
                      <wp:wrapNone/>
                      <wp:docPr id="708" name="Frame70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133985" cy="175260"/>
                      <wp:effectExtent l="0" t="0" r="0" b="0"/>
                      <wp:wrapNone/>
                      <wp:docPr id="709" name="Frame7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95910" cy="175260"/>
                      <wp:effectExtent l="0" t="0" r="0" b="0"/>
                      <wp:wrapNone/>
                      <wp:docPr id="710" name="Frame71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219710" cy="175260"/>
                      <wp:effectExtent l="0" t="0" r="0" b="0"/>
                      <wp:wrapNone/>
                      <wp:docPr id="711" name="Frame7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362585" cy="175260"/>
                      <wp:effectExtent l="0" t="0" r="0" b="0"/>
                      <wp:wrapNone/>
                      <wp:docPr id="712" name="Frame7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219710" cy="175260"/>
                      <wp:effectExtent l="0" t="0" r="0" b="0"/>
                      <wp:wrapNone/>
                      <wp:docPr id="713" name="Frame7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57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68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  ​</w:t>
            </w:r>
          </w:p>
        </w:tc>
      </w:tr>
      <w:tr>
        <w:trPr/>
        <w:tc>
          <w:tcPr>
            <w:tcW w:w="15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91" w:type="dxa"/>
            <w:tcBorders/>
            <w:vAlign w:val="center"/>
          </w:tcPr>
          <w:p>
            <w:pPr>
              <w:pStyle w:val="TableContents"/>
              <w:bidi w:val="0"/>
              <w:spacing w:before="0" w:after="1"/>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91"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91" w:type="dxa"/>
            <w:tcBorders/>
            <w:vAlign w:val="center"/>
          </w:tcPr>
          <w:p>
            <w:pPr>
              <w:pStyle w:val="TableContents"/>
              <w:bidi w:val="0"/>
              <w:spacing w:before="0" w:after="1"/>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46" w:type="dxa"/>
            <w:tcBorders/>
            <w:vAlign w:val="center"/>
          </w:tcPr>
          <w:p>
            <w:pPr>
              <w:pStyle w:val="TableContents"/>
              <w:bidi w:val="0"/>
              <w:spacing w:before="0" w:after="1"/>
              <w:ind w:left="0" w:right="0" w:hanging="0"/>
              <w:jc w:val="left"/>
              <w:rPr/>
            </w:pPr>
            <w:r>
              <w:rPr/>
              <w:t>​</w:t>
            </w:r>
          </w:p>
        </w:tc>
      </w:tr>
      <w:tr>
        <w:trPr/>
        <w:tc>
          <w:tcPr>
            <w:tcW w:w="10205" w:type="dxa"/>
            <w:gridSpan w:val="23"/>
            <w:tcBorders/>
            <w:vAlign w:val="center"/>
          </w:tcPr>
          <w:p>
            <w:pPr>
              <w:pStyle w:val="TableContents"/>
              <w:bidi w:val="0"/>
              <w:spacing w:before="0" w:after="283"/>
              <w:ind w:left="0" w:right="0" w:hanging="0"/>
              <w:jc w:val="left"/>
              <w:rPr>
                <w:sz w:val="4"/>
                <w:szCs w:val="4"/>
              </w:rPr>
            </w:pPr>
            <w:r>
              <w:rPr>
                <w:sz w:val="4"/>
                <w:szCs w:val="4"/>
              </w:rPr>
            </w:r>
          </w:p>
        </w:tc>
      </w:tr>
      <w:tr>
        <w:trPr/>
        <w:tc>
          <w:tcPr>
            <w:tcW w:w="15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000" w:type="dxa"/>
            <w:gridSpan w:val="20"/>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46" w:type="dxa"/>
            <w:tcBorders/>
            <w:vAlign w:val="center"/>
          </w:tcPr>
          <w:p>
            <w:pPr>
              <w:pStyle w:val="TableContents"/>
              <w:bidi w:val="0"/>
              <w:spacing w:before="0" w:after="1"/>
              <w:ind w:left="0" w:right="0" w:hanging="0"/>
              <w:jc w:val="left"/>
              <w:rPr/>
            </w:pPr>
            <w:r>
              <w:rPr/>
              <w:t>​</w:t>
            </w:r>
          </w:p>
        </w:tc>
      </w:tr>
      <w:tr>
        <w:trPr/>
        <w:tc>
          <w:tcPr>
            <w:tcW w:w="151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r>
      <w:tr>
        <w:trPr/>
        <w:tc>
          <w:tcPr>
            <w:tcW w:w="15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 real estate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forestry and hospitality real estate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Real estate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69.6</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43.8</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109.3</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82.1</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5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5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r>
      <w:tr>
        <w:trPr/>
        <w:tc>
          <w:tcPr>
            <w:tcW w:w="15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forestry and hospitality real estate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33.9</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8042" w:type="dxa"/>
        <w:jc w:val="left"/>
        <w:tblInd w:w="0" w:type="dxa"/>
        <w:tblLayout w:type="fixed"/>
        <w:tblCellMar>
          <w:top w:w="0" w:type="dxa"/>
          <w:left w:w="0" w:type="dxa"/>
          <w:bottom w:w="0" w:type="dxa"/>
          <w:right w:w="0" w:type="dxa"/>
        </w:tblCellMar>
      </w:tblPr>
      <w:tblGrid>
        <w:gridCol w:w="331"/>
        <w:gridCol w:w="7711"/>
      </w:tblGrid>
      <w:tr>
        <w:trPr/>
        <w:tc>
          <w:tcPr>
            <w:tcW w:w="331"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(a)</w:t>
            </w:r>
          </w:p>
        </w:tc>
        <w:tc>
          <w:tcPr>
            <w:tcW w:w="7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Calculated percentage of total real estate revenue and the respective gross margin percentage.</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Residential Real Estate Revenue and Gross Profit</w:t>
      </w:r>
      <w:r>
        <w:rPr>
          <w:rFonts w:ascii="Times New Roman;Times;serif" w:hAnsi="Times New Roman;Times;serif"/>
          <w:sz w:val="20"/>
        </w:rPr>
        <w:t>. During the three months ended June 30, 2026, residential real estate revenue increased $14.7 million, or 38.6%, to $52.8 million, as compared to $38.1 million during the same period in 2025. During the three months ended June 30, 2026, residential real estate gross profit increased $8.3 million to $25.3 million (or gross margin of 47.9%), as compared to $17.0 million (or gross margin of 44.6%) during the same period in 2025. During the three months ended June 30, 2026, we sold 224 homesites, 15 homes and had an unimproved residential land sale within our SummerCamp Beach community of $2.5 million, compared to 225 homesites, 10 homes and no unimproved residential land sales during the same period in 2025. During the three months ended June 30, 2026 and 2025, the average base revenue, excluding homesite residuals, per homesite sold was approximately $121,000 and $122,000, respectively. The revenue, gross profit and margin for each period was impacted by the difference in pricing among the communities, the difference in the cost of the development and the volume of sales within each of the communities. The number of homesites sold varied each period due to the timing of homebuilder contractual closing obligations in our residential communities.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residential real estate revenue increased $10.2 million, or 14.4%, to $81.2 million, as compared to $71.0 million during the same period in 2025. During the six months ended June 30, 2026, residential real estate gross profit increased $6.0 million to $37.9 million (or gross margin of 46.7%), as compared to $31.9 million (or gross margin of 44.9%) during the same period in 2025. During the six months ended June 30, 2026, we sold 392 homesites, 21 homes and had an unimproved residential land sale within our SummerCamp Beach community of $2.5 million, compared to 474 homesites, 10 homes and no unimproved residential land sales during the same period in 2025. During the six months ended June 30, 2026 and 2025, the average base revenue, excluding homesite residuals, per homesite sold was approximately $121,000 and $118,000, respectively. The revenue, gross profit and margin for each period was impacted by the difference in pricing among the communities, the difference in the cost of the development and the volume of sales within each of the communities. The number of homesites sold varied each period due to the timing of homebuilder contractual closing obligations in our residential communities.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Commercial, Forestry and Hospitality Real Estate Revenue and Gross Profit</w:t>
      </w:r>
      <w:r>
        <w:rPr>
          <w:rFonts w:ascii="Times New Roman;Times;serif" w:hAnsi="Times New Roman;Times;serif"/>
          <w:sz w:val="20"/>
        </w:rPr>
        <w:t xml:space="preserve">. During the three months ended June 30, 2026, we had six commercial, forestry and hospitality real estate sales totaling approximately 24 acres for $10.4 million, resulting in a gross profit of $7.0 million (or gross margin of 67.3%). The commercial, forestry and hospitality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real estate sales during the three months ended June 30, 2026, included the sale of a vacation rental property used in hospitality operations for $3.6 million, resulting in a gross margin of approximately 63.9%. During the three months ended June 30, 2025, we had five commercial, forestry and hospitality real estate sales totaling approximately 11 acres for $3.3 million, resulting in a gross profit of $1.6 million (or gross margin of 48.5%), which included the sale of a property used in hospitality operations for $1.4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we had ten commercial, forestry and hospitality real estate sales totaling approximately 139 acres for $16.7 million, resulting in a gross profit of $11.3 million (or gross margin of 67.7%). The commercial, forestry and hospitality real estate sales during the six months ended June 30, 2026, included the sale of two vacation rental properties used in hospitality operations for $7.1 million, resulting in a gross margin of approximately 63.4%. During the six months ended June 30, 2025, we had seven commercial, forestry and hospitality real estate sales totaling approximately 144 acres for $6.5 million, resulting in a gross profit of $4.7 million (or gross margin of 72.3%), which included the sale of a property used in hospitality operations for $1.4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real estate can vary significantly from period-to-period depending on the proximity to developed areas and mix of real estate sold in each period, with varying compositions of retail, office, industrial, timber and other commercial uses. Our gross margin can vary significantly from period-to-period depending on the characteristics of property sold. Sales of forestry land typically have a lower cost basis than residential, commercial and hospitality real estate sales. In addition, our cost basis in real estate can vary depending on the amount of development, construction or other costs incurred on the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Timber Revenue and Gross Profit.</w:t>
      </w:r>
      <w:r>
        <w:rPr>
          <w:rFonts w:ascii="Times New Roman;Times;serif" w:hAnsi="Times New Roman;Times;serif"/>
          <w:sz w:val="20"/>
        </w:rPr>
        <w:t xml:space="preserve"> Timber revenue decreased $0.2 million, or 15.4%, to $1.1 million during the three months ended June 30, 2026, as compared to $1.3 million in the same period in 2025. There were 70,000 tons of wood products sold at an average price per ton of $15.30 during the three months ended June 30, 2026, as compared to 62,000 tons of wood products sold at an average price per ton of $19.64, during the same period in 2025. Timber gross margin was 81.8% during the three months ended June 30, 2026, as compared to 84.6% during the same period in 2025. The decrease in revenue and gross margin was primarily due to product mix sold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Timber revenue decreased $0.5 million, or 20.0%, to $2.0 million during the six months ended June 30, 2026, as compared to $2.5 million in the same period in 2025. There were 122,000 tons of wood products sold at an average price per ton of $15.58 during the six months ended June 30, 2026, as compared to 135,000 tons of wood products sold at an average price per ton of $16.90, during the same period in 2025. Timber gross margin was 80.0% during the six months ended June 30, 2026, as compared to 84.0% during the same period in 2025. The decrease in revenue and gross margin was primarily due to product mix and a decrease in tons of wood products sold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Revenue</w:t>
      </w:r>
      <w:r>
        <w:rPr>
          <w:rFonts w:ascii="Times New Roman;Times;serif" w:hAnsi="Times New Roman;Times;serif"/>
          <w:sz w:val="20"/>
        </w:rPr>
        <w:t>. Other revenue primarily consists of our Business Services revenue and mitigation bank credit sales. Other revenue increased $4.2 million during the three months ended June 30, 2026, compared to the same period in 2025. Other gross margin was 13.2% during the three months ended June 30, 2026, as compared to 27.3% during the same period in 2025. The change in other revenue and gross margin was primarily due to our real estate brokerage business, which began operations in the second quarter of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revenue increased $7.3 million during the six months ended June 30, 2026, compared to the same period in 2025. Other gross margin was 13.8% during the six months ended June 30, 2026, as compared to 38.1% during the same period in 2025. The change in other revenue and gross margin was primarily due to our real estate brokerage business, which began operations in the second quarter of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Hospitality Revenue and Gross Profit</w:t>
      </w:r>
    </w:p>
    <w:tbl>
      <w:tblPr>
        <w:tblW w:w="7075" w:type="dxa"/>
        <w:jc w:val="left"/>
        <w:tblInd w:w="0" w:type="dxa"/>
        <w:tblLayout w:type="fixed"/>
        <w:tblCellMar>
          <w:top w:w="0" w:type="dxa"/>
          <w:left w:w="0" w:type="dxa"/>
          <w:bottom w:w="0" w:type="dxa"/>
          <w:right w:w="0" w:type="dxa"/>
        </w:tblCellMar>
      </w:tblPr>
      <w:tblGrid>
        <w:gridCol w:w="1726"/>
        <w:gridCol w:w="346"/>
        <w:gridCol w:w="223"/>
        <w:gridCol w:w="492"/>
        <w:gridCol w:w="381"/>
        <w:gridCol w:w="115"/>
        <w:gridCol w:w="223"/>
        <w:gridCol w:w="492"/>
        <w:gridCol w:w="381"/>
        <w:gridCol w:w="346"/>
        <w:gridCol w:w="211"/>
        <w:gridCol w:w="571"/>
        <w:gridCol w:w="361"/>
        <w:gridCol w:w="109"/>
        <w:gridCol w:w="211"/>
        <w:gridCol w:w="571"/>
        <w:gridCol w:w="316"/>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1096010" cy="175260"/>
                      <wp:effectExtent l="0" t="0" r="0" b="0"/>
                      <wp:wrapNone/>
                      <wp:docPr id="714" name="Frame714"/>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19710" cy="175260"/>
                      <wp:effectExtent l="0" t="0" r="0" b="0"/>
                      <wp:wrapNone/>
                      <wp:docPr id="715" name="Frame7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141605" cy="175260"/>
                      <wp:effectExtent l="0" t="0" r="0" b="0"/>
                      <wp:wrapNone/>
                      <wp:docPr id="716" name="Frame71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312420" cy="175260"/>
                      <wp:effectExtent l="0" t="0" r="0" b="0"/>
                      <wp:wrapNone/>
                      <wp:docPr id="717" name="Frame717"/>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41935" cy="175260"/>
                      <wp:effectExtent l="0" t="0" r="0" b="0"/>
                      <wp:wrapNone/>
                      <wp:docPr id="718" name="Frame71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73025" cy="175260"/>
                      <wp:effectExtent l="0" t="0" r="0" b="0"/>
                      <wp:wrapNone/>
                      <wp:docPr id="719" name="Frame719"/>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141605" cy="175260"/>
                      <wp:effectExtent l="0" t="0" r="0" b="0"/>
                      <wp:wrapNone/>
                      <wp:docPr id="720" name="Frame72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312420" cy="175260"/>
                      <wp:effectExtent l="0" t="0" r="0" b="0"/>
                      <wp:wrapNone/>
                      <wp:docPr id="721" name="Frame721"/>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41935" cy="175260"/>
                      <wp:effectExtent l="0" t="0" r="0" b="0"/>
                      <wp:wrapNone/>
                      <wp:docPr id="722" name="Frame722"/>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19710" cy="175260"/>
                      <wp:effectExtent l="0" t="0" r="0" b="0"/>
                      <wp:wrapNone/>
                      <wp:docPr id="723" name="Frame7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133985" cy="175260"/>
                      <wp:effectExtent l="0" t="0" r="0" b="0"/>
                      <wp:wrapNone/>
                      <wp:docPr id="724" name="Frame7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362585" cy="175260"/>
                      <wp:effectExtent l="0" t="0" r="0" b="0"/>
                      <wp:wrapNone/>
                      <wp:docPr id="725" name="Frame7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29235" cy="175260"/>
                      <wp:effectExtent l="0" t="0" r="0" b="0"/>
                      <wp:wrapNone/>
                      <wp:docPr id="726" name="Frame72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69215" cy="175260"/>
                      <wp:effectExtent l="0" t="0" r="0" b="0"/>
                      <wp:wrapNone/>
                      <wp:docPr id="727" name="Frame7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133985" cy="175260"/>
                      <wp:effectExtent l="0" t="0" r="0" b="0"/>
                      <wp:wrapNone/>
                      <wp:docPr id="728" name="Frame7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362585" cy="175260"/>
                      <wp:effectExtent l="0" t="0" r="0" b="0"/>
                      <wp:wrapNone/>
                      <wp:docPr id="729" name="Frame7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00660" cy="175260"/>
                      <wp:effectExtent l="0" t="0" r="0" b="0"/>
                      <wp:wrapNone/>
                      <wp:docPr id="730" name="Frame73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  ​ ​ ​</w:t>
            </w:r>
          </w:p>
        </w:tc>
        <w:tc>
          <w:tcPr>
            <w:tcW w:w="235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5" w:type="dxa"/>
            <w:tcBorders/>
            <w:vAlign w:val="center"/>
          </w:tcPr>
          <w:p>
            <w:pPr>
              <w:pStyle w:val="TableContents"/>
              <w:bidi w:val="0"/>
              <w:spacing w:before="0" w:after="1"/>
              <w:ind w:left="0" w:right="0" w:hanging="0"/>
              <w:jc w:val="left"/>
              <w:rPr/>
            </w:pPr>
            <w:r>
              <w:rPr/>
              <w:t>​</w:t>
            </w:r>
          </w:p>
        </w:tc>
        <w:tc>
          <w:tcPr>
            <w:tcW w:w="109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0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7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87" w:type="dxa"/>
            <w:gridSpan w:val="14"/>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16"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c>
          <w:tcPr>
            <w:tcW w:w="381" w:type="dxa"/>
            <w:tcBorders/>
            <w:shd w:fill="CCEEFF" w:val="clear"/>
            <w:vAlign w:val="center"/>
          </w:tcPr>
          <w:p>
            <w:pPr>
              <w:pStyle w:val="TableContents"/>
              <w:bidi w:val="0"/>
              <w:spacing w:before="0" w:after="1"/>
              <w:ind w:left="0" w:right="0" w:hanging="0"/>
              <w:jc w:val="left"/>
              <w:rPr/>
            </w:pPr>
            <w:r>
              <w:rPr/>
              <w:t>​</w:t>
            </w:r>
          </w:p>
        </w:tc>
        <w:tc>
          <w:tcPr>
            <w:tcW w:w="11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w:t>
            </w:r>
          </w:p>
        </w:tc>
        <w:tc>
          <w:tcPr>
            <w:tcW w:w="3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w:t>
            </w:r>
          </w:p>
        </w:tc>
        <w:tc>
          <w:tcPr>
            <w:tcW w:w="316" w:type="dxa"/>
            <w:tcBorders/>
            <w:shd w:fill="CCEEFF" w:val="clear"/>
            <w:vAlign w:val="center"/>
          </w:tcPr>
          <w:p>
            <w:pPr>
              <w:pStyle w:val="TableContents"/>
              <w:bidi w:val="0"/>
              <w:spacing w:before="0" w:after="1"/>
              <w:ind w:left="0" w:right="0" w:hanging="0"/>
              <w:jc w:val="righ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81" w:type="dxa"/>
            <w:tcBorders/>
            <w:vAlign w:val="center"/>
          </w:tcPr>
          <w:p>
            <w:pPr>
              <w:pStyle w:val="TableContents"/>
              <w:bidi w:val="0"/>
              <w:spacing w:before="0" w:after="1"/>
              <w:ind w:left="0" w:right="0" w:hanging="0"/>
              <w:jc w:val="left"/>
              <w:rPr/>
            </w:pPr>
            <w:r>
              <w:rPr/>
              <w:t>​</w:t>
            </w:r>
          </w:p>
        </w:tc>
        <w:tc>
          <w:tcPr>
            <w:tcW w:w="115"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16" w:type="dxa"/>
            <w:tcBorders/>
            <w:vAlign w:val="center"/>
          </w:tcPr>
          <w:p>
            <w:pPr>
              <w:pStyle w:val="TableContents"/>
              <w:bidi w:val="0"/>
              <w:spacing w:before="0" w:after="1"/>
              <w:ind w:left="0" w:right="0" w:hanging="0"/>
              <w:jc w:val="righ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revenue increased $5.4 million, or 7.8%, to $74.2 million during the three months ended June 30, 2026, as compared to $68.8 million in the same period in 2025. The increase in hospitality revenue was primarily related to membership and ancillary spend increases. The increase in revenue was also related to an increase in hotel operations in average daily rate (“ADR”), occupancy and guest incidental spend. Hospitality gross margin increased to 41.1% during the three months ended June 30, 2026, compared to 38.5% during the same period in 2025. The increase in gross margin was primarily due to the continued stabilization of the properties and improvements in management of operating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revenue increased $10.5 million, or 9.7%, to $118.9 million during the six months ended June 30, 2026, as compared to $108.4 million in the same period in 2025. The increase in hospitality revenue was primarily related to membership and ancillary spend increases. The increase in revenue was also related to an increase in hotel operations in ADR, occupancy and guest incidental spend. As of June 30, 2026, Watersound Club had 3,723 members, compared with 3,551 members as of June 30, 2025, a net increase of 172 members. As of both June 30, 2026 and 2025, we had 1,053 operational hotel rooms (excluding 245 hotel rooms related to unconsolidated JVs). Hospitality gross margin increased to 34.7% during the six months ended June 30, 2026, compared to 31.1% during the same period in 2025. The increase in gross margin was primarily due to the continued stabilization of the properties and improvements in management of operating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Leasing Revenue and Gross Profit</w:t>
      </w:r>
    </w:p>
    <w:tbl>
      <w:tblPr>
        <w:tblW w:w="6685" w:type="dxa"/>
        <w:jc w:val="left"/>
        <w:tblInd w:w="0" w:type="dxa"/>
        <w:tblLayout w:type="fixed"/>
        <w:tblCellMar>
          <w:top w:w="0" w:type="dxa"/>
          <w:left w:w="0" w:type="dxa"/>
          <w:bottom w:w="0" w:type="dxa"/>
          <w:right w:w="0" w:type="dxa"/>
        </w:tblCellMar>
      </w:tblPr>
      <w:tblGrid>
        <w:gridCol w:w="1456"/>
        <w:gridCol w:w="346"/>
        <w:gridCol w:w="223"/>
        <w:gridCol w:w="492"/>
        <w:gridCol w:w="381"/>
        <w:gridCol w:w="115"/>
        <w:gridCol w:w="223"/>
        <w:gridCol w:w="492"/>
        <w:gridCol w:w="381"/>
        <w:gridCol w:w="346"/>
        <w:gridCol w:w="211"/>
        <w:gridCol w:w="466"/>
        <w:gridCol w:w="361"/>
        <w:gridCol w:w="109"/>
        <w:gridCol w:w="211"/>
        <w:gridCol w:w="466"/>
        <w:gridCol w:w="40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924560" cy="175260"/>
                      <wp:effectExtent l="0" t="0" r="0" b="0"/>
                      <wp:wrapNone/>
                      <wp:docPr id="731" name="Frame73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19710" cy="175260"/>
                      <wp:effectExtent l="0" t="0" r="0" b="0"/>
                      <wp:wrapNone/>
                      <wp:docPr id="732" name="Frame7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141605" cy="175260"/>
                      <wp:effectExtent l="0" t="0" r="0" b="0"/>
                      <wp:wrapNone/>
                      <wp:docPr id="733" name="Frame73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312420" cy="175260"/>
                      <wp:effectExtent l="0" t="0" r="0" b="0"/>
                      <wp:wrapNone/>
                      <wp:docPr id="734" name="Frame734"/>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241935" cy="175260"/>
                      <wp:effectExtent l="0" t="0" r="0" b="0"/>
                      <wp:wrapNone/>
                      <wp:docPr id="735" name="Frame735"/>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73025" cy="175260"/>
                      <wp:effectExtent l="0" t="0" r="0" b="0"/>
                      <wp:wrapNone/>
                      <wp:docPr id="736" name="Frame736"/>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41605" cy="175260"/>
                      <wp:effectExtent l="0" t="0" r="0" b="0"/>
                      <wp:wrapNone/>
                      <wp:docPr id="737" name="Frame73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312420" cy="175260"/>
                      <wp:effectExtent l="0" t="0" r="0" b="0"/>
                      <wp:wrapNone/>
                      <wp:docPr id="738" name="Frame738"/>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41935" cy="175260"/>
                      <wp:effectExtent l="0" t="0" r="0" b="0"/>
                      <wp:wrapNone/>
                      <wp:docPr id="739" name="Frame739"/>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219710" cy="175260"/>
                      <wp:effectExtent l="0" t="0" r="0" b="0"/>
                      <wp:wrapNone/>
                      <wp:docPr id="740" name="Frame7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133985" cy="175260"/>
                      <wp:effectExtent l="0" t="0" r="0" b="0"/>
                      <wp:wrapNone/>
                      <wp:docPr id="741" name="Frame7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295910" cy="175260"/>
                      <wp:effectExtent l="0" t="0" r="0" b="0"/>
                      <wp:wrapNone/>
                      <wp:docPr id="742" name="Frame74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229235" cy="175260"/>
                      <wp:effectExtent l="0" t="0" r="0" b="0"/>
                      <wp:wrapNone/>
                      <wp:docPr id="743" name="Frame7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69215" cy="175260"/>
                      <wp:effectExtent l="0" t="0" r="0" b="0"/>
                      <wp:wrapNone/>
                      <wp:docPr id="744" name="Frame7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33985" cy="175260"/>
                      <wp:effectExtent l="0" t="0" r="0" b="0"/>
                      <wp:wrapNone/>
                      <wp:docPr id="745" name="Frame7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95910" cy="175260"/>
                      <wp:effectExtent l="0" t="0" r="0" b="0"/>
                      <wp:wrapNone/>
                      <wp:docPr id="746" name="Frame74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257810" cy="175260"/>
                      <wp:effectExtent l="0" t="0" r="0" b="0"/>
                      <wp:wrapNone/>
                      <wp:docPr id="747" name="Frame74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  ​ ​ ​</w:t>
            </w:r>
          </w:p>
        </w:tc>
        <w:tc>
          <w:tcPr>
            <w:tcW w:w="223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5" w:type="dxa"/>
            <w:tcBorders/>
            <w:vAlign w:val="center"/>
          </w:tcPr>
          <w:p>
            <w:pPr>
              <w:pStyle w:val="TableContents"/>
              <w:bidi w:val="0"/>
              <w:spacing w:before="0" w:after="1"/>
              <w:ind w:left="0" w:right="0" w:hanging="0"/>
              <w:jc w:val="left"/>
              <w:rPr/>
            </w:pPr>
            <w:r>
              <w:rPr/>
              <w:t>​</w:t>
            </w:r>
          </w:p>
        </w:tc>
        <w:tc>
          <w:tcPr>
            <w:tcW w:w="109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0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0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68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477" w:type="dxa"/>
            <w:gridSpan w:val="14"/>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406" w:type="dxa"/>
            <w:tcBorders/>
            <w:vAlign w:val="center"/>
          </w:tcPr>
          <w:p>
            <w:pPr>
              <w:pStyle w:val="TableContents"/>
              <w:bidi w:val="0"/>
              <w:spacing w:before="0" w:after="1"/>
              <w:ind w:left="0" w:right="0" w:hanging="0"/>
              <w:jc w:val="left"/>
              <w:rPr/>
            </w:pPr>
            <w:r>
              <w:rPr/>
              <w:t>​</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81" w:type="dxa"/>
            <w:tcBorders/>
            <w:shd w:fill="CCEEFF" w:val="clear"/>
            <w:vAlign w:val="center"/>
          </w:tcPr>
          <w:p>
            <w:pPr>
              <w:pStyle w:val="TableContents"/>
              <w:bidi w:val="0"/>
              <w:spacing w:before="0" w:after="1"/>
              <w:ind w:left="0" w:right="0" w:hanging="0"/>
              <w:jc w:val="left"/>
              <w:rPr/>
            </w:pPr>
            <w:r>
              <w:rPr/>
              <w:t>​</w:t>
            </w:r>
          </w:p>
        </w:tc>
        <w:tc>
          <w:tcPr>
            <w:tcW w:w="11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81" w:type="dxa"/>
            <w:tcBorders/>
            <w:vAlign w:val="center"/>
          </w:tcPr>
          <w:p>
            <w:pPr>
              <w:pStyle w:val="TableContents"/>
              <w:bidi w:val="0"/>
              <w:spacing w:before="0" w:after="1"/>
              <w:ind w:left="0" w:right="0" w:hanging="0"/>
              <w:jc w:val="left"/>
              <w:rPr/>
            </w:pPr>
            <w:r>
              <w:rPr/>
              <w:t>​</w:t>
            </w:r>
          </w:p>
        </w:tc>
        <w:tc>
          <w:tcPr>
            <w:tcW w:w="115"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406" w:type="dxa"/>
            <w:tcBorders/>
            <w:vAlign w:val="center"/>
          </w:tcPr>
          <w:p>
            <w:pPr>
              <w:pStyle w:val="TableContents"/>
              <w:bidi w:val="0"/>
              <w:spacing w:before="0" w:after="1"/>
              <w:ind w:left="0" w:right="0" w:hanging="0"/>
              <w:jc w:val="left"/>
              <w:rPr/>
            </w:pPr>
            <w:r>
              <w:rPr/>
              <w:t>​</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decreased $1.5 million, or 9.1%, to $15.0 million during the three months ended June 30, 2026, as compared to $16.5 million in the same period in 2025. The decrease was primarily due to the sale of Watercrest JV’s senior living community property in September 2025, which ceased operating activities, and the sale of townhomes in the Watersound Villas on the Fairway community since the end of the prior period. The decrease was partially offset by additional commercial property leases. Leasing gross margin increased to 60.0% during the three months ended June 30, 2026, as compared to 53.9% during the same period in 2025. The increase in leasing gross margin was primarily due to additional leases in the current period and the sale of the Watercrest JV’s senior living community property, which operated with lower margins.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decreased $3.1 million, or 9.5%, to $29.7 million during the six months ended June 30, 2026, as compared to $32.8 million in the same period in 2025. The decrease was primarily due to the sale of Watercrest JV’s senior living community property in September 2025, which ceased operating activities, and the sale of townhomes in the Watersound Villas on the Fairway community since the end of the prior period. The decrease was partially offset by additional commercial property leases. Leasing gross margin increased to 60.6% during the six months ended June 30, 2026, as compared to 54.3% during the same period in 2025. The increase in leasing gross margin was primarily due to additional leases in the current period and the sale of the Watercrest JV’s senior living community property, which operated with lower margins.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and Other Operating Expenses</w:t>
      </w:r>
    </w:p>
    <w:tbl>
      <w:tblPr>
        <w:tblW w:w="9491" w:type="dxa"/>
        <w:jc w:val="left"/>
        <w:tblInd w:w="0" w:type="dxa"/>
        <w:tblLayout w:type="fixed"/>
        <w:tblCellMar>
          <w:top w:w="0" w:type="dxa"/>
          <w:left w:w="0" w:type="dxa"/>
          <w:bottom w:w="0" w:type="dxa"/>
          <w:right w:w="0" w:type="dxa"/>
        </w:tblCellMar>
      </w:tblPr>
      <w:tblGrid>
        <w:gridCol w:w="4186"/>
        <w:gridCol w:w="346"/>
        <w:gridCol w:w="327"/>
        <w:gridCol w:w="559"/>
        <w:gridCol w:w="536"/>
        <w:gridCol w:w="327"/>
        <w:gridCol w:w="559"/>
        <w:gridCol w:w="346"/>
        <w:gridCol w:w="262"/>
        <w:gridCol w:w="580"/>
        <w:gridCol w:w="430"/>
        <w:gridCol w:w="262"/>
        <w:gridCol w:w="580"/>
        <w:gridCol w:w="19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658110" cy="175260"/>
                      <wp:effectExtent l="0" t="0" r="0" b="0"/>
                      <wp:wrapNone/>
                      <wp:docPr id="748" name="Frame748"/>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219710" cy="175260"/>
                      <wp:effectExtent l="0" t="0" r="0" b="0"/>
                      <wp:wrapNone/>
                      <wp:docPr id="749" name="Frame7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207645" cy="175260"/>
                      <wp:effectExtent l="0" t="0" r="0" b="0"/>
                      <wp:wrapNone/>
                      <wp:docPr id="750" name="Frame750"/>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354965" cy="175260"/>
                      <wp:effectExtent l="0" t="0" r="0" b="0"/>
                      <wp:wrapNone/>
                      <wp:docPr id="751" name="Frame751"/>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340360" cy="175260"/>
                      <wp:effectExtent l="0" t="0" r="0" b="0"/>
                      <wp:wrapNone/>
                      <wp:docPr id="752" name="Frame752"/>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07645" cy="175260"/>
                      <wp:effectExtent l="0" t="0" r="0" b="0"/>
                      <wp:wrapNone/>
                      <wp:docPr id="753" name="Frame75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354965" cy="175260"/>
                      <wp:effectExtent l="0" t="0" r="0" b="0"/>
                      <wp:wrapNone/>
                      <wp:docPr id="754" name="Frame754"/>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19710" cy="175260"/>
                      <wp:effectExtent l="0" t="0" r="0" b="0"/>
                      <wp:wrapNone/>
                      <wp:docPr id="755" name="Frame7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66370" cy="175260"/>
                      <wp:effectExtent l="0" t="0" r="0" b="0"/>
                      <wp:wrapNone/>
                      <wp:docPr id="756" name="Frame756"/>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368300" cy="175260"/>
                      <wp:effectExtent l="0" t="0" r="0" b="0"/>
                      <wp:wrapNone/>
                      <wp:docPr id="757" name="Frame757"/>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73050" cy="175260"/>
                      <wp:effectExtent l="0" t="0" r="0" b="0"/>
                      <wp:wrapNone/>
                      <wp:docPr id="758" name="Frame758"/>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166370" cy="175260"/>
                      <wp:effectExtent l="0" t="0" r="0" b="0"/>
                      <wp:wrapNone/>
                      <wp:docPr id="759" name="Frame759"/>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368300" cy="175260"/>
                      <wp:effectExtent l="0" t="0" r="0" b="0"/>
                      <wp:wrapNone/>
                      <wp:docPr id="760" name="Frame760"/>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121285" cy="175260"/>
                      <wp:effectExtent l="0" t="0" r="0" b="0"/>
                      <wp:wrapNone/>
                      <wp:docPr id="761" name="Frame76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1"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36" w:type="dxa"/>
            <w:tcBorders/>
            <w:vAlign w:val="center"/>
          </w:tcPr>
          <w:p>
            <w:pPr>
              <w:pStyle w:val="TableContents"/>
              <w:bidi w:val="0"/>
              <w:spacing w:before="0" w:after="1"/>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0" w:type="dxa"/>
            <w:tcBorders/>
            <w:vAlign w:val="center"/>
          </w:tcPr>
          <w:p>
            <w:pPr>
              <w:pStyle w:val="TableContents"/>
              <w:bidi w:val="0"/>
              <w:spacing w:before="0" w:after="1"/>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1"/>
              <w:ind w:left="0" w:right="0" w:hanging="0"/>
              <w:jc w:val="center"/>
              <w:rPr/>
            </w:pPr>
            <w:r>
              <w:rPr/>
              <w:t> </w:t>
            </w:r>
          </w:p>
        </w:tc>
      </w:tr>
      <w:tr>
        <w:trPr/>
        <w:tc>
          <w:tcPr>
            <w:tcW w:w="9491"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68" w:type="dxa"/>
            <w:gridSpan w:val="11"/>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191" w:type="dxa"/>
            <w:tcBorders/>
            <w:vAlign w:val="center"/>
          </w:tcPr>
          <w:p>
            <w:pPr>
              <w:pStyle w:val="TableContents"/>
              <w:bidi w:val="0"/>
              <w:spacing w:before="0" w:after="1"/>
              <w:ind w:left="0" w:right="0" w:hanging="0"/>
              <w:jc w:val="left"/>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53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430"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taxes and insurance</w:t>
            </w:r>
          </w:p>
        </w:tc>
        <w:tc>
          <w:tcPr>
            <w:tcW w:w="34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53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430"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91" w:type="dxa"/>
            <w:tcBorders/>
            <w:vAlign w:val="center"/>
          </w:tcPr>
          <w:p>
            <w:pPr>
              <w:pStyle w:val="TableContents"/>
              <w:bidi w:val="0"/>
              <w:spacing w:before="0" w:after="1"/>
              <w:ind w:left="0" w:right="0" w:hanging="0"/>
              <w:jc w:val="left"/>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53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30"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owner association costs</w:t>
            </w:r>
          </w:p>
        </w:tc>
        <w:tc>
          <w:tcPr>
            <w:tcW w:w="34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53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 </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430"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191" w:type="dxa"/>
            <w:tcBorders/>
            <w:vAlign w:val="center"/>
          </w:tcPr>
          <w:p>
            <w:pPr>
              <w:pStyle w:val="TableContents"/>
              <w:bidi w:val="0"/>
              <w:spacing w:before="0" w:after="1"/>
              <w:ind w:left="0" w:right="0" w:hanging="0"/>
              <w:jc w:val="left"/>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 repairs and maintenance</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53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 </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430"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miscellaneous</w:t>
            </w:r>
          </w:p>
        </w:tc>
        <w:tc>
          <w:tcPr>
            <w:tcW w:w="346" w:type="dxa"/>
            <w:tcBorders/>
            <w:vAlign w:val="center"/>
          </w:tcPr>
          <w:p>
            <w:pPr>
              <w:pStyle w:val="TableContents"/>
              <w:bidi w:val="0"/>
              <w:spacing w:before="0" w:after="1"/>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536" w:type="dxa"/>
            <w:tcBorders/>
            <w:vAlign w:val="center"/>
          </w:tcPr>
          <w:p>
            <w:pPr>
              <w:pStyle w:val="TableContents"/>
              <w:bidi w:val="0"/>
              <w:spacing w:before="0" w:after="1"/>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30"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91" w:type="dxa"/>
            <w:tcBorders/>
            <w:vAlign w:val="center"/>
          </w:tcPr>
          <w:p>
            <w:pPr>
              <w:pStyle w:val="TableContents"/>
              <w:bidi w:val="0"/>
              <w:spacing w:before="0" w:after="1"/>
              <w:ind w:left="0" w:right="0" w:hanging="0"/>
              <w:jc w:val="left"/>
              <w:rPr/>
            </w:pPr>
            <w:r>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Total corporate and other operating expenses</w:t>
            </w:r>
            <w:r>
              <w:rPr>
                <w:rFonts w:ascii="Times New Roman;Times;serif" w:hAnsi="Times New Roman;Times;serif"/>
                <w:sz w:val="20"/>
              </w:rPr>
              <w:t xml:space="preserve"> </w:t>
            </w:r>
            <w:r>
              <w:rPr>
                <w:rFonts w:ascii="Times New Roman;Times;serif" w:hAnsi="Times New Roman;Times;serif"/>
                <w:b/>
                <w:sz w:val="15"/>
              </w:rPr>
              <w:t>(a)</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w:t>
            </w:r>
          </w:p>
        </w:tc>
        <w:tc>
          <w:tcPr>
            <w:tcW w:w="536"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w:t>
            </w:r>
          </w:p>
        </w:tc>
        <w:tc>
          <w:tcPr>
            <w:tcW w:w="430"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w:t>
            </w:r>
          </w:p>
        </w:tc>
        <w:tc>
          <w:tcPr>
            <w:tcW w:w="191" w:type="dxa"/>
            <w:tcBorders/>
            <w:shd w:fill="CCEEFF" w:val="clear"/>
            <w:vAlign w:val="center"/>
          </w:tcPr>
          <w:p>
            <w:pPr>
              <w:pStyle w:val="TableContents"/>
              <w:bidi w:val="0"/>
              <w:spacing w:before="0" w:after="1"/>
              <w:ind w:left="0" w:right="0" w:hanging="0"/>
              <w:jc w:val="left"/>
              <w:rPr/>
            </w:pPr>
            <w:r>
              <w:rPr/>
              <w:t>​</w:t>
            </w:r>
          </w:p>
        </w:tc>
      </w:tr>
    </w:tbl>
    <w:tbl>
      <w:tblPr>
        <w:tblW w:w="4082" w:type="dxa"/>
        <w:jc w:val="left"/>
        <w:tblInd w:w="0" w:type="dxa"/>
        <w:tblLayout w:type="fixed"/>
        <w:tblCellMar>
          <w:top w:w="0" w:type="dxa"/>
          <w:left w:w="0" w:type="dxa"/>
          <w:bottom w:w="0" w:type="dxa"/>
          <w:right w:w="0" w:type="dxa"/>
        </w:tblCellMar>
      </w:tblPr>
      <w:tblGrid>
        <w:gridCol w:w="316"/>
        <w:gridCol w:w="376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3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Corporate and other operating expenses increased $0.8 million, or 12.5%, to $7.2 million during the three months ended June 30, 2026, as compared to $6.4 million in the same period in 2025. The increase in corporate and other operating expenses was primarily related to employee costs, owner association assessments, repairs and maintenance and marketing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Corporate and other operating expenses increased $2.6 million, or 20.0%, to $15.6 million during the six months ended June 30, 2026, as compared to $13.0 million in the same period in 2025. The increase in corporate and other operating expenses was primarily related to compensation payments made in the first quarter of 2026, as well as owner association assessments, repairs and maintenance and marketing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Depletion and Amortization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depletion and amortization expense decreased $0.6 million during the three months ended June 30, 2026, as compared to the same period in 2025. Depreciation, depletion and amortization expense decreased $1.3 million during the six months ended June 30, 2026, as compared to the same period in 2025. The decrease in both periods was primarily due to assets sold since the prior period, partially offset by new hospitality and commercial assets placed in service. Depreciation is a non-cash, GAAP expense, which is amortized over an asset’s useful life, while maintenance and repair expenses are period costs and expensed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income, net primarily includes (i) interest, dividends and accretion income accrued or received on our cash, cash equivalents and other investments, (ii) interest income earned on the time deposit held by SPE and (iii) interest earned on our unimproved land contribution to the unconsolidated Latitude Margaritaville Watersound JV as home sales are transacted in the community and other receivables as detailed in the table below:</w:t>
      </w:r>
    </w:p>
    <w:tbl>
      <w:tblPr>
        <w:tblW w:w="10205" w:type="dxa"/>
        <w:jc w:val="left"/>
        <w:tblInd w:w="0" w:type="dxa"/>
        <w:tblLayout w:type="fixed"/>
        <w:tblCellMar>
          <w:top w:w="0" w:type="dxa"/>
          <w:left w:w="0" w:type="dxa"/>
          <w:bottom w:w="0" w:type="dxa"/>
          <w:right w:w="0" w:type="dxa"/>
        </w:tblCellMar>
      </w:tblPr>
      <w:tblGrid>
        <w:gridCol w:w="4918"/>
        <w:gridCol w:w="346"/>
        <w:gridCol w:w="325"/>
        <w:gridCol w:w="556"/>
        <w:gridCol w:w="533"/>
        <w:gridCol w:w="325"/>
        <w:gridCol w:w="556"/>
        <w:gridCol w:w="346"/>
        <w:gridCol w:w="297"/>
        <w:gridCol w:w="510"/>
        <w:gridCol w:w="489"/>
        <w:gridCol w:w="297"/>
        <w:gridCol w:w="510"/>
        <w:gridCol w:w="197"/>
      </w:tblGrid>
      <w:tr>
        <w:trPr/>
        <w:tc>
          <w:tcPr>
            <w:tcW w:w="4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3122930" cy="175260"/>
                      <wp:effectExtent l="0" t="0" r="0" b="0"/>
                      <wp:wrapNone/>
                      <wp:docPr id="762" name="Frame762"/>
                      <a:graphic xmlns:a="http://schemas.openxmlformats.org/drawingml/2006/main">
                        <a:graphicData uri="http://schemas.microsoft.com/office/word/2010/wordprocessingShape">
                          <wps:wsp>
                            <wps:cNvSpPr txBox="1"/>
                            <wps:spPr>
                              <a:xfrm>
                                <a:off x="0" y="0"/>
                                <a:ext cx="312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219710" cy="175260"/>
                      <wp:effectExtent l="0" t="0" r="0" b="0"/>
                      <wp:wrapNone/>
                      <wp:docPr id="763" name="Frame7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06375" cy="175260"/>
                      <wp:effectExtent l="0" t="0" r="0" b="0"/>
                      <wp:wrapNone/>
                      <wp:docPr id="764" name="Frame764"/>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353060" cy="175260"/>
                      <wp:effectExtent l="0" t="0" r="0" b="0"/>
                      <wp:wrapNone/>
                      <wp:docPr id="765" name="Frame765"/>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338455" cy="175260"/>
                      <wp:effectExtent l="0" t="0" r="0" b="0"/>
                      <wp:wrapNone/>
                      <wp:docPr id="766" name="Frame766"/>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06375" cy="175260"/>
                      <wp:effectExtent l="0" t="0" r="0" b="0"/>
                      <wp:wrapNone/>
                      <wp:docPr id="767" name="Frame767"/>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353060" cy="175260"/>
                      <wp:effectExtent l="0" t="0" r="0" b="0"/>
                      <wp:wrapNone/>
                      <wp:docPr id="768" name="Frame76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19710" cy="175260"/>
                      <wp:effectExtent l="0" t="0" r="0" b="0"/>
                      <wp:wrapNone/>
                      <wp:docPr id="769" name="Frame7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88595" cy="175260"/>
                      <wp:effectExtent l="0" t="0" r="0" b="0"/>
                      <wp:wrapNone/>
                      <wp:docPr id="770" name="Frame77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323850" cy="175260"/>
                      <wp:effectExtent l="0" t="0" r="0" b="0"/>
                      <wp:wrapNone/>
                      <wp:docPr id="771" name="Frame771"/>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310515" cy="175260"/>
                      <wp:effectExtent l="0" t="0" r="0" b="0"/>
                      <wp:wrapNone/>
                      <wp:docPr id="772" name="Frame772"/>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188595" cy="175260"/>
                      <wp:effectExtent l="0" t="0" r="0" b="0"/>
                      <wp:wrapNone/>
                      <wp:docPr id="773" name="Frame773"/>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323850" cy="175260"/>
                      <wp:effectExtent l="0" t="0" r="0" b="0"/>
                      <wp:wrapNone/>
                      <wp:docPr id="774" name="Frame774"/>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125095" cy="175260"/>
                      <wp:effectExtent l="0" t="0" r="0" b="0"/>
                      <wp:wrapNone/>
                      <wp:docPr id="775" name="Frame775"/>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1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7" w:type="dxa"/>
            <w:tcBorders/>
            <w:vAlign w:val="center"/>
          </w:tcPr>
          <w:p>
            <w:pPr>
              <w:pStyle w:val="TableContents"/>
              <w:bidi w:val="0"/>
              <w:spacing w:before="0" w:after="0"/>
              <w:ind w:left="0" w:right="0" w:hanging="0"/>
              <w:jc w:val="center"/>
              <w:rPr/>
            </w:pPr>
            <w:r>
              <w:rPr/>
              <w:t>​</w:t>
            </w:r>
          </w:p>
        </w:tc>
      </w:tr>
      <w:tr>
        <w:trPr/>
        <w:tc>
          <w:tcPr>
            <w:tcW w:w="49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33" w:type="dxa"/>
            <w:tcBorders/>
            <w:vAlign w:val="center"/>
          </w:tcPr>
          <w:p>
            <w:pPr>
              <w:pStyle w:val="TableContents"/>
              <w:bidi w:val="0"/>
              <w:spacing w:before="0" w:after="0"/>
              <w:ind w:left="0" w:right="0" w:hanging="0"/>
              <w:jc w:val="center"/>
              <w:rPr/>
            </w:pPr>
            <w:r>
              <w:rPr/>
              <w:t>  ​ ​ ​</w:t>
            </w:r>
          </w:p>
        </w:tc>
        <w:tc>
          <w:tcPr>
            <w:tcW w:w="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9" w:type="dxa"/>
            <w:tcBorders/>
            <w:vAlign w:val="center"/>
          </w:tcPr>
          <w:p>
            <w:pPr>
              <w:pStyle w:val="TableContents"/>
              <w:bidi w:val="0"/>
              <w:spacing w:before="0" w:after="0"/>
              <w:ind w:left="0" w:right="0" w:hanging="0"/>
              <w:jc w:val="center"/>
              <w:rPr/>
            </w:pPr>
            <w:r>
              <w:rPr/>
              <w:t>  ​ ​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7" w:type="dxa"/>
            <w:tcBorders/>
            <w:vAlign w:val="center"/>
          </w:tcPr>
          <w:p>
            <w:pPr>
              <w:pStyle w:val="TableContents"/>
              <w:bidi w:val="0"/>
              <w:spacing w:before="0" w:after="0"/>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9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4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197" w:type="dxa"/>
            <w:tcBorders/>
            <w:vAlign w:val="center"/>
          </w:tcPr>
          <w:p>
            <w:pPr>
              <w:pStyle w:val="TableContents"/>
              <w:bidi w:val="0"/>
              <w:spacing w:before="0" w:after="0"/>
              <w:ind w:left="0" w:right="0" w:hanging="0"/>
              <w:jc w:val="left"/>
              <w:rPr/>
            </w:pPr>
            <w:r>
              <w:rPr/>
              <w:t>​</w:t>
            </w:r>
          </w:p>
        </w:tc>
      </w:tr>
      <w:tr>
        <w:trPr/>
        <w:tc>
          <w:tcPr>
            <w:tcW w:w="49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dividend and accretion income</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33"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8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97" w:type="dxa"/>
            <w:tcBorders/>
            <w:shd w:fill="CCEEFF" w:val="clear"/>
            <w:vAlign w:val="center"/>
          </w:tcPr>
          <w:p>
            <w:pPr>
              <w:pStyle w:val="TableContents"/>
              <w:bidi w:val="0"/>
              <w:spacing w:before="0" w:after="0"/>
              <w:ind w:left="0" w:right="0" w:hanging="0"/>
              <w:jc w:val="left"/>
              <w:rPr/>
            </w:pPr>
            <w:r>
              <w:rPr/>
              <w:t>​</w:t>
            </w:r>
          </w:p>
        </w:tc>
      </w:tr>
      <w:tr>
        <w:trPr/>
        <w:tc>
          <w:tcPr>
            <w:tcW w:w="4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investments in special purpose entities</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533"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8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97" w:type="dxa"/>
            <w:tcBorders/>
            <w:vAlign w:val="center"/>
          </w:tcPr>
          <w:p>
            <w:pPr>
              <w:pStyle w:val="TableContents"/>
              <w:bidi w:val="0"/>
              <w:spacing w:before="0" w:after="0"/>
              <w:ind w:left="0" w:right="0" w:hanging="0"/>
              <w:jc w:val="left"/>
              <w:rPr/>
            </w:pPr>
            <w:r>
              <w:rPr/>
              <w:t>​</w:t>
            </w:r>
          </w:p>
        </w:tc>
      </w:tr>
      <w:tr>
        <w:trPr/>
        <w:tc>
          <w:tcPr>
            <w:tcW w:w="49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533"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89"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97" w:type="dxa"/>
            <w:tcBorders/>
            <w:shd w:fill="CCEEFF" w:val="clear"/>
            <w:vAlign w:val="center"/>
          </w:tcPr>
          <w:p>
            <w:pPr>
              <w:pStyle w:val="TableContents"/>
              <w:bidi w:val="0"/>
              <w:spacing w:before="0" w:after="0"/>
              <w:ind w:left="0" w:right="0" w:hanging="0"/>
              <w:jc w:val="left"/>
              <w:rPr/>
            </w:pPr>
            <w:r>
              <w:rPr/>
              <w:t>​</w:t>
            </w:r>
          </w:p>
        </w:tc>
      </w:tr>
      <w:tr>
        <w:trPr/>
        <w:tc>
          <w:tcPr>
            <w:tcW w:w="49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income, net</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533"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w:t>
            </w:r>
          </w:p>
        </w:tc>
        <w:tc>
          <w:tcPr>
            <w:tcW w:w="489"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c>
          <w:tcPr>
            <w:tcW w:w="19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income, net during the three and six months ended June 30, 2026 and 2025, were comparable.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expense primarily includes interest incurred on project financing, the Senior Notes issued by Northwest Florida Timber Finance, LLC, CDD debt and finance leases, as well as amortization of debt discount and premium and debt issuance costs as detailed in the table below:</w:t>
      </w:r>
    </w:p>
    <w:tbl>
      <w:tblPr>
        <w:tblW w:w="10205" w:type="dxa"/>
        <w:jc w:val="left"/>
        <w:tblInd w:w="0" w:type="dxa"/>
        <w:tblLayout w:type="fixed"/>
        <w:tblCellMar>
          <w:top w:w="0" w:type="dxa"/>
          <w:left w:w="0" w:type="dxa"/>
          <w:bottom w:w="0" w:type="dxa"/>
          <w:right w:w="0" w:type="dxa"/>
        </w:tblCellMar>
      </w:tblPr>
      <w:tblGrid>
        <w:gridCol w:w="5583"/>
        <w:gridCol w:w="346"/>
        <w:gridCol w:w="273"/>
        <w:gridCol w:w="468"/>
        <w:gridCol w:w="448"/>
        <w:gridCol w:w="273"/>
        <w:gridCol w:w="468"/>
        <w:gridCol w:w="346"/>
        <w:gridCol w:w="233"/>
        <w:gridCol w:w="515"/>
        <w:gridCol w:w="382"/>
        <w:gridCol w:w="233"/>
        <w:gridCol w:w="637"/>
      </w:tblGrid>
      <w:tr>
        <w:trPr/>
        <w:tc>
          <w:tcPr>
            <w:tcW w:w="5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3545205" cy="175260"/>
                      <wp:effectExtent l="0" t="0" r="0" b="0"/>
                      <wp:wrapNone/>
                      <wp:docPr id="776" name="Frame776"/>
                      <a:graphic xmlns:a="http://schemas.openxmlformats.org/drawingml/2006/main">
                        <a:graphicData uri="http://schemas.microsoft.com/office/word/2010/wordprocessingShape">
                          <wps:wsp>
                            <wps:cNvSpPr txBox="1"/>
                            <wps:spPr>
                              <a:xfrm>
                                <a:off x="0" y="0"/>
                                <a:ext cx="3545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19710" cy="175260"/>
                      <wp:effectExtent l="0" t="0" r="0" b="0"/>
                      <wp:wrapNone/>
                      <wp:docPr id="777" name="Frame7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173355" cy="175260"/>
                      <wp:effectExtent l="0" t="0" r="0" b="0"/>
                      <wp:wrapNone/>
                      <wp:docPr id="778" name="Frame77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297180" cy="175260"/>
                      <wp:effectExtent l="0" t="0" r="0" b="0"/>
                      <wp:wrapNone/>
                      <wp:docPr id="779" name="Frame779"/>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84480" cy="175260"/>
                      <wp:effectExtent l="0" t="0" r="0" b="0"/>
                      <wp:wrapNone/>
                      <wp:docPr id="780" name="Frame780"/>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173355" cy="175260"/>
                      <wp:effectExtent l="0" t="0" r="0" b="0"/>
                      <wp:wrapNone/>
                      <wp:docPr id="781" name="Frame78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297180" cy="175260"/>
                      <wp:effectExtent l="0" t="0" r="0" b="0"/>
                      <wp:wrapNone/>
                      <wp:docPr id="782" name="Frame782"/>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219710" cy="175260"/>
                      <wp:effectExtent l="0" t="0" r="0" b="0"/>
                      <wp:wrapNone/>
                      <wp:docPr id="783" name="Frame7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147955" cy="175260"/>
                      <wp:effectExtent l="0" t="0" r="0" b="0"/>
                      <wp:wrapNone/>
                      <wp:docPr id="784" name="Frame78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327025" cy="175260"/>
                      <wp:effectExtent l="0" t="0" r="0" b="0"/>
                      <wp:wrapNone/>
                      <wp:docPr id="785" name="Frame785"/>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242570" cy="175260"/>
                      <wp:effectExtent l="0" t="0" r="0" b="0"/>
                      <wp:wrapNone/>
                      <wp:docPr id="786" name="Frame786"/>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147955" cy="175260"/>
                      <wp:effectExtent l="0" t="0" r="0" b="0"/>
                      <wp:wrapNone/>
                      <wp:docPr id="787" name="Frame78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404495" cy="175260"/>
                      <wp:effectExtent l="0" t="0" r="0" b="0"/>
                      <wp:wrapNone/>
                      <wp:docPr id="788" name="Frame788"/>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5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8" w:type="dxa"/>
            <w:tcBorders/>
            <w:vAlign w:val="center"/>
          </w:tcPr>
          <w:p>
            <w:pPr>
              <w:pStyle w:val="TableContents"/>
              <w:bidi w:val="0"/>
              <w:spacing w:before="0" w:after="0"/>
              <w:ind w:left="0" w:right="0" w:hanging="0"/>
              <w:jc w:val="center"/>
              <w:rPr/>
            </w:pPr>
            <w:r>
              <w:rPr/>
              <w:t>  ​ ​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2" w:type="dxa"/>
            <w:tcBorders/>
            <w:vAlign w:val="center"/>
          </w:tcPr>
          <w:p>
            <w:pPr>
              <w:pStyle w:val="TableContents"/>
              <w:bidi w:val="0"/>
              <w:spacing w:before="0" w:after="0"/>
              <w:ind w:left="0" w:right="0" w:hanging="0"/>
              <w:jc w:val="center"/>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5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76"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55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incurred for project financing and other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448"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55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and amortization of discount and issuance costs for Senior Notes issued by special purpose entity</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48"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82"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55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w:t>
            </w:r>
          </w:p>
        </w:tc>
        <w:tc>
          <w:tcPr>
            <w:tcW w:w="448"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decreased $0.9 million, or 11.5%, to $6.9 million during the three months ended June 30, 2026, as compared to $7.8 million in the same period in 2025. Interest expense decreased $1.5 million, or 9.7%, to $14.0 million during the six months ended June 30, 2026, as compared to $15.5 million in the same period in 2025. The decrease in interest expense is due to repayment of project financing and a decrease in interest rates from the prior period. See Note 8. </w:t>
      </w:r>
      <w:r>
        <w:rPr>
          <w:rFonts w:ascii="Times New Roman;Times;serif" w:hAnsi="Times New Roman;Times;serif"/>
          <w:i/>
          <w:sz w:val="20"/>
        </w:rPr>
        <w:t>Debt, Net</w:t>
      </w:r>
      <w:r>
        <w:rPr>
          <w:rFonts w:ascii="Times New Roman;Times;serif" w:hAnsi="Times New Roman;Times;serif"/>
          <w:sz w:val="20"/>
        </w:rPr>
        <w:t xml:space="preserve"> and Note 15. </w:t>
      </w:r>
      <w:r>
        <w:rPr>
          <w:rFonts w:ascii="Times New Roman;Times;serif" w:hAnsi="Times New Roman;Times;serif"/>
          <w:i/>
          <w:sz w:val="20"/>
        </w:rPr>
        <w:t>Other Income (Expense), Net</w:t>
      </w:r>
      <w:r>
        <w:rPr>
          <w:rFonts w:ascii="Times New Roman;Times;serif" w:hAnsi="Times New Roman;Times;serif"/>
          <w:sz w:val="20"/>
        </w:rPr>
        <w:t xml:space="preserve"> for additional information regarding project financing.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 Income from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income (loss) from unconsolidated joint ventures includes our proportionate share of earnings or losses of unconsolidated JVs accounted for using the equity method as detailed in the table below.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tbl>
      <w:tblPr>
        <w:tblW w:w="9587" w:type="dxa"/>
        <w:jc w:val="left"/>
        <w:tblInd w:w="0" w:type="dxa"/>
        <w:tblLayout w:type="fixed"/>
        <w:tblCellMar>
          <w:top w:w="0" w:type="dxa"/>
          <w:left w:w="0" w:type="dxa"/>
          <w:bottom w:w="0" w:type="dxa"/>
          <w:right w:w="0" w:type="dxa"/>
        </w:tblCellMar>
      </w:tblPr>
      <w:tblGrid>
        <w:gridCol w:w="5011"/>
        <w:gridCol w:w="326"/>
        <w:gridCol w:w="744"/>
        <w:gridCol w:w="168"/>
        <w:gridCol w:w="326"/>
        <w:gridCol w:w="744"/>
        <w:gridCol w:w="109"/>
        <w:gridCol w:w="288"/>
        <w:gridCol w:w="656"/>
        <w:gridCol w:w="148"/>
        <w:gridCol w:w="288"/>
        <w:gridCol w:w="779"/>
      </w:tblGrid>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left"/>
              <w:rPr/>
            </w:pPr>
            <w:r>
              <w:rPr/>
              <w:t>​</w:t>
            </w:r>
          </w:p>
        </w:tc>
        <w:tc>
          <w:tcPr>
            <w:tcW w:w="1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5011"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011" w:type="dxa"/>
            <w:tcBorders/>
            <w:vAlign w:val="center"/>
          </w:tcPr>
          <w:p>
            <w:pPr>
              <w:pStyle w:val="TableContents"/>
              <w:bidi w:val="0"/>
              <w:spacing w:before="0" w:after="0"/>
              <w:ind w:left="0" w:right="0" w:hanging="0"/>
              <w:jc w:val="left"/>
              <w:rPr/>
            </w:pPr>
            <w:r>
              <w:rPr/>
              <w:t>​</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8" w:type="dxa"/>
            <w:tcBorders/>
            <w:vAlign w:val="center"/>
          </w:tcPr>
          <w:p>
            <w:pPr>
              <w:pStyle w:val="TableContents"/>
              <w:bidi w:val="0"/>
              <w:spacing w:before="0" w:after="0"/>
              <w:ind w:left="0" w:right="0" w:hanging="0"/>
              <w:jc w:val="center"/>
              <w:rPr/>
            </w:pPr>
            <w:r>
              <w:rPr/>
              <w:t>​</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8" w:type="dxa"/>
            <w:tcBorders/>
            <w:vAlign w:val="center"/>
          </w:tcPr>
          <w:p>
            <w:pPr>
              <w:pStyle w:val="TableContents"/>
              <w:bidi w:val="0"/>
              <w:spacing w:before="0" w:after="0"/>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58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011" w:type="dxa"/>
            <w:tcBorders/>
            <w:vAlign w:val="center"/>
          </w:tcPr>
          <w:p>
            <w:pPr>
              <w:pStyle w:val="TableContents"/>
              <w:bidi w:val="0"/>
              <w:spacing w:before="0" w:after="0"/>
              <w:ind w:left="0" w:right="0" w:hanging="0"/>
              <w:jc w:val="center"/>
              <w:rPr/>
            </w:pPr>
            <w:r>
              <w:rPr/>
              <w:t>​</w:t>
            </w:r>
          </w:p>
        </w:tc>
        <w:tc>
          <w:tcPr>
            <w:tcW w:w="4576"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50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(a)</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48"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50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Watersound Fountains Independent Living JV </w:t>
            </w:r>
            <w:r>
              <w:rPr>
                <w:rFonts w:ascii="Times New Roman;Times;serif" w:hAnsi="Times New Roman;Times;serif"/>
                <w:sz w:val="15"/>
              </w:rPr>
              <w:t>(b)</w:t>
            </w:r>
          </w:p>
        </w:tc>
        <w:tc>
          <w:tcPr>
            <w:tcW w:w="32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48"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TPS JV</w:t>
            </w:r>
          </w:p>
        </w:tc>
        <w:tc>
          <w:tcPr>
            <w:tcW w:w="326"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48"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0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Pier Park RI JV </w:t>
            </w:r>
            <w:r>
              <w:rPr>
                <w:rFonts w:ascii="Times New Roman;Times;serif" w:hAnsi="Times New Roman;Times;serif"/>
                <w:sz w:val="15"/>
              </w:rPr>
              <w:t>(c)</w:t>
            </w:r>
          </w:p>
        </w:tc>
        <w:tc>
          <w:tcPr>
            <w:tcW w:w="32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pPr>
            <w:r>
              <w:rPr/>
              <w:t>—</w:t>
            </w:r>
          </w:p>
        </w:tc>
        <w:tc>
          <w:tcPr>
            <w:tcW w:w="1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48"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0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Busy Bee JV </w:t>
            </w:r>
            <w:r>
              <w:rPr>
                <w:rFonts w:ascii="Times New Roman;Times;serif" w:hAnsi="Times New Roman;Times;serif"/>
                <w:sz w:val="15"/>
              </w:rPr>
              <w:t>(d)</w:t>
            </w:r>
          </w:p>
        </w:tc>
        <w:tc>
          <w:tcPr>
            <w:tcW w:w="326"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 Cart Watersound JV</w:t>
            </w:r>
          </w:p>
        </w:tc>
        <w:tc>
          <w:tcPr>
            <w:tcW w:w="32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148"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Management JV</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8" w:type="dxa"/>
            <w:tcBorders/>
            <w:shd w:fill="CCEEFF" w:val="clear"/>
            <w:vAlign w:val="center"/>
          </w:tcPr>
          <w:p>
            <w:pPr>
              <w:pStyle w:val="TableContents"/>
              <w:bidi w:val="0"/>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48"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 in income from unconsolidated joint ventures</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w:t>
            </w:r>
          </w:p>
        </w:tc>
        <w:tc>
          <w:tcPr>
            <w:tcW w:w="168" w:type="dxa"/>
            <w:tcBorders/>
            <w:vAlign w:val="center"/>
          </w:tcPr>
          <w:p>
            <w:pPr>
              <w:pStyle w:val="TableContents"/>
              <w:bidi w:val="0"/>
              <w:spacing w:before="0" w:after="0"/>
              <w:ind w:left="0" w:right="0" w:hanging="0"/>
              <w:jc w:val="righ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c>
          <w:tcPr>
            <w:tcW w:w="109"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w:t>
            </w:r>
          </w:p>
        </w:tc>
        <w:tc>
          <w:tcPr>
            <w:tcW w:w="148"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17.7</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During the three months ended June 30, 2026 and 2025, the Latitude Margaritaville Watersound JV completed 86 and 137 home sale transactions, respectively. During the six months ended June 30, 2026 and 2025, the Latitude Margaritaville Watersound JV completed 169 and 329 home sale transactions, respectively.</w:t>
            </w:r>
          </w:p>
        </w:tc>
      </w:tr>
    </w:tbl>
    <w:tbl>
      <w:tblPr>
        <w:tblW w:w="2882" w:type="dxa"/>
        <w:jc w:val="left"/>
        <w:tblInd w:w="0" w:type="dxa"/>
        <w:tblLayout w:type="fixed"/>
        <w:tblCellMar>
          <w:top w:w="0" w:type="dxa"/>
          <w:left w:w="0" w:type="dxa"/>
          <w:bottom w:w="0" w:type="dxa"/>
          <w:right w:w="0" w:type="dxa"/>
        </w:tblCellMar>
      </w:tblPr>
      <w:tblGrid>
        <w:gridCol w:w="331"/>
        <w:gridCol w:w="25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2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community is under lease-up.</w:t>
            </w:r>
          </w:p>
        </w:tc>
      </w:tr>
    </w:tbl>
    <w:tbl>
      <w:tblPr>
        <w:tblW w:w="7832" w:type="dxa"/>
        <w:jc w:val="left"/>
        <w:tblInd w:w="0" w:type="dxa"/>
        <w:tblLayout w:type="fixed"/>
        <w:tblCellMar>
          <w:top w:w="0" w:type="dxa"/>
          <w:left w:w="0" w:type="dxa"/>
          <w:bottom w:w="0" w:type="dxa"/>
          <w:right w:w="0" w:type="dxa"/>
        </w:tblCellMar>
      </w:tblPr>
      <w:tblGrid>
        <w:gridCol w:w="316"/>
        <w:gridCol w:w="75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six months ended June 30, 2025, include start-up, depreciation and interest expenses for the project.</w:t>
            </w:r>
          </w:p>
        </w:tc>
      </w:tr>
    </w:tbl>
    <w:tbl>
      <w:tblPr>
        <w:tblW w:w="8267" w:type="dxa"/>
        <w:jc w:val="left"/>
        <w:tblInd w:w="0" w:type="dxa"/>
        <w:tblLayout w:type="fixed"/>
        <w:tblCellMar>
          <w:top w:w="0" w:type="dxa"/>
          <w:left w:w="0" w:type="dxa"/>
          <w:bottom w:w="0" w:type="dxa"/>
          <w:right w:w="0" w:type="dxa"/>
        </w:tblCellMar>
      </w:tblPr>
      <w:tblGrid>
        <w:gridCol w:w="331"/>
        <w:gridCol w:w="793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expense, net primarily includes other income and expense items as detailed in the table below:</w:t>
      </w:r>
    </w:p>
    <w:tbl>
      <w:tblPr>
        <w:tblW w:w="7589" w:type="dxa"/>
        <w:jc w:val="left"/>
        <w:tblInd w:w="0" w:type="dxa"/>
        <w:tblLayout w:type="fixed"/>
        <w:tblCellMar>
          <w:top w:w="0" w:type="dxa"/>
          <w:left w:w="0" w:type="dxa"/>
          <w:bottom w:w="0" w:type="dxa"/>
          <w:right w:w="0" w:type="dxa"/>
        </w:tblCellMar>
      </w:tblPr>
      <w:tblGrid>
        <w:gridCol w:w="2431"/>
        <w:gridCol w:w="346"/>
        <w:gridCol w:w="281"/>
        <w:gridCol w:w="642"/>
        <w:gridCol w:w="462"/>
        <w:gridCol w:w="281"/>
        <w:gridCol w:w="642"/>
        <w:gridCol w:w="346"/>
        <w:gridCol w:w="256"/>
        <w:gridCol w:w="585"/>
        <w:gridCol w:w="421"/>
        <w:gridCol w:w="256"/>
        <w:gridCol w:w="640"/>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1543685" cy="175260"/>
                      <wp:effectExtent l="0" t="0" r="0" b="0"/>
                      <wp:wrapNone/>
                      <wp:docPr id="789" name="Frame789"/>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219710" cy="175260"/>
                      <wp:effectExtent l="0" t="0" r="0" b="0"/>
                      <wp:wrapNone/>
                      <wp:docPr id="790" name="Frame7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178435" cy="175260"/>
                      <wp:effectExtent l="0" t="0" r="0" b="0"/>
                      <wp:wrapNone/>
                      <wp:docPr id="791" name="Frame79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407670" cy="175260"/>
                      <wp:effectExtent l="0" t="0" r="0" b="0"/>
                      <wp:wrapNone/>
                      <wp:docPr id="792" name="Frame792"/>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293370" cy="175260"/>
                      <wp:effectExtent l="0" t="0" r="0" b="0"/>
                      <wp:wrapNone/>
                      <wp:docPr id="793" name="Frame793"/>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178435" cy="175260"/>
                      <wp:effectExtent l="0" t="0" r="0" b="0"/>
                      <wp:wrapNone/>
                      <wp:docPr id="794" name="Frame79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407670" cy="175260"/>
                      <wp:effectExtent l="0" t="0" r="0" b="0"/>
                      <wp:wrapNone/>
                      <wp:docPr id="795" name="Frame795"/>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219710" cy="175260"/>
                      <wp:effectExtent l="0" t="0" r="0" b="0"/>
                      <wp:wrapNone/>
                      <wp:docPr id="796" name="Frame7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62560" cy="175260"/>
                      <wp:effectExtent l="0" t="0" r="0" b="0"/>
                      <wp:wrapNone/>
                      <wp:docPr id="797" name="Frame79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371475" cy="175260"/>
                      <wp:effectExtent l="0" t="0" r="0" b="0"/>
                      <wp:wrapNone/>
                      <wp:docPr id="798" name="Frame798"/>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67335" cy="175260"/>
                      <wp:effectExtent l="0" t="0" r="0" b="0"/>
                      <wp:wrapNone/>
                      <wp:docPr id="799" name="Frame79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162560" cy="175260"/>
                      <wp:effectExtent l="0" t="0" r="0" b="0"/>
                      <wp:wrapNone/>
                      <wp:docPr id="800" name="Frame80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406400" cy="175260"/>
                      <wp:effectExtent l="0" t="0" r="0" b="0"/>
                      <wp:wrapNone/>
                      <wp:docPr id="801" name="Frame801"/>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center"/>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1" w:type="dxa"/>
            <w:tcBorders/>
            <w:vAlign w:val="center"/>
          </w:tcPr>
          <w:p>
            <w:pPr>
              <w:pStyle w:val="TableContents"/>
              <w:bidi w:val="0"/>
              <w:spacing w:before="0" w:after="0"/>
              <w:ind w:left="0" w:right="0" w:hanging="0"/>
              <w:jc w:val="center"/>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8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12"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assets</w:t>
            </w:r>
          </w:p>
        </w:tc>
        <w:tc>
          <w:tcPr>
            <w:tcW w:w="346"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expense, net</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21"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(0.5)</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Miscellaneous expense, net during the three and six months ended June 30, 2026, primarily includes expense of $0.5 million related to design costs for certain commercial assets that we are no longer pursuing, as well as loss on early extinguishment of debt and fees related to loans. Miscellaneous expense, net during the three and six months ended June 30, 2025, primarily includes loss on early extinguishment of debt and fees related to loans.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was $14.1 million during the three months ended June 30, 2026, as compared to $9.9 million during the same period in 2025. Our effective tax rate was 25.6% for the three months ended June 30, 2026, as compared to 25.0% during the same period in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was $18.6 million during the six months ended June 30, 2026, as compared to $15.8 million during the same period in 2025. Our effective tax rate was 25.6% for the six months ended June 30, 2026, as compared to 25.3% during the same period in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effective rate for the three and six months ended June 30, 2026 and 2025, differed from the federal statutory rate of 21.0% primarily due to state income taxes, nontaxable or nondeductible and other differences. See Note 11. </w:t>
      </w:r>
      <w:r>
        <w:rPr>
          <w:rFonts w:ascii="Times New Roman;Times;serif" w:hAnsi="Times New Roman;Times;serif"/>
          <w:i/>
          <w:sz w:val="20"/>
        </w:rPr>
        <w:t>Income Taxes</w:t>
      </w:r>
      <w:r>
        <w:rPr>
          <w:rFonts w:ascii="Times New Roman;Times;serif" w:hAnsi="Times New Roman;Times;serif"/>
          <w:sz w:val="20"/>
        </w:rPr>
        <w:t xml:space="preserve">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Residential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consolidated results of operations of our residential segment:</w:t>
      </w:r>
    </w:p>
    <w:tbl>
      <w:tblPr>
        <w:tblW w:w="9584" w:type="dxa"/>
        <w:jc w:val="left"/>
        <w:tblInd w:w="0" w:type="dxa"/>
        <w:tblLayout w:type="fixed"/>
        <w:tblCellMar>
          <w:top w:w="0" w:type="dxa"/>
          <w:left w:w="0" w:type="dxa"/>
          <w:bottom w:w="0" w:type="dxa"/>
          <w:right w:w="0" w:type="dxa"/>
        </w:tblCellMar>
      </w:tblPr>
      <w:tblGrid>
        <w:gridCol w:w="4426"/>
        <w:gridCol w:w="346"/>
        <w:gridCol w:w="281"/>
        <w:gridCol w:w="642"/>
        <w:gridCol w:w="462"/>
        <w:gridCol w:w="281"/>
        <w:gridCol w:w="642"/>
        <w:gridCol w:w="346"/>
        <w:gridCol w:w="250"/>
        <w:gridCol w:w="571"/>
        <w:gridCol w:w="410"/>
        <w:gridCol w:w="250"/>
        <w:gridCol w:w="677"/>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2810510" cy="175260"/>
                      <wp:effectExtent l="0" t="0" r="0" b="0"/>
                      <wp:wrapNone/>
                      <wp:docPr id="802" name="Frame802"/>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219710" cy="175260"/>
                      <wp:effectExtent l="0" t="0" r="0" b="0"/>
                      <wp:wrapNone/>
                      <wp:docPr id="803" name="Frame8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78435" cy="175260"/>
                      <wp:effectExtent l="0" t="0" r="0" b="0"/>
                      <wp:wrapNone/>
                      <wp:docPr id="804" name="Frame80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407670" cy="175260"/>
                      <wp:effectExtent l="0" t="0" r="0" b="0"/>
                      <wp:wrapNone/>
                      <wp:docPr id="805" name="Frame805"/>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293370" cy="175260"/>
                      <wp:effectExtent l="0" t="0" r="0" b="0"/>
                      <wp:wrapNone/>
                      <wp:docPr id="806" name="Frame806"/>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178435" cy="175260"/>
                      <wp:effectExtent l="0" t="0" r="0" b="0"/>
                      <wp:wrapNone/>
                      <wp:docPr id="807" name="Frame80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407670" cy="175260"/>
                      <wp:effectExtent l="0" t="0" r="0" b="0"/>
                      <wp:wrapNone/>
                      <wp:docPr id="808" name="Frame808"/>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219710" cy="175260"/>
                      <wp:effectExtent l="0" t="0" r="0" b="0"/>
                      <wp:wrapNone/>
                      <wp:docPr id="809" name="Frame8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58750" cy="175260"/>
                      <wp:effectExtent l="0" t="0" r="0" b="0"/>
                      <wp:wrapNone/>
                      <wp:docPr id="810" name="Frame81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362585" cy="175260"/>
                      <wp:effectExtent l="0" t="0" r="0" b="0"/>
                      <wp:wrapNone/>
                      <wp:docPr id="811" name="Frame8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260350" cy="175260"/>
                      <wp:effectExtent l="0" t="0" r="0" b="0"/>
                      <wp:wrapNone/>
                      <wp:docPr id="812" name="Frame812"/>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58750" cy="175260"/>
                      <wp:effectExtent l="0" t="0" r="0" b="0"/>
                      <wp:wrapNone/>
                      <wp:docPr id="813" name="Frame81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429895" cy="175260"/>
                      <wp:effectExtent l="0" t="0" r="0" b="0"/>
                      <wp:wrapNone/>
                      <wp:docPr id="814" name="Frame81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center"/>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0"/>
              <w:ind w:left="0" w:right="0" w:hanging="0"/>
              <w:jc w:val="center"/>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58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12"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  ​</w:t>
            </w:r>
          </w:p>
        </w:tc>
        <w:tc>
          <w:tcPr>
            <w:tcW w:w="462"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410"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pPr>
            <w:r>
              <w:rPr/>
              <w:t>​</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real estate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  ​</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  ​</w:t>
            </w:r>
          </w:p>
        </w:tc>
      </w:tr>
      <w:tr>
        <w:trPr/>
        <w:tc>
          <w:tcPr>
            <w:tcW w:w="4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and other revenue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4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operating expenses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462"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righ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  ​</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  ​</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from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24.5</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45.7</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51.5</w:t>
            </w:r>
          </w:p>
        </w:tc>
      </w:tr>
    </w:tbl>
    <w:tbl>
      <w:tblPr>
        <w:tblW w:w="5867" w:type="dxa"/>
        <w:jc w:val="left"/>
        <w:tblInd w:w="0" w:type="dxa"/>
        <w:tblLayout w:type="fixed"/>
        <w:tblCellMar>
          <w:top w:w="0" w:type="dxa"/>
          <w:left w:w="0" w:type="dxa"/>
          <w:bottom w:w="0" w:type="dxa"/>
          <w:right w:w="0" w:type="dxa"/>
        </w:tblCellMar>
      </w:tblPr>
      <w:tblGrid>
        <w:gridCol w:w="316"/>
        <w:gridCol w:w="5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to the three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our consolidated residential real estate revenue and cost of revenue activity:</w:t>
      </w:r>
    </w:p>
    <w:tbl>
      <w:tblPr>
        <w:tblW w:w="11769" w:type="dxa"/>
        <w:jc w:val="left"/>
        <w:tblInd w:w="0" w:type="dxa"/>
        <w:tblLayout w:type="fixed"/>
        <w:tblCellMar>
          <w:top w:w="0" w:type="dxa"/>
          <w:left w:w="0" w:type="dxa"/>
          <w:bottom w:w="0" w:type="dxa"/>
          <w:right w:w="0" w:type="dxa"/>
        </w:tblCellMar>
      </w:tblPr>
      <w:tblGrid>
        <w:gridCol w:w="1426"/>
        <w:gridCol w:w="346"/>
        <w:gridCol w:w="481"/>
        <w:gridCol w:w="346"/>
        <w:gridCol w:w="224"/>
        <w:gridCol w:w="497"/>
        <w:gridCol w:w="346"/>
        <w:gridCol w:w="224"/>
        <w:gridCol w:w="497"/>
        <w:gridCol w:w="346"/>
        <w:gridCol w:w="211"/>
        <w:gridCol w:w="466"/>
        <w:gridCol w:w="346"/>
        <w:gridCol w:w="646"/>
        <w:gridCol w:w="391"/>
        <w:gridCol w:w="481"/>
        <w:gridCol w:w="346"/>
        <w:gridCol w:w="224"/>
        <w:gridCol w:w="497"/>
        <w:gridCol w:w="346"/>
        <w:gridCol w:w="224"/>
        <w:gridCol w:w="497"/>
        <w:gridCol w:w="346"/>
        <w:gridCol w:w="211"/>
        <w:gridCol w:w="466"/>
        <w:gridCol w:w="346"/>
        <w:gridCol w:w="646"/>
        <w:gridCol w:w="34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905510" cy="175260"/>
                      <wp:effectExtent l="0" t="0" r="0" b="0"/>
                      <wp:wrapNone/>
                      <wp:docPr id="815" name="Frame815"/>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219710" cy="175260"/>
                      <wp:effectExtent l="0" t="0" r="0" b="0"/>
                      <wp:wrapNone/>
                      <wp:docPr id="816" name="Frame8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305435" cy="175260"/>
                      <wp:effectExtent l="0" t="0" r="0" b="0"/>
                      <wp:wrapNone/>
                      <wp:docPr id="817" name="Frame81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219710" cy="175260"/>
                      <wp:effectExtent l="0" t="0" r="0" b="0"/>
                      <wp:wrapNone/>
                      <wp:docPr id="818" name="Frame8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142240" cy="175260"/>
                      <wp:effectExtent l="0" t="0" r="0" b="0"/>
                      <wp:wrapNone/>
                      <wp:docPr id="819" name="Frame819"/>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315595" cy="175260"/>
                      <wp:effectExtent l="0" t="0" r="0" b="0"/>
                      <wp:wrapNone/>
                      <wp:docPr id="820" name="Frame820"/>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219710" cy="175260"/>
                      <wp:effectExtent l="0" t="0" r="0" b="0"/>
                      <wp:wrapNone/>
                      <wp:docPr id="821" name="Frame8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142240" cy="175260"/>
                      <wp:effectExtent l="0" t="0" r="0" b="0"/>
                      <wp:wrapNone/>
                      <wp:docPr id="822" name="Frame82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315595" cy="175260"/>
                      <wp:effectExtent l="0" t="0" r="0" b="0"/>
                      <wp:wrapNone/>
                      <wp:docPr id="823" name="Frame82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219710" cy="175260"/>
                      <wp:effectExtent l="0" t="0" r="0" b="0"/>
                      <wp:wrapNone/>
                      <wp:docPr id="824" name="Frame8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133985" cy="175260"/>
                      <wp:effectExtent l="0" t="0" r="0" b="0"/>
                      <wp:wrapNone/>
                      <wp:docPr id="825" name="Frame8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295910" cy="175260"/>
                      <wp:effectExtent l="0" t="0" r="0" b="0"/>
                      <wp:wrapNone/>
                      <wp:docPr id="826" name="Frame82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219710" cy="175260"/>
                      <wp:effectExtent l="0" t="0" r="0" b="0"/>
                      <wp:wrapNone/>
                      <wp:docPr id="827" name="Frame8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410210" cy="175260"/>
                      <wp:effectExtent l="0" t="0" r="0" b="0"/>
                      <wp:wrapNone/>
                      <wp:docPr id="828" name="Frame82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248285" cy="175260"/>
                      <wp:effectExtent l="0" t="0" r="0" b="0"/>
                      <wp:wrapNone/>
                      <wp:docPr id="829" name="Frame82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305435" cy="175260"/>
                      <wp:effectExtent l="0" t="0" r="0" b="0"/>
                      <wp:wrapNone/>
                      <wp:docPr id="830" name="Frame83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219710" cy="175260"/>
                      <wp:effectExtent l="0" t="0" r="0" b="0"/>
                      <wp:wrapNone/>
                      <wp:docPr id="831" name="Frame8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142240" cy="175260"/>
                      <wp:effectExtent l="0" t="0" r="0" b="0"/>
                      <wp:wrapNone/>
                      <wp:docPr id="832" name="Frame83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315595" cy="175260"/>
                      <wp:effectExtent l="0" t="0" r="0" b="0"/>
                      <wp:wrapNone/>
                      <wp:docPr id="833" name="Frame83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219710" cy="175260"/>
                      <wp:effectExtent l="0" t="0" r="0" b="0"/>
                      <wp:wrapNone/>
                      <wp:docPr id="834" name="Frame8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142240" cy="175260"/>
                      <wp:effectExtent l="0" t="0" r="0" b="0"/>
                      <wp:wrapNone/>
                      <wp:docPr id="835" name="Frame835"/>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315595" cy="175260"/>
                      <wp:effectExtent l="0" t="0" r="0" b="0"/>
                      <wp:wrapNone/>
                      <wp:docPr id="836" name="Frame836"/>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219710" cy="175260"/>
                      <wp:effectExtent l="0" t="0" r="0" b="0"/>
                      <wp:wrapNone/>
                      <wp:docPr id="837" name="Frame8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133985" cy="175260"/>
                      <wp:effectExtent l="0" t="0" r="0" b="0"/>
                      <wp:wrapNone/>
                      <wp:docPr id="838" name="Frame8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295910" cy="175260"/>
                      <wp:effectExtent l="0" t="0" r="0" b="0"/>
                      <wp:wrapNone/>
                      <wp:docPr id="839" name="Frame83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219710" cy="175260"/>
                      <wp:effectExtent l="0" t="0" r="0" b="0"/>
                      <wp:wrapNone/>
                      <wp:docPr id="840" name="Frame8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410210" cy="175260"/>
                      <wp:effectExtent l="0" t="0" r="0" b="0"/>
                      <wp:wrapNone/>
                      <wp:docPr id="841" name="Frame84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219710" cy="175260"/>
                      <wp:effectExtent l="0" t="0" r="0" b="0"/>
                      <wp:wrapNone/>
                      <wp:docPr id="842" name="Frame8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30"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391" w:type="dxa"/>
            <w:tcBorders/>
            <w:vAlign w:val="center"/>
          </w:tcPr>
          <w:p>
            <w:pPr>
              <w:pStyle w:val="TableContents"/>
              <w:bidi w:val="0"/>
              <w:spacing w:before="0" w:after="1"/>
              <w:ind w:left="0" w:right="0" w:hanging="0"/>
              <w:jc w:val="center"/>
              <w:rPr/>
            </w:pPr>
            <w:r>
              <w:rPr/>
              <w:t>​</w:t>
            </w:r>
          </w:p>
        </w:tc>
        <w:tc>
          <w:tcPr>
            <w:tcW w:w="4630"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346" w:type="dxa"/>
            <w:tcBorders/>
            <w:vAlign w:val="center"/>
          </w:tcPr>
          <w:p>
            <w:pPr>
              <w:pStyle w:val="TableContents"/>
              <w:bidi w:val="0"/>
              <w:spacing w:before="0" w:after="1"/>
              <w:ind w:left="0" w:right="0" w:hanging="0"/>
              <w:jc w:val="center"/>
              <w:rPr/>
            </w:pPr>
            <w:r>
              <w:rPr/>
              <w:t> </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w:t>
            </w:r>
          </w:p>
        </w:tc>
        <w:tc>
          <w:tcPr>
            <w:tcW w:w="346" w:type="dxa"/>
            <w:tcBorders/>
            <w:vAlign w:val="center"/>
          </w:tcPr>
          <w:p>
            <w:pPr>
              <w:pStyle w:val="TableContents"/>
              <w:bidi w:val="0"/>
              <w:spacing w:before="0" w:after="1"/>
              <w:ind w:left="0" w:right="0" w:hanging="0"/>
              <w:jc w:val="center"/>
              <w:rPr/>
            </w:pPr>
            <w:r>
              <w:rPr/>
              <w:t>  ​ ​ ​</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center"/>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center"/>
              <w:rPr/>
            </w:pPr>
            <w:r>
              <w:rPr/>
              <w:t>  ​ ​ ​</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Sold</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4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4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1"/>
              <w:ind w:left="0" w:right="0" w:hanging="0"/>
              <w:jc w:val="center"/>
              <w:rPr/>
            </w:pPr>
            <w:r>
              <w:rPr/>
              <w:t> </w:t>
            </w:r>
          </w:p>
        </w:tc>
      </w:tr>
      <w:tr>
        <w:trPr/>
        <w:tc>
          <w:tcPr>
            <w:tcW w:w="11769"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651" w:type="dxa"/>
            <w:gridSpan w:val="25"/>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46" w:type="dxa"/>
            <w:tcBorders/>
            <w:vAlign w:val="center"/>
          </w:tcPr>
          <w:p>
            <w:pPr>
              <w:pStyle w:val="TableContents"/>
              <w:bidi w:val="0"/>
              <w:spacing w:before="0" w:after="1"/>
              <w:ind w:left="0" w:right="0" w:hanging="0"/>
              <w:jc w:val="center"/>
              <w:rPr/>
            </w:pPr>
            <w:r>
              <w:rPr/>
              <w:t> </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Consolidated</w:t>
            </w:r>
          </w:p>
        </w:tc>
        <w:tc>
          <w:tcPr>
            <w:tcW w:w="346" w:type="dxa"/>
            <w:tcBorders/>
            <w:shd w:fill="CCEEFF" w:val="clear"/>
            <w:vAlign w:val="center"/>
          </w:tcPr>
          <w:p>
            <w:pPr>
              <w:pStyle w:val="TableContents"/>
              <w:bidi w:val="0"/>
              <w:spacing w:before="0" w:after="1"/>
              <w:ind w:left="0" w:right="0" w:hanging="0"/>
              <w:jc w:val="center"/>
              <w:rPr/>
            </w:pPr>
            <w:r>
              <w:rPr/>
              <w:t>​</w:t>
            </w:r>
          </w:p>
        </w:tc>
        <w:tc>
          <w:tcPr>
            <w:tcW w:w="4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4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Homesites</w:t>
            </w:r>
          </w:p>
        </w:tc>
        <w:tc>
          <w:tcPr>
            <w:tcW w:w="346"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Homes</w:t>
            </w:r>
          </w:p>
        </w:tc>
        <w:tc>
          <w:tcPr>
            <w:tcW w:w="34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sale</w:t>
            </w:r>
          </w:p>
        </w:tc>
        <w:tc>
          <w:tcPr>
            <w:tcW w:w="346" w:type="dxa"/>
            <w:tcBorders/>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consolidated</w:t>
            </w:r>
          </w:p>
        </w:tc>
        <w:tc>
          <w:tcPr>
            <w:tcW w:w="346" w:type="dxa"/>
            <w:tcBorders/>
            <w:shd w:fill="CCEEFF" w:val="clear"/>
            <w:vAlign w:val="center"/>
          </w:tcPr>
          <w:p>
            <w:pPr>
              <w:pStyle w:val="TableContents"/>
              <w:bidi w:val="0"/>
              <w:spacing w:before="0" w:after="1"/>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239</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49.6</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235</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35.8</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15.9</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righ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Unconsolidated</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4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Homes </w:t>
            </w:r>
            <w:r>
              <w:rPr>
                <w:rFonts w:ascii="Times New Roman;Times;serif" w:hAnsi="Times New Roman;Times;serif"/>
                <w:sz w:val="15"/>
              </w:rPr>
              <w:t>(a)</w:t>
            </w:r>
          </w:p>
        </w:tc>
        <w:tc>
          <w:tcPr>
            <w:tcW w:w="34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Total consolidated and unconsolidated</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325</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372</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Includes homes sold by the Latitude Margaritaville Watersound JV, which is unconsolidated and is accounted for using the equity method.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residential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Homesites</w:t>
      </w:r>
      <w:r>
        <w:rPr>
          <w:rFonts w:ascii="Times New Roman;Times;serif" w:hAnsi="Times New Roman;Times;serif"/>
          <w:sz w:val="20"/>
        </w:rPr>
        <w:t>. Revenue from homesite sales increased $8.6 million, or 28.4%, during the three months ended June 30, 2026, as compared to the same period in 2025, primarily due to the mix and number of homesites sold per community and the timing of homebuilder contractual closing obligations in our residential communities. During the three months ended June 30, 2026 and 2025, the average base revenue, excluding homesite residuals, per homesite sold was approximately $121,000 and $122,000, respectively. Revenue includes estimated homesite residuals of $10.8 million and $1.2 million during the three months ended June 30, 2026 and 2025, respectively. The increase in estimated homesite residuals was due to the mix and number of homesites sold in specific communities during the current period. Gross margin was 47.3% during the three months ended June 30, 2026, compared to 45.9% in the same period in 2025. Gross margin may vary each period depending on the location of homesite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Hom</w:t>
      </w:r>
      <w:r>
        <w:rPr>
          <w:rFonts w:ascii="Times New Roman;Times;serif" w:hAnsi="Times New Roman;Times;serif"/>
          <w:sz w:val="20"/>
        </w:rPr>
        <w:t xml:space="preserve">es. During the three months ended June 30, 2026, we sold fifteen completed townhomes within our Watersound Villas on the Fairway community for a total of $8.2 million, resulting in a gross margin of 35.4%. During the three months ended June 30, 2025, we sold ten completed townhomes within our Watersound Villas on the Fairway community for a total of $5.5 million, resulting in a gross margin of 36.4%.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Land sales</w:t>
      </w:r>
      <w:r>
        <w:rPr>
          <w:rFonts w:ascii="Times New Roman;Times;serif" w:hAnsi="Times New Roman;Times;serif"/>
          <w:sz w:val="20"/>
        </w:rPr>
        <w:t>. During the three months ended June 30, 2026, we had an unimproved land sale within our SummerCamp Beach community for $2.5 million, resulting in a gross margin of 80.0%. During the three months ended June 30, 2025, we did not have any unimproved land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revenue includes tap and impact fee credits sold, marketing fees and other fees. Other revenue includes estimated fees related to homebuilder homesite sales of $1.5 million and $0.5 million, during the three months ended June 30, 2026 and 2025, respectively</w:t>
      </w:r>
      <w:r>
        <w:rPr>
          <w:rFonts w:ascii="TimesNewRomanPSMT" w:hAnsi="TimesNewRomanPSMT"/>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property taxes, marketing, professional fees, project administration, owner association and CDD assessments and other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Investment income, net primarily consists of interest earned on the unimproved land contribution to our unconsolidated Latitude Margaritaville Watersound JV as home sales are transacted in the community.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 Interest expense primarily consists of interest incurred on our portion of the total outstanding CDD debt.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Equity in income from unconsolidated joint ventures includes our proportionate share of earnings or losses of an unconsolidated JV accounted for using the equity method. Equity in income from unconsolidated joint ventures decreased $3.4 million during the three months ended June 30, 2026, as compared to the same period in 2025. The decrease was primarily due to the decreased volume of home sale transactions and a lower average sales price, partially offset by higher average margin per home sold during the current period related to our unconsolidated Latitude Margaritaville Watersound JV. The Latitude Margaritaville Watersound JV completed 86 home sale transactions during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three months ended June 30, 2026, compared to 137 home sale transactions during the same period in 2025.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to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our consolidated residential real estate revenue and cost of revenue activity:</w:t>
      </w:r>
    </w:p>
    <w:tbl>
      <w:tblPr>
        <w:tblW w:w="11739" w:type="dxa"/>
        <w:jc w:val="left"/>
        <w:tblInd w:w="0" w:type="dxa"/>
        <w:tblLayout w:type="fixed"/>
        <w:tblCellMar>
          <w:top w:w="0" w:type="dxa"/>
          <w:left w:w="0" w:type="dxa"/>
          <w:bottom w:w="0" w:type="dxa"/>
          <w:right w:w="0" w:type="dxa"/>
        </w:tblCellMar>
      </w:tblPr>
      <w:tblGrid>
        <w:gridCol w:w="1426"/>
        <w:gridCol w:w="346"/>
        <w:gridCol w:w="481"/>
        <w:gridCol w:w="346"/>
        <w:gridCol w:w="224"/>
        <w:gridCol w:w="497"/>
        <w:gridCol w:w="346"/>
        <w:gridCol w:w="224"/>
        <w:gridCol w:w="497"/>
        <w:gridCol w:w="346"/>
        <w:gridCol w:w="211"/>
        <w:gridCol w:w="466"/>
        <w:gridCol w:w="346"/>
        <w:gridCol w:w="646"/>
        <w:gridCol w:w="361"/>
        <w:gridCol w:w="481"/>
        <w:gridCol w:w="346"/>
        <w:gridCol w:w="224"/>
        <w:gridCol w:w="497"/>
        <w:gridCol w:w="346"/>
        <w:gridCol w:w="224"/>
        <w:gridCol w:w="497"/>
        <w:gridCol w:w="346"/>
        <w:gridCol w:w="211"/>
        <w:gridCol w:w="466"/>
        <w:gridCol w:w="346"/>
        <w:gridCol w:w="646"/>
        <w:gridCol w:w="34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905510" cy="175260"/>
                      <wp:effectExtent l="0" t="0" r="0" b="0"/>
                      <wp:wrapNone/>
                      <wp:docPr id="843" name="Frame84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219710" cy="175260"/>
                      <wp:effectExtent l="0" t="0" r="0" b="0"/>
                      <wp:wrapNone/>
                      <wp:docPr id="844" name="Frame8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305435" cy="175260"/>
                      <wp:effectExtent l="0" t="0" r="0" b="0"/>
                      <wp:wrapNone/>
                      <wp:docPr id="845" name="Frame84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219710" cy="175260"/>
                      <wp:effectExtent l="0" t="0" r="0" b="0"/>
                      <wp:wrapNone/>
                      <wp:docPr id="846" name="Frame8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142240" cy="175260"/>
                      <wp:effectExtent l="0" t="0" r="0" b="0"/>
                      <wp:wrapNone/>
                      <wp:docPr id="847" name="Frame84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315595" cy="175260"/>
                      <wp:effectExtent l="0" t="0" r="0" b="0"/>
                      <wp:wrapNone/>
                      <wp:docPr id="848" name="Frame848"/>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219710" cy="175260"/>
                      <wp:effectExtent l="0" t="0" r="0" b="0"/>
                      <wp:wrapNone/>
                      <wp:docPr id="849" name="Frame8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142240" cy="175260"/>
                      <wp:effectExtent l="0" t="0" r="0" b="0"/>
                      <wp:wrapNone/>
                      <wp:docPr id="850" name="Frame85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315595" cy="175260"/>
                      <wp:effectExtent l="0" t="0" r="0" b="0"/>
                      <wp:wrapNone/>
                      <wp:docPr id="851" name="Frame851"/>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219710" cy="175260"/>
                      <wp:effectExtent l="0" t="0" r="0" b="0"/>
                      <wp:wrapNone/>
                      <wp:docPr id="852" name="Frame8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133985" cy="175260"/>
                      <wp:effectExtent l="0" t="0" r="0" b="0"/>
                      <wp:wrapNone/>
                      <wp:docPr id="853" name="Frame8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295910" cy="175260"/>
                      <wp:effectExtent l="0" t="0" r="0" b="0"/>
                      <wp:wrapNone/>
                      <wp:docPr id="854" name="Frame85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219710" cy="175260"/>
                      <wp:effectExtent l="0" t="0" r="0" b="0"/>
                      <wp:wrapNone/>
                      <wp:docPr id="855" name="Frame8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410210" cy="175260"/>
                      <wp:effectExtent l="0" t="0" r="0" b="0"/>
                      <wp:wrapNone/>
                      <wp:docPr id="856" name="Frame85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229235" cy="175260"/>
                      <wp:effectExtent l="0" t="0" r="0" b="0"/>
                      <wp:wrapNone/>
                      <wp:docPr id="857" name="Frame8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305435" cy="175260"/>
                      <wp:effectExtent l="0" t="0" r="0" b="0"/>
                      <wp:wrapNone/>
                      <wp:docPr id="858" name="Frame85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219710" cy="175260"/>
                      <wp:effectExtent l="0" t="0" r="0" b="0"/>
                      <wp:wrapNone/>
                      <wp:docPr id="859" name="Frame8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142240" cy="175260"/>
                      <wp:effectExtent l="0" t="0" r="0" b="0"/>
                      <wp:wrapNone/>
                      <wp:docPr id="860" name="Frame86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315595" cy="175260"/>
                      <wp:effectExtent l="0" t="0" r="0" b="0"/>
                      <wp:wrapNone/>
                      <wp:docPr id="861" name="Frame861"/>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219710" cy="175260"/>
                      <wp:effectExtent l="0" t="0" r="0" b="0"/>
                      <wp:wrapNone/>
                      <wp:docPr id="862" name="Frame8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142240" cy="175260"/>
                      <wp:effectExtent l="0" t="0" r="0" b="0"/>
                      <wp:wrapNone/>
                      <wp:docPr id="863" name="Frame86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315595" cy="175260"/>
                      <wp:effectExtent l="0" t="0" r="0" b="0"/>
                      <wp:wrapNone/>
                      <wp:docPr id="864" name="Frame864"/>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219710" cy="175260"/>
                      <wp:effectExtent l="0" t="0" r="0" b="0"/>
                      <wp:wrapNone/>
                      <wp:docPr id="865" name="Frame8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133985" cy="175260"/>
                      <wp:effectExtent l="0" t="0" r="0" b="0"/>
                      <wp:wrapNone/>
                      <wp:docPr id="866" name="Frame8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295910" cy="175260"/>
                      <wp:effectExtent l="0" t="0" r="0" b="0"/>
                      <wp:wrapNone/>
                      <wp:docPr id="867" name="Frame86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219710" cy="175260"/>
                      <wp:effectExtent l="0" t="0" r="0" b="0"/>
                      <wp:wrapNone/>
                      <wp:docPr id="868" name="Frame8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410210" cy="175260"/>
                      <wp:effectExtent l="0" t="0" r="0" b="0"/>
                      <wp:wrapNone/>
                      <wp:docPr id="869" name="Frame86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219710" cy="175260"/>
                      <wp:effectExtent l="0" t="0" r="0" b="0"/>
                      <wp:wrapNone/>
                      <wp:docPr id="870" name="Frame8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30"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361" w:type="dxa"/>
            <w:tcBorders/>
            <w:vAlign w:val="center"/>
          </w:tcPr>
          <w:p>
            <w:pPr>
              <w:pStyle w:val="TableContents"/>
              <w:bidi w:val="0"/>
              <w:spacing w:before="0" w:after="1"/>
              <w:ind w:left="0" w:right="0" w:hanging="0"/>
              <w:jc w:val="center"/>
              <w:rPr/>
            </w:pPr>
            <w:r>
              <w:rPr/>
              <w:t>​</w:t>
            </w:r>
          </w:p>
        </w:tc>
        <w:tc>
          <w:tcPr>
            <w:tcW w:w="4630"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c>
          <w:tcPr>
            <w:tcW w:w="346" w:type="dxa"/>
            <w:tcBorders/>
            <w:vAlign w:val="center"/>
          </w:tcPr>
          <w:p>
            <w:pPr>
              <w:pStyle w:val="TableContents"/>
              <w:bidi w:val="0"/>
              <w:spacing w:before="0" w:after="1"/>
              <w:ind w:left="0" w:right="0" w:hanging="0"/>
              <w:jc w:val="center"/>
              <w:rPr/>
            </w:pPr>
            <w:r>
              <w:rPr/>
              <w:t> </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center"/>
              <w:rPr/>
            </w:pPr>
            <w:r>
              <w:rPr/>
              <w:t>  ​ ​ ​</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61" w:type="dxa"/>
            <w:tcBorders/>
            <w:vAlign w:val="center"/>
          </w:tcPr>
          <w:p>
            <w:pPr>
              <w:pStyle w:val="TableContents"/>
              <w:bidi w:val="0"/>
              <w:spacing w:before="0" w:after="1"/>
              <w:ind w:left="0" w:right="0" w:hanging="0"/>
              <w:jc w:val="center"/>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center"/>
              <w:rPr/>
            </w:pPr>
            <w:r>
              <w:rPr/>
              <w:t>  ​ ​ ​</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4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61" w:type="dxa"/>
            <w:tcBorders/>
            <w:vAlign w:val="center"/>
          </w:tcPr>
          <w:p>
            <w:pPr>
              <w:pStyle w:val="TableContents"/>
              <w:bidi w:val="0"/>
              <w:spacing w:before="0" w:after="1"/>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4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1"/>
              <w:ind w:left="0" w:right="0" w:hanging="0"/>
              <w:jc w:val="center"/>
              <w:rPr/>
            </w:pPr>
            <w:r>
              <w:rPr/>
              <w:t> </w:t>
            </w:r>
          </w:p>
        </w:tc>
      </w:tr>
      <w:tr>
        <w:trPr/>
        <w:tc>
          <w:tcPr>
            <w:tcW w:w="11739"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621" w:type="dxa"/>
            <w:gridSpan w:val="25"/>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46" w:type="dxa"/>
            <w:tcBorders/>
            <w:vAlign w:val="center"/>
          </w:tcPr>
          <w:p>
            <w:pPr>
              <w:pStyle w:val="TableContents"/>
              <w:bidi w:val="0"/>
              <w:spacing w:before="0" w:after="1"/>
              <w:ind w:left="0" w:right="0" w:hanging="0"/>
              <w:jc w:val="left"/>
              <w:rPr/>
            </w:pPr>
            <w:r>
              <w:rPr/>
              <w:t>​</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Consolidated</w:t>
            </w:r>
          </w:p>
        </w:tc>
        <w:tc>
          <w:tcPr>
            <w:tcW w:w="346" w:type="dxa"/>
            <w:tcBorders/>
            <w:shd w:fill="CCEEFF" w:val="clear"/>
            <w:vAlign w:val="center"/>
          </w:tcPr>
          <w:p>
            <w:pPr>
              <w:pStyle w:val="TableContents"/>
              <w:bidi w:val="0"/>
              <w:spacing w:before="0" w:after="1"/>
              <w:ind w:left="0" w:right="0" w:hanging="0"/>
              <w:jc w:val="center"/>
              <w:rPr/>
            </w:pPr>
            <w:r>
              <w:rPr/>
              <w:t>​</w:t>
            </w:r>
          </w:p>
        </w:tc>
        <w:tc>
          <w:tcPr>
            <w:tcW w:w="4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4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Homesites</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392</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62.0</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29.1</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474</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60.7</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27.7</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 </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Homes </w:t>
            </w:r>
          </w:p>
        </w:tc>
        <w:tc>
          <w:tcPr>
            <w:tcW w:w="34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right"/>
              <w:rPr/>
            </w:pPr>
            <w:r>
              <w:rPr/>
              <w:t>​</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right"/>
              <w:rPr/>
            </w:pPr>
            <w:r>
              <w:rPr/>
              <w:t>​</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Land sales</w:t>
            </w:r>
          </w:p>
        </w:tc>
        <w:tc>
          <w:tcPr>
            <w:tcW w:w="346" w:type="dxa"/>
            <w:tcBorders/>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N/A</w:t>
            </w:r>
          </w:p>
        </w:tc>
        <w:tc>
          <w:tcPr>
            <w:tcW w:w="346" w:type="dxa"/>
            <w:tcBorders/>
            <w:vAlign w:val="center"/>
          </w:tcPr>
          <w:p>
            <w:pPr>
              <w:pStyle w:val="TableContents"/>
              <w:bidi w:val="0"/>
              <w:spacing w:before="0" w:after="1"/>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w:t>
            </w:r>
          </w:p>
        </w:tc>
        <w:tc>
          <w:tcPr>
            <w:tcW w:w="346" w:type="dxa"/>
            <w:tcBorders/>
            <w:vAlign w:val="center"/>
          </w:tcPr>
          <w:p>
            <w:pPr>
              <w:pStyle w:val="TableContents"/>
              <w:bidi w:val="0"/>
              <w:spacing w:before="0" w:after="1"/>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N/A</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Total consolidated</w:t>
            </w:r>
          </w:p>
        </w:tc>
        <w:tc>
          <w:tcPr>
            <w:tcW w:w="346" w:type="dxa"/>
            <w:tcBorders/>
            <w:shd w:fill="CCEEFF" w:val="clear"/>
            <w:vAlign w:val="center"/>
          </w:tcPr>
          <w:p>
            <w:pPr>
              <w:pStyle w:val="TableContents"/>
              <w:bidi w:val="0"/>
              <w:spacing w:before="0" w:after="1"/>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413</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75.8</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40.7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35.1</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46.3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484</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66.2</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29.7</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44.9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Unconsolidated</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42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Homes</w:t>
            </w:r>
            <w:r>
              <w:rPr>
                <w:rFonts w:ascii="Times New Roman;Times;serif" w:hAnsi="Times New Roman;Times;serif"/>
                <w:sz w:val="18"/>
              </w:rPr>
              <w:t xml:space="preserve"> </w:t>
            </w:r>
            <w:r>
              <w:rPr>
                <w:rFonts w:ascii="Times New Roman;Times;serif" w:hAnsi="Times New Roman;Times;serif"/>
                <w:sz w:val="14"/>
              </w:rPr>
              <w:t>(a)</w:t>
            </w:r>
          </w:p>
        </w:tc>
        <w:tc>
          <w:tcPr>
            <w:tcW w:w="34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169</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329</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Total consolidated and unconsolidated</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582</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813</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Includes homes sold by the Latitude Margaritaville Watersound JV, which is unconsolidated and is accounted for using the equity method.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residential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Homesites</w:t>
      </w:r>
      <w:r>
        <w:rPr>
          <w:rFonts w:ascii="Times New Roman;Times;serif" w:hAnsi="Times New Roman;Times;serif"/>
          <w:sz w:val="20"/>
        </w:rPr>
        <w:t>. Revenue from homesite sales increased $1.3 million, or 2.1%, during the six months ended June 30, 2026, as compared to the same period in 2025, primarily due to the mix and number of homesites sold per community and the timing of homebuilder contractual closing obligations in our residential communities. During the six months ended June 30, 2026 and 2025, the average base revenue, excluding homesite residuals, per homesite sold was approximately $121,000 and $118,000, respectively. Revenue includes estimated homesite residuals of $12.5 million and $2.4 million during the six months ended June 30, 2026 and 2025, respectively. The increase in estimated homesite residuals was due to the mix and number of homesites sold in specific communities during the current period. Gross margin was 46.9% during the six months ended June 30, 2026, compared to 45.6% in the same period in 2025. Gross margin may vary each period depending on the location of homesite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Hom</w:t>
      </w:r>
      <w:r>
        <w:rPr>
          <w:rFonts w:ascii="Times New Roman;Times;serif" w:hAnsi="Times New Roman;Times;serif"/>
          <w:sz w:val="20"/>
        </w:rPr>
        <w:t>es. During the six months ended June 30, 2026, we sold twenty-one completed townhomes within our Watersound Villas on the Fairway community for a total of $11.3 million, resulting in a gross margin of 35.4%. During the six months ended June 30, 2025, we sold ten completed townhomes within our Watersound Villas on the Fairway community for a total of $5.5 million, resulting in a gross margin of 36.4%.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Land sales</w:t>
      </w:r>
      <w:r>
        <w:rPr>
          <w:rFonts w:ascii="Times New Roman;Times;serif" w:hAnsi="Times New Roman;Times;serif"/>
          <w:sz w:val="20"/>
        </w:rPr>
        <w:t>. During the six months ended June 30, 2026, we had an unimproved land sale within our SummerCamp Beach community for $2.5 million, resulting in a gross margin of 80.0%. During the six months ended June 30, 2025, we did not have any unimproved land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revenue includes tap and impact fee credits sold, marketing fees and other fees. Other revenue includes estimated fees related to homebuilder homesite sales of $2.1 million and $1.0 million, during the six months ended June 30, 2026 and 2025, respectively</w:t>
      </w:r>
      <w:r>
        <w:rPr>
          <w:rFonts w:ascii="TimesNewRomanPSMT" w:hAnsi="TimesNewRomanPSMT"/>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property taxes, marketing, professional fees, project administration, owner association and CDD assessments and other administrative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Investment income, net primarily consists of interest earned on the unimproved land contribution to our unconsolidated Latitude Margaritaville Watersound JV as home sales are transacted in the community. Investment income, net decreased $0.4 million during the six months ended June 30, 2026, as compared to the same period in 2025, primarily due to fewer home sales transacted in the community during the current period.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 Interest expense primarily consists of interest incurred on our portion of the total outstanding CDD debt.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income from unconsolidated joint ventures includes our proportionate share of earnings or losses of an unconsolidated JV accounted for using the equity method. Equity in income from unconsolidated joint ventures decreased $11.1 million during the six months ended June 30, 2026, as compared to the same period in 2025. The decrease was primarily due to the decreased volume of home sale transactions and a lower average sales price, partially offset by higher average margin per home sold during the current period related to our unconsolidated Latitude Margaritaville Watersound JV. The Latitude Margaritaville Watersound JV completed 169 home sale transactions during the six months ended June 30, 2026, compared to 329 home sale transactions during the same period in 2025.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Hospitality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consolidated results of operations of our hospitality segment:</w:t>
      </w:r>
    </w:p>
    <w:tbl>
      <w:tblPr>
        <w:tblW w:w="8625" w:type="dxa"/>
        <w:jc w:val="left"/>
        <w:tblInd w:w="0" w:type="dxa"/>
        <w:tblLayout w:type="fixed"/>
        <w:tblCellMar>
          <w:top w:w="0" w:type="dxa"/>
          <w:left w:w="0" w:type="dxa"/>
          <w:bottom w:w="0" w:type="dxa"/>
          <w:right w:w="0" w:type="dxa"/>
        </w:tblCellMar>
      </w:tblPr>
      <w:tblGrid>
        <w:gridCol w:w="3466"/>
        <w:gridCol w:w="346"/>
        <w:gridCol w:w="281"/>
        <w:gridCol w:w="642"/>
        <w:gridCol w:w="462"/>
        <w:gridCol w:w="281"/>
        <w:gridCol w:w="642"/>
        <w:gridCol w:w="346"/>
        <w:gridCol w:w="233"/>
        <w:gridCol w:w="631"/>
        <w:gridCol w:w="382"/>
        <w:gridCol w:w="233"/>
        <w:gridCol w:w="680"/>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2200910" cy="175260"/>
                      <wp:effectExtent l="0" t="0" r="0" b="0"/>
                      <wp:wrapNone/>
                      <wp:docPr id="871" name="Frame871"/>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219710" cy="175260"/>
                      <wp:effectExtent l="0" t="0" r="0" b="0"/>
                      <wp:wrapNone/>
                      <wp:docPr id="872" name="Frame8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178435" cy="175260"/>
                      <wp:effectExtent l="0" t="0" r="0" b="0"/>
                      <wp:wrapNone/>
                      <wp:docPr id="873" name="Frame87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407670" cy="175260"/>
                      <wp:effectExtent l="0" t="0" r="0" b="0"/>
                      <wp:wrapNone/>
                      <wp:docPr id="874" name="Frame874"/>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293370" cy="175260"/>
                      <wp:effectExtent l="0" t="0" r="0" b="0"/>
                      <wp:wrapNone/>
                      <wp:docPr id="875" name="Frame875"/>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178435" cy="175260"/>
                      <wp:effectExtent l="0" t="0" r="0" b="0"/>
                      <wp:wrapNone/>
                      <wp:docPr id="876" name="Frame87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407670" cy="175260"/>
                      <wp:effectExtent l="0" t="0" r="0" b="0"/>
                      <wp:wrapNone/>
                      <wp:docPr id="877" name="Frame877"/>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219710" cy="175260"/>
                      <wp:effectExtent l="0" t="0" r="0" b="0"/>
                      <wp:wrapNone/>
                      <wp:docPr id="878" name="Frame8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147955" cy="175260"/>
                      <wp:effectExtent l="0" t="0" r="0" b="0"/>
                      <wp:wrapNone/>
                      <wp:docPr id="879" name="Frame87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400685" cy="175260"/>
                      <wp:effectExtent l="0" t="0" r="0" b="0"/>
                      <wp:wrapNone/>
                      <wp:docPr id="880" name="Frame88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242570" cy="175260"/>
                      <wp:effectExtent l="0" t="0" r="0" b="0"/>
                      <wp:wrapNone/>
                      <wp:docPr id="881" name="Frame881"/>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147955" cy="175260"/>
                      <wp:effectExtent l="0" t="0" r="0" b="0"/>
                      <wp:wrapNone/>
                      <wp:docPr id="882" name="Frame88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431800" cy="175260"/>
                      <wp:effectExtent l="0" t="0" r="0" b="0"/>
                      <wp:wrapNone/>
                      <wp:docPr id="883" name="Frame883"/>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center"/>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2" w:type="dxa"/>
            <w:tcBorders/>
            <w:vAlign w:val="center"/>
          </w:tcPr>
          <w:p>
            <w:pPr>
              <w:pStyle w:val="TableContents"/>
              <w:bidi w:val="0"/>
              <w:spacing w:before="0" w:after="0"/>
              <w:ind w:left="0" w:right="0" w:hanging="0"/>
              <w:jc w:val="center"/>
              <w:rPr/>
            </w:pPr>
            <w:r>
              <w:rPr/>
              <w:t>  ​ ​ ​</w:t>
            </w:r>
          </w:p>
        </w:tc>
        <w:tc>
          <w:tcPr>
            <w:tcW w:w="9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62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13"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  ​</w:t>
            </w:r>
          </w:p>
        </w:tc>
        <w:tc>
          <w:tcPr>
            <w:tcW w:w="462"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82"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  ​</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82"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82"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  ​</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382"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pPr>
            <w:r>
              <w:rPr/>
              <w:t>  ​</w:t>
            </w:r>
          </w:p>
        </w:tc>
      </w:tr>
      <w:tr>
        <w:trPr/>
        <w:tc>
          <w:tcPr>
            <w:tcW w:w="34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hospitality revenue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leasing revenue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82"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4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revenue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operating expenses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82"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w:t>
            </w:r>
          </w:p>
        </w:tc>
        <w:tc>
          <w:tcPr>
            <w:tcW w:w="382"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  ​</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382"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pPr>
            <w:r>
              <w:rPr/>
              <w:t>  ​</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82"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82"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14.4</w:t>
            </w:r>
          </w:p>
        </w:tc>
      </w:tr>
    </w:tbl>
    <w:tbl>
      <w:tblPr>
        <w:tblW w:w="5867" w:type="dxa"/>
        <w:jc w:val="left"/>
        <w:tblInd w:w="0" w:type="dxa"/>
        <w:tblLayout w:type="fixed"/>
        <w:tblCellMar>
          <w:top w:w="0" w:type="dxa"/>
          <w:left w:w="0" w:type="dxa"/>
          <w:bottom w:w="0" w:type="dxa"/>
          <w:right w:w="0" w:type="dxa"/>
        </w:tblCellMar>
      </w:tblPr>
      <w:tblGrid>
        <w:gridCol w:w="316"/>
        <w:gridCol w:w="5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to the three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details of our hospitality segment consolidated revenue and gross profit:</w:t>
      </w:r>
    </w:p>
    <w:tbl>
      <w:tblPr>
        <w:tblW w:w="7083" w:type="dxa"/>
        <w:jc w:val="left"/>
        <w:tblInd w:w="0" w:type="dxa"/>
        <w:tblLayout w:type="fixed"/>
        <w:tblCellMar>
          <w:top w:w="0" w:type="dxa"/>
          <w:left w:w="0" w:type="dxa"/>
          <w:bottom w:w="0" w:type="dxa"/>
          <w:right w:w="0" w:type="dxa"/>
        </w:tblCellMar>
      </w:tblPr>
      <w:tblGrid>
        <w:gridCol w:w="796"/>
        <w:gridCol w:w="109"/>
        <w:gridCol w:w="249"/>
        <w:gridCol w:w="551"/>
        <w:gridCol w:w="129"/>
        <w:gridCol w:w="249"/>
        <w:gridCol w:w="551"/>
        <w:gridCol w:w="172"/>
        <w:gridCol w:w="765"/>
        <w:gridCol w:w="391"/>
        <w:gridCol w:w="109"/>
        <w:gridCol w:w="249"/>
        <w:gridCol w:w="551"/>
        <w:gridCol w:w="129"/>
        <w:gridCol w:w="249"/>
        <w:gridCol w:w="551"/>
        <w:gridCol w:w="172"/>
        <w:gridCol w:w="765"/>
        <w:gridCol w:w="346"/>
      </w:tblGrid>
      <w:tr>
        <w:trPr/>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505460" cy="175260"/>
                      <wp:effectExtent l="0" t="0" r="0" b="0"/>
                      <wp:wrapNone/>
                      <wp:docPr id="884" name="Frame8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69215" cy="175260"/>
                      <wp:effectExtent l="0" t="0" r="0" b="0"/>
                      <wp:wrapNone/>
                      <wp:docPr id="885" name="Frame8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158115" cy="175260"/>
                      <wp:effectExtent l="0" t="0" r="0" b="0"/>
                      <wp:wrapNone/>
                      <wp:docPr id="886" name="Frame88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349885" cy="175260"/>
                      <wp:effectExtent l="0" t="0" r="0" b="0"/>
                      <wp:wrapNone/>
                      <wp:docPr id="887" name="Frame88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81915" cy="175260"/>
                      <wp:effectExtent l="0" t="0" r="0" b="0"/>
                      <wp:wrapNone/>
                      <wp:docPr id="888" name="Frame888"/>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158115" cy="175260"/>
                      <wp:effectExtent l="0" t="0" r="0" b="0"/>
                      <wp:wrapNone/>
                      <wp:docPr id="889" name="Frame88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349885" cy="175260"/>
                      <wp:effectExtent l="0" t="0" r="0" b="0"/>
                      <wp:wrapNone/>
                      <wp:docPr id="890" name="Frame89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109220" cy="175260"/>
                      <wp:effectExtent l="0" t="0" r="0" b="0"/>
                      <wp:wrapNone/>
                      <wp:docPr id="891" name="Frame891"/>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485775" cy="175260"/>
                      <wp:effectExtent l="0" t="0" r="0" b="0"/>
                      <wp:wrapNone/>
                      <wp:docPr id="892" name="Frame892"/>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248285" cy="175260"/>
                      <wp:effectExtent l="0" t="0" r="0" b="0"/>
                      <wp:wrapNone/>
                      <wp:docPr id="893" name="Frame89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69215" cy="175260"/>
                      <wp:effectExtent l="0" t="0" r="0" b="0"/>
                      <wp:wrapNone/>
                      <wp:docPr id="894" name="Frame8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158115" cy="175260"/>
                      <wp:effectExtent l="0" t="0" r="0" b="0"/>
                      <wp:wrapNone/>
                      <wp:docPr id="895" name="Frame89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349885" cy="175260"/>
                      <wp:effectExtent l="0" t="0" r="0" b="0"/>
                      <wp:wrapNone/>
                      <wp:docPr id="896" name="Frame89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81915" cy="175260"/>
                      <wp:effectExtent l="0" t="0" r="0" b="0"/>
                      <wp:wrapNone/>
                      <wp:docPr id="897" name="Frame897"/>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158115" cy="175260"/>
                      <wp:effectExtent l="0" t="0" r="0" b="0"/>
                      <wp:wrapNone/>
                      <wp:docPr id="898" name="Frame89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349885" cy="175260"/>
                      <wp:effectExtent l="0" t="0" r="0" b="0"/>
                      <wp:wrapNone/>
                      <wp:docPr id="899" name="Frame89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109220" cy="175260"/>
                      <wp:effectExtent l="0" t="0" r="0" b="0"/>
                      <wp:wrapNone/>
                      <wp:docPr id="900" name="Frame900"/>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2">
                      <wp:simplePos x="0" y="0"/>
                      <wp:positionH relativeFrom="character">
                        <wp:align>left</wp:align>
                      </wp:positionH>
                      <wp:positionV relativeFrom="line">
                        <wp:posOffset>635</wp:posOffset>
                      </wp:positionV>
                      <wp:extent cx="485775" cy="175260"/>
                      <wp:effectExtent l="0" t="0" r="0" b="0"/>
                      <wp:wrapNone/>
                      <wp:docPr id="901" name="Frame901"/>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219710" cy="175260"/>
                      <wp:effectExtent l="0" t="0" r="0" b="0"/>
                      <wp:wrapNone/>
                      <wp:docPr id="902" name="Frame9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66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66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346" w:type="dxa"/>
            <w:tcBorders/>
            <w:vAlign w:val="center"/>
          </w:tcPr>
          <w:p>
            <w:pPr>
              <w:pStyle w:val="TableContents"/>
              <w:bidi w:val="0"/>
              <w:spacing w:before="0" w:after="1"/>
              <w:ind w:left="0" w:right="0" w:hanging="0"/>
              <w:jc w:val="center"/>
              <w:rPr/>
            </w:pPr>
            <w:r>
              <w:rPr/>
              <w:t> </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center"/>
              <w:rPr/>
            </w:pPr>
            <w:r>
              <w:rPr/>
              <w:t>​</w:t>
            </w:r>
          </w:p>
        </w:tc>
        <w:tc>
          <w:tcPr>
            <w:tcW w:w="129" w:type="dxa"/>
            <w:tcBorders/>
            <w:vAlign w:val="center"/>
          </w:tcPr>
          <w:p>
            <w:pPr>
              <w:pStyle w:val="TableContents"/>
              <w:bidi w:val="0"/>
              <w:spacing w:before="0" w:after="1"/>
              <w:ind w:left="0" w:right="0" w:hanging="0"/>
              <w:jc w:val="center"/>
              <w:rPr/>
            </w:pPr>
            <w:r>
              <w:rPr/>
              <w:t>​</w:t>
            </w:r>
          </w:p>
        </w:tc>
        <w:tc>
          <w:tcPr>
            <w:tcW w:w="8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72" w:type="dxa"/>
            <w:tcBorders/>
            <w:vAlign w:val="center"/>
          </w:tcPr>
          <w:p>
            <w:pPr>
              <w:pStyle w:val="TableContents"/>
              <w:bidi w:val="0"/>
              <w:spacing w:before="0" w:after="1"/>
              <w:ind w:left="0" w:right="0" w:hanging="0"/>
              <w:jc w:val="center"/>
              <w:rPr/>
            </w:pPr>
            <w:r>
              <w:rPr/>
              <w:t>​</w:t>
            </w:r>
          </w:p>
        </w:tc>
        <w:tc>
          <w:tcPr>
            <w:tcW w:w="76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551" w:type="dxa"/>
            <w:tcBorders/>
            <w:vAlign w:val="center"/>
          </w:tcPr>
          <w:p>
            <w:pPr>
              <w:pStyle w:val="TableContents"/>
              <w:bidi w:val="0"/>
              <w:spacing w:before="0" w:after="1"/>
              <w:ind w:left="0" w:right="0" w:hanging="0"/>
              <w:jc w:val="center"/>
              <w:rPr/>
            </w:pPr>
            <w:r>
              <w:rPr/>
              <w:t>​</w:t>
            </w:r>
          </w:p>
        </w:tc>
        <w:tc>
          <w:tcPr>
            <w:tcW w:w="129" w:type="dxa"/>
            <w:tcBorders/>
            <w:vAlign w:val="center"/>
          </w:tcPr>
          <w:p>
            <w:pPr>
              <w:pStyle w:val="TableContents"/>
              <w:bidi w:val="0"/>
              <w:spacing w:before="0" w:after="1"/>
              <w:ind w:left="0" w:right="0" w:hanging="0"/>
              <w:jc w:val="center"/>
              <w:rPr/>
            </w:pPr>
            <w:r>
              <w:rPr/>
              <w:t>​</w:t>
            </w:r>
          </w:p>
        </w:tc>
        <w:tc>
          <w:tcPr>
            <w:tcW w:w="8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72" w:type="dxa"/>
            <w:tcBorders/>
            <w:vAlign w:val="center"/>
          </w:tcPr>
          <w:p>
            <w:pPr>
              <w:pStyle w:val="TableContents"/>
              <w:bidi w:val="0"/>
              <w:spacing w:before="0" w:after="1"/>
              <w:ind w:left="0" w:right="0" w:hanging="0"/>
              <w:jc w:val="center"/>
              <w:rPr/>
            </w:pPr>
            <w:r>
              <w:rPr/>
              <w:t>​</w:t>
            </w:r>
          </w:p>
        </w:tc>
        <w:tc>
          <w:tcPr>
            <w:tcW w:w="76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29"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Profit </w:t>
            </w:r>
          </w:p>
        </w:tc>
        <w:tc>
          <w:tcPr>
            <w:tcW w:w="172" w:type="dxa"/>
            <w:tcBorders/>
            <w:vAlign w:val="center"/>
          </w:tcPr>
          <w:p>
            <w:pPr>
              <w:pStyle w:val="TableContents"/>
              <w:bidi w:val="0"/>
              <w:spacing w:before="0" w:after="1"/>
              <w:ind w:left="0" w:right="0" w:hanging="0"/>
              <w:jc w:val="center"/>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29"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72" w:type="dxa"/>
            <w:tcBorders/>
            <w:vAlign w:val="center"/>
          </w:tcPr>
          <w:p>
            <w:pPr>
              <w:pStyle w:val="TableContents"/>
              <w:bidi w:val="0"/>
              <w:spacing w:before="0" w:after="1"/>
              <w:ind w:left="0" w:right="0" w:hanging="0"/>
              <w:jc w:val="center"/>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1"/>
              <w:ind w:left="0" w:right="0" w:hanging="0"/>
              <w:jc w:val="center"/>
              <w:rPr/>
            </w:pPr>
            <w:r>
              <w:rPr/>
              <w:t> </w:t>
            </w:r>
          </w:p>
        </w:tc>
      </w:tr>
      <w:tr>
        <w:trPr/>
        <w:tc>
          <w:tcPr>
            <w:tcW w:w="7083"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832" w:type="dxa"/>
            <w:gridSpan w:val="16"/>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346" w:type="dxa"/>
            <w:tcBorders/>
            <w:vAlign w:val="center"/>
          </w:tcPr>
          <w:p>
            <w:pPr>
              <w:pStyle w:val="TableContents"/>
              <w:bidi w:val="0"/>
              <w:spacing w:before="0" w:after="1"/>
              <w:ind w:left="0" w:right="0" w:hanging="0"/>
              <w:jc w:val="center"/>
              <w:rPr/>
            </w:pPr>
            <w:r>
              <w:rPr/>
              <w:t> </w:t>
            </w:r>
          </w:p>
        </w:tc>
      </w:tr>
      <w:tr>
        <w:trPr/>
        <w:tc>
          <w:tcPr>
            <w:tcW w:w="7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Clubs </w:t>
            </w:r>
            <w:r>
              <w:rPr>
                <w:rFonts w:ascii="Times New Roman;Times;serif" w:hAnsi="Times New Roman;Times;serif"/>
                <w:sz w:val="15"/>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172"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172"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Hotels</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12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12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72"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72"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74.2</w:t>
            </w:r>
          </w:p>
        </w:tc>
        <w:tc>
          <w:tcPr>
            <w:tcW w:w="129"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30.5</w:t>
            </w:r>
          </w:p>
        </w:tc>
        <w:tc>
          <w:tcPr>
            <w:tcW w:w="172"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41.1</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68.8</w:t>
            </w:r>
          </w:p>
        </w:tc>
        <w:tc>
          <w:tcPr>
            <w:tcW w:w="129"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26.5</w:t>
            </w:r>
          </w:p>
        </w:tc>
        <w:tc>
          <w:tcPr>
            <w:tcW w:w="172"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38.5</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7427" w:type="dxa"/>
        <w:jc w:val="left"/>
        <w:tblInd w:w="0" w:type="dxa"/>
        <w:tblLayout w:type="fixed"/>
        <w:tblCellMar>
          <w:top w:w="0" w:type="dxa"/>
          <w:left w:w="0" w:type="dxa"/>
          <w:bottom w:w="0" w:type="dxa"/>
          <w:right w:w="0" w:type="dxa"/>
        </w:tblCellMar>
      </w:tblPr>
      <w:tblGrid>
        <w:gridCol w:w="346"/>
        <w:gridCol w:w="7081"/>
      </w:tblGrid>
      <w:tr>
        <w:trPr/>
        <w:tc>
          <w:tcPr>
            <w:tcW w:w="346" w:type="dxa"/>
            <w:tcBorders/>
            <w:vAlign w:val="center"/>
          </w:tcPr>
          <w:p>
            <w:pPr>
              <w:pStyle w:val="TableContents"/>
              <w:bidi w:val="0"/>
              <w:spacing w:before="0" w:after="283"/>
              <w:jc w:val="left"/>
              <w:rPr>
                <w:rFonts w:ascii="Helvetica;sans-serif" w:hAnsi="Helvetica;sans-serif"/>
                <w:sz w:val="18"/>
              </w:rPr>
            </w:pPr>
            <w:r>
              <w:rPr>
                <w:rFonts w:ascii="Helvetica;sans-serif" w:hAnsi="Helvetica;sans-serif"/>
                <w:sz w:val="18"/>
              </w:rPr>
              <w:t>(a)</w:t>
            </w:r>
          </w:p>
        </w:tc>
        <w:tc>
          <w:tcPr>
            <w:tcW w:w="7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the Camp Creek Inn due to its proximity and guest access to Watersound Club amenities.</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our clubs increased $3.4 million, or 13.5%, during the three months ended June 30, 2026, as compared to the same period in 2025. The increase in revenue was due to an increase in membership dues, membership ancillary spend and Camp Creek Inn lodging and ancillary spend. Our clubs gross margin was 45.8% during the three months ended June 30, 2026, compared to 43.3% during the same period in 2025. The increase in gross margin was primarily due to stabilization of the Camp Creek Inn and improvements in management of operating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our hotel operations increased $1.6 million, or 4.1%, during the three months ended June 30, 2026, as compared to the same period in 2025. The increase was primarily related to an increase in ADR, occupancy, as well as guest incidental spend. Our hotels gross margin was 39.8% for the three months ended June 30, 2026, compared to 37.5% during the same period in 2025. The increase in gross margin was primarily due to stabilization of the properties and improvements in management of operating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other hospitality operations increased $0.4 million, or 8.5%, during the three months ended June 30, 2026, as compared to the same period in 2025, primarily due to increased revenue from our marina and retail operations. Our other hospitality operations gross margin was 25.5% during the three months ended June 30, 2026, compared to 21.3% during the same period in 2025. The increase in gross margin was primarily due to improvements in management of operating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includes marina boat slip and dry storage rentals, as well as leases of other hospitality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Real estate revenue during the three months ended June 30, 2026, includes the sale of a vacation rental property for $3.6 million, resulting in a gross profit of $2.3 million (or gross margin of 63.9%). Real estate revenue during the three months ended June 30, 2025, includes the sale of a hospitality property for $1.4 million, resulting in a gross profit of $0.6 million (or gross margin of 42.9%).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operating expenses include salaries and benefits, professional fees, repairs and maintenance and other administrative expenses.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primarily includes interest incurred from our hospitality project financing. The decrease of $0.5 million in interest expense during the three months ended June 30, 2026, as compared to the same period in 2025, was primarily due to repayment of project financing and a decrease in interest rates from the prior period.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to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details of our hospitality segment consolidated revenue and gross profit:</w:t>
      </w:r>
    </w:p>
    <w:tbl>
      <w:tblPr>
        <w:tblW w:w="6742" w:type="dxa"/>
        <w:jc w:val="left"/>
        <w:tblInd w:w="0" w:type="dxa"/>
        <w:tblLayout w:type="fixed"/>
        <w:tblCellMar>
          <w:top w:w="0" w:type="dxa"/>
          <w:left w:w="0" w:type="dxa"/>
          <w:bottom w:w="0" w:type="dxa"/>
          <w:right w:w="0" w:type="dxa"/>
        </w:tblCellMar>
      </w:tblPr>
      <w:tblGrid>
        <w:gridCol w:w="796"/>
        <w:gridCol w:w="109"/>
        <w:gridCol w:w="221"/>
        <w:gridCol w:w="599"/>
        <w:gridCol w:w="114"/>
        <w:gridCol w:w="221"/>
        <w:gridCol w:w="488"/>
        <w:gridCol w:w="153"/>
        <w:gridCol w:w="677"/>
        <w:gridCol w:w="391"/>
        <w:gridCol w:w="109"/>
        <w:gridCol w:w="221"/>
        <w:gridCol w:w="599"/>
        <w:gridCol w:w="114"/>
        <w:gridCol w:w="221"/>
        <w:gridCol w:w="488"/>
        <w:gridCol w:w="153"/>
        <w:gridCol w:w="677"/>
        <w:gridCol w:w="391"/>
      </w:tblGrid>
      <w:tr>
        <w:trPr/>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505460" cy="175260"/>
                      <wp:effectExtent l="0" t="0" r="0" b="0"/>
                      <wp:wrapNone/>
                      <wp:docPr id="903" name="Frame90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69215" cy="175260"/>
                      <wp:effectExtent l="0" t="0" r="0" b="0"/>
                      <wp:wrapNone/>
                      <wp:docPr id="904" name="Frame9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140335" cy="175260"/>
                      <wp:effectExtent l="0" t="0" r="0" b="0"/>
                      <wp:wrapNone/>
                      <wp:docPr id="905" name="Frame90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380365" cy="175260"/>
                      <wp:effectExtent l="0" t="0" r="0" b="0"/>
                      <wp:wrapNone/>
                      <wp:docPr id="906" name="Frame906"/>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72390" cy="175260"/>
                      <wp:effectExtent l="0" t="0" r="0" b="0"/>
                      <wp:wrapNone/>
                      <wp:docPr id="907" name="Frame907"/>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140335" cy="175260"/>
                      <wp:effectExtent l="0" t="0" r="0" b="0"/>
                      <wp:wrapNone/>
                      <wp:docPr id="908" name="Frame90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309880" cy="175260"/>
                      <wp:effectExtent l="0" t="0" r="0" b="0"/>
                      <wp:wrapNone/>
                      <wp:docPr id="909" name="Frame909"/>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97155" cy="175260"/>
                      <wp:effectExtent l="0" t="0" r="0" b="0"/>
                      <wp:wrapNone/>
                      <wp:docPr id="910" name="Frame910"/>
                      <a:graphic xmlns:a="http://schemas.openxmlformats.org/drawingml/2006/main">
                        <a:graphicData uri="http://schemas.microsoft.com/office/word/2010/wordprocessingShape">
                          <wps:wsp>
                            <wps:cNvSpPr txBox="1"/>
                            <wps:spPr>
                              <a:xfrm>
                                <a:off x="0" y="0"/>
                                <a:ext cx="97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429895" cy="175260"/>
                      <wp:effectExtent l="0" t="0" r="0" b="0"/>
                      <wp:wrapNone/>
                      <wp:docPr id="911" name="Frame911"/>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248285" cy="175260"/>
                      <wp:effectExtent l="0" t="0" r="0" b="0"/>
                      <wp:wrapNone/>
                      <wp:docPr id="912" name="Frame91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69215" cy="175260"/>
                      <wp:effectExtent l="0" t="0" r="0" b="0"/>
                      <wp:wrapNone/>
                      <wp:docPr id="913" name="Frame9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140335" cy="175260"/>
                      <wp:effectExtent l="0" t="0" r="0" b="0"/>
                      <wp:wrapNone/>
                      <wp:docPr id="914" name="Frame91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6">
                      <wp:simplePos x="0" y="0"/>
                      <wp:positionH relativeFrom="character">
                        <wp:align>left</wp:align>
                      </wp:positionH>
                      <wp:positionV relativeFrom="line">
                        <wp:posOffset>635</wp:posOffset>
                      </wp:positionV>
                      <wp:extent cx="380365" cy="175260"/>
                      <wp:effectExtent l="0" t="0" r="0" b="0"/>
                      <wp:wrapNone/>
                      <wp:docPr id="915" name="Frame915"/>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7">
                      <wp:simplePos x="0" y="0"/>
                      <wp:positionH relativeFrom="character">
                        <wp:align>left</wp:align>
                      </wp:positionH>
                      <wp:positionV relativeFrom="line">
                        <wp:posOffset>635</wp:posOffset>
                      </wp:positionV>
                      <wp:extent cx="72390" cy="175260"/>
                      <wp:effectExtent l="0" t="0" r="0" b="0"/>
                      <wp:wrapNone/>
                      <wp:docPr id="916" name="Frame916"/>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140335" cy="175260"/>
                      <wp:effectExtent l="0" t="0" r="0" b="0"/>
                      <wp:wrapNone/>
                      <wp:docPr id="917" name="Frame91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9">
                      <wp:simplePos x="0" y="0"/>
                      <wp:positionH relativeFrom="character">
                        <wp:align>left</wp:align>
                      </wp:positionH>
                      <wp:positionV relativeFrom="line">
                        <wp:posOffset>635</wp:posOffset>
                      </wp:positionV>
                      <wp:extent cx="309880" cy="175260"/>
                      <wp:effectExtent l="0" t="0" r="0" b="0"/>
                      <wp:wrapNone/>
                      <wp:docPr id="918" name="Frame918"/>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97155" cy="175260"/>
                      <wp:effectExtent l="0" t="0" r="0" b="0"/>
                      <wp:wrapNone/>
                      <wp:docPr id="919" name="Frame919"/>
                      <a:graphic xmlns:a="http://schemas.openxmlformats.org/drawingml/2006/main">
                        <a:graphicData uri="http://schemas.microsoft.com/office/word/2010/wordprocessingShape">
                          <wps:wsp>
                            <wps:cNvSpPr txBox="1"/>
                            <wps:spPr>
                              <a:xfrm>
                                <a:off x="0" y="0"/>
                                <a:ext cx="97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1">
                      <wp:simplePos x="0" y="0"/>
                      <wp:positionH relativeFrom="character">
                        <wp:align>left</wp:align>
                      </wp:positionH>
                      <wp:positionV relativeFrom="line">
                        <wp:posOffset>635</wp:posOffset>
                      </wp:positionV>
                      <wp:extent cx="429895" cy="175260"/>
                      <wp:effectExtent l="0" t="0" r="0" b="0"/>
                      <wp:wrapNone/>
                      <wp:docPr id="920" name="Frame920"/>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248285" cy="175260"/>
                      <wp:effectExtent l="0" t="0" r="0" b="0"/>
                      <wp:wrapNone/>
                      <wp:docPr id="921" name="Frame92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47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c>
          <w:tcPr>
            <w:tcW w:w="391" w:type="dxa"/>
            <w:tcBorders/>
            <w:vAlign w:val="center"/>
          </w:tcPr>
          <w:p>
            <w:pPr>
              <w:pStyle w:val="TableContents"/>
              <w:bidi w:val="0"/>
              <w:spacing w:before="0" w:after="1"/>
              <w:ind w:left="0" w:right="0" w:hanging="0"/>
              <w:jc w:val="center"/>
              <w:rPr/>
            </w:pPr>
            <w:r>
              <w:rPr/>
              <w:t> </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left"/>
              <w:rPr/>
            </w:pPr>
            <w:r>
              <w:rPr/>
              <w:t>​</w:t>
            </w:r>
          </w:p>
        </w:tc>
        <w:tc>
          <w:tcPr>
            <w:tcW w:w="599" w:type="dxa"/>
            <w:tcBorders/>
            <w:vAlign w:val="center"/>
          </w:tcPr>
          <w:p>
            <w:pPr>
              <w:pStyle w:val="TableContents"/>
              <w:bidi w:val="0"/>
              <w:spacing w:before="0" w:after="1"/>
              <w:ind w:left="0" w:right="0" w:hanging="0"/>
              <w:jc w:val="center"/>
              <w:rPr/>
            </w:pPr>
            <w:r>
              <w:rPr/>
              <w:t>​</w:t>
            </w:r>
          </w:p>
        </w:tc>
        <w:tc>
          <w:tcPr>
            <w:tcW w:w="114" w:type="dxa"/>
            <w:tcBorders/>
            <w:vAlign w:val="center"/>
          </w:tcPr>
          <w:p>
            <w:pPr>
              <w:pStyle w:val="TableContents"/>
              <w:bidi w:val="0"/>
              <w:spacing w:before="0" w:after="1"/>
              <w:ind w:left="0" w:right="0" w:hanging="0"/>
              <w:jc w:val="center"/>
              <w:rPr/>
            </w:pPr>
            <w:r>
              <w:rPr/>
              <w:t>​</w:t>
            </w:r>
          </w:p>
        </w:tc>
        <w:tc>
          <w:tcPr>
            <w:tcW w:w="70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53"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left"/>
              <w:rPr/>
            </w:pPr>
            <w:r>
              <w:rPr/>
              <w:t>​</w:t>
            </w:r>
          </w:p>
        </w:tc>
        <w:tc>
          <w:tcPr>
            <w:tcW w:w="599" w:type="dxa"/>
            <w:tcBorders/>
            <w:vAlign w:val="center"/>
          </w:tcPr>
          <w:p>
            <w:pPr>
              <w:pStyle w:val="TableContents"/>
              <w:bidi w:val="0"/>
              <w:spacing w:before="0" w:after="1"/>
              <w:ind w:left="0" w:right="0" w:hanging="0"/>
              <w:jc w:val="center"/>
              <w:rPr/>
            </w:pPr>
            <w:r>
              <w:rPr/>
              <w:t>​</w:t>
            </w:r>
          </w:p>
        </w:tc>
        <w:tc>
          <w:tcPr>
            <w:tcW w:w="114" w:type="dxa"/>
            <w:tcBorders/>
            <w:vAlign w:val="center"/>
          </w:tcPr>
          <w:p>
            <w:pPr>
              <w:pStyle w:val="TableContents"/>
              <w:bidi w:val="0"/>
              <w:spacing w:before="0" w:after="1"/>
              <w:ind w:left="0" w:right="0" w:hanging="0"/>
              <w:jc w:val="center"/>
              <w:rPr/>
            </w:pPr>
            <w:r>
              <w:rPr/>
              <w:t>​</w:t>
            </w:r>
          </w:p>
        </w:tc>
        <w:tc>
          <w:tcPr>
            <w:tcW w:w="70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53"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center"/>
              <w:rPr/>
            </w:pPr>
            <w:r>
              <w:rPr/>
              <w:t>​</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4" w:type="dxa"/>
            <w:tcBorders/>
            <w:vAlign w:val="center"/>
          </w:tcPr>
          <w:p>
            <w:pPr>
              <w:pStyle w:val="TableContents"/>
              <w:bidi w:val="0"/>
              <w:spacing w:before="0" w:after="1"/>
              <w:ind w:left="0" w:right="0" w:hanging="0"/>
              <w:jc w:val="center"/>
              <w:rPr/>
            </w:pPr>
            <w:r>
              <w:rPr/>
              <w:t>​</w:t>
            </w:r>
          </w:p>
        </w:tc>
        <w:tc>
          <w:tcPr>
            <w:tcW w:w="7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53" w:type="dxa"/>
            <w:tcBorders/>
            <w:vAlign w:val="center"/>
          </w:tcPr>
          <w:p>
            <w:pPr>
              <w:pStyle w:val="TableContents"/>
              <w:bidi w:val="0"/>
              <w:spacing w:before="0" w:after="1"/>
              <w:ind w:left="0" w:right="0" w:hanging="0"/>
              <w:jc w:val="center"/>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4" w:type="dxa"/>
            <w:tcBorders/>
            <w:vAlign w:val="center"/>
          </w:tcPr>
          <w:p>
            <w:pPr>
              <w:pStyle w:val="TableContents"/>
              <w:bidi w:val="0"/>
              <w:spacing w:before="0" w:after="1"/>
              <w:ind w:left="0" w:right="0" w:hanging="0"/>
              <w:jc w:val="center"/>
              <w:rPr/>
            </w:pPr>
            <w:r>
              <w:rPr/>
              <w:t>​</w:t>
            </w:r>
          </w:p>
        </w:tc>
        <w:tc>
          <w:tcPr>
            <w:tcW w:w="7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53" w:type="dxa"/>
            <w:tcBorders/>
            <w:vAlign w:val="center"/>
          </w:tcPr>
          <w:p>
            <w:pPr>
              <w:pStyle w:val="TableContents"/>
              <w:bidi w:val="0"/>
              <w:spacing w:before="0" w:after="1"/>
              <w:ind w:left="0" w:right="0" w:hanging="0"/>
              <w:jc w:val="center"/>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center"/>
              <w:rPr/>
            </w:pPr>
            <w:r>
              <w:rPr/>
              <w:t xml:space="preserve">  </w:t>
            </w:r>
          </w:p>
        </w:tc>
      </w:tr>
      <w:tr>
        <w:trPr/>
        <w:tc>
          <w:tcPr>
            <w:tcW w:w="6742"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837" w:type="dxa"/>
            <w:gridSpan w:val="17"/>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r>
      <w:tr>
        <w:trPr/>
        <w:tc>
          <w:tcPr>
            <w:tcW w:w="7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Clubs </w:t>
            </w:r>
            <w:r>
              <w:rPr>
                <w:rFonts w:ascii="Times New Roman;Times;serif" w:hAnsi="Times New Roman;Times;serif"/>
                <w:sz w:val="15"/>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114"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153"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114"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153"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Hotels</w:t>
            </w:r>
          </w:p>
        </w:tc>
        <w:tc>
          <w:tcPr>
            <w:tcW w:w="10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114"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53"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c>
          <w:tcPr>
            <w:tcW w:w="114"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153"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114"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53"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114"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153"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118.9</w:t>
            </w:r>
          </w:p>
        </w:tc>
        <w:tc>
          <w:tcPr>
            <w:tcW w:w="114"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w:t>
            </w:r>
          </w:p>
        </w:tc>
        <w:tc>
          <w:tcPr>
            <w:tcW w:w="153"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34.7</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108.4</w:t>
            </w:r>
          </w:p>
        </w:tc>
        <w:tc>
          <w:tcPr>
            <w:tcW w:w="114"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33.7</w:t>
            </w:r>
          </w:p>
        </w:tc>
        <w:tc>
          <w:tcPr>
            <w:tcW w:w="153"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31.1</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 </w:t>
            </w:r>
          </w:p>
        </w:tc>
      </w:tr>
    </w:tbl>
    <w:tbl>
      <w:tblPr>
        <w:tblW w:w="7427" w:type="dxa"/>
        <w:jc w:val="left"/>
        <w:tblInd w:w="0" w:type="dxa"/>
        <w:tblLayout w:type="fixed"/>
        <w:tblCellMar>
          <w:top w:w="0" w:type="dxa"/>
          <w:left w:w="0" w:type="dxa"/>
          <w:bottom w:w="0" w:type="dxa"/>
          <w:right w:w="0" w:type="dxa"/>
        </w:tblCellMar>
      </w:tblPr>
      <w:tblGrid>
        <w:gridCol w:w="346"/>
        <w:gridCol w:w="7081"/>
      </w:tblGrid>
      <w:tr>
        <w:trPr/>
        <w:tc>
          <w:tcPr>
            <w:tcW w:w="346" w:type="dxa"/>
            <w:tcBorders/>
            <w:vAlign w:val="center"/>
          </w:tcPr>
          <w:p>
            <w:pPr>
              <w:pStyle w:val="TableContents"/>
              <w:bidi w:val="0"/>
              <w:spacing w:before="0" w:after="283"/>
              <w:jc w:val="left"/>
              <w:rPr>
                <w:rFonts w:ascii="Helvetica;sans-serif" w:hAnsi="Helvetica;sans-serif"/>
                <w:sz w:val="18"/>
              </w:rPr>
            </w:pPr>
            <w:r>
              <w:rPr>
                <w:rFonts w:ascii="Helvetica;sans-serif" w:hAnsi="Helvetica;sans-serif"/>
                <w:sz w:val="18"/>
              </w:rPr>
              <w:t>(a)</w:t>
            </w:r>
          </w:p>
        </w:tc>
        <w:tc>
          <w:tcPr>
            <w:tcW w:w="7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the Camp Creek Inn due to its proximity and guest access to Watersound Club amenities.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our clubs increased $6.6 million, or 14.7%, during the six months ended June 30, 2026, as compared to the same period in 2025. The increase in revenue was due to an increase in membership dues, membership ancillary spend and Camp Creek Inn lodging and ancillary spend. As of June 30, 2026, Watersound Club had 3,723 members, compared with 3,551 members as of June 30, 2025, a net increase of 172 members. Our clubs gross margin was 43.2% during the six months ended June 30, 2026, compared to 41.1% during the same period in 2025. The increase in gross margin was primarily due to stabilization of the Camp Creek Inn and improvements in management of operating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our hotel operations increased $3.3 million, or 5.8%, during the six months ended June 30, 2026, as compared to the same period in 2025. The increase was primarily related to an increase in ADR, occupancy, as well as guest incidental spend. Our hotels gross margin was 29.3% for the six months ended June 30, 2026, compared to 25.4% during the same period in 2025. The increase in gross margin was primarily due to stabilization of the properties and improvements in management of operating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both June 30, 2026 and 2025, we had 1,053 operational hotel rooms (excluding 245 hotel rooms related to unconsolidated JVs).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other hospitality operations increased $0.6 million, or 8.7%, during the six months ended June 30, 2026, as compared to the same period in 2025, primarily due to increased revenue from our marina and retail operations. Our other hospitality operations gross margin was 20.0% during the six months ended June 30, 2026, compared to 13.0% during the same period in 2025. The increase in gross margin was primarily due to improvements in management of operating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includes marina boat slip and dry storage rentals, as well as leases of other hospitality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Real estate revenue during the six months ended June 30, 2026, includes the sale of two vacation rental properties for $7.1 million, resulting in a gross profit of $4.5 million (or gross margin of 63.4%). Real estate revenue during the six months ended June 30, 2025, includes the sale of a hospitality property for $1.4 million, resulting in a gross profit of $0.6 million (or gross margin of 42.9%).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operating expenses include salaries and benefits, professional fees, repairs and maintenance and other administrative expenses.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primarily includes interest incurred from our hospitality project financing. The decrease of $0.9 million in interest expense during the six months ended June 30, 2026, as compared to the same period in 2025, was primarily due to repayment of project financing and a decrease in interest rates from the prior period.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Commercial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consolidated results of operations of our commercial segment:</w:t>
      </w:r>
    </w:p>
    <w:tbl>
      <w:tblPr>
        <w:tblW w:w="9299" w:type="dxa"/>
        <w:jc w:val="left"/>
        <w:tblInd w:w="0" w:type="dxa"/>
        <w:tblLayout w:type="fixed"/>
        <w:tblCellMar>
          <w:top w:w="0" w:type="dxa"/>
          <w:left w:w="0" w:type="dxa"/>
          <w:bottom w:w="0" w:type="dxa"/>
          <w:right w:w="0" w:type="dxa"/>
        </w:tblCellMar>
      </w:tblPr>
      <w:tblGrid>
        <w:gridCol w:w="4141"/>
        <w:gridCol w:w="346"/>
        <w:gridCol w:w="281"/>
        <w:gridCol w:w="642"/>
        <w:gridCol w:w="462"/>
        <w:gridCol w:w="281"/>
        <w:gridCol w:w="642"/>
        <w:gridCol w:w="346"/>
        <w:gridCol w:w="256"/>
        <w:gridCol w:w="585"/>
        <w:gridCol w:w="421"/>
        <w:gridCol w:w="256"/>
        <w:gridCol w:w="640"/>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2629535" cy="175260"/>
                      <wp:effectExtent l="0" t="0" r="0" b="0"/>
                      <wp:wrapNone/>
                      <wp:docPr id="922" name="Frame922"/>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219710" cy="175260"/>
                      <wp:effectExtent l="0" t="0" r="0" b="0"/>
                      <wp:wrapNone/>
                      <wp:docPr id="923" name="Frame9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178435" cy="175260"/>
                      <wp:effectExtent l="0" t="0" r="0" b="0"/>
                      <wp:wrapNone/>
                      <wp:docPr id="924" name="Frame92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407670" cy="175260"/>
                      <wp:effectExtent l="0" t="0" r="0" b="0"/>
                      <wp:wrapNone/>
                      <wp:docPr id="925" name="Frame925"/>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293370" cy="175260"/>
                      <wp:effectExtent l="0" t="0" r="0" b="0"/>
                      <wp:wrapNone/>
                      <wp:docPr id="926" name="Frame926"/>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178435" cy="175260"/>
                      <wp:effectExtent l="0" t="0" r="0" b="0"/>
                      <wp:wrapNone/>
                      <wp:docPr id="927" name="Frame92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407670" cy="175260"/>
                      <wp:effectExtent l="0" t="0" r="0" b="0"/>
                      <wp:wrapNone/>
                      <wp:docPr id="928" name="Frame928"/>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219710" cy="175260"/>
                      <wp:effectExtent l="0" t="0" r="0" b="0"/>
                      <wp:wrapNone/>
                      <wp:docPr id="929" name="Frame9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162560" cy="175260"/>
                      <wp:effectExtent l="0" t="0" r="0" b="0"/>
                      <wp:wrapNone/>
                      <wp:docPr id="930" name="Frame93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371475" cy="175260"/>
                      <wp:effectExtent l="0" t="0" r="0" b="0"/>
                      <wp:wrapNone/>
                      <wp:docPr id="931" name="Frame931"/>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267335" cy="175260"/>
                      <wp:effectExtent l="0" t="0" r="0" b="0"/>
                      <wp:wrapNone/>
                      <wp:docPr id="932" name="Frame93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162560" cy="175260"/>
                      <wp:effectExtent l="0" t="0" r="0" b="0"/>
                      <wp:wrapNone/>
                      <wp:docPr id="933" name="Frame93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406400" cy="175260"/>
                      <wp:effectExtent l="0" t="0" r="0" b="0"/>
                      <wp:wrapNone/>
                      <wp:docPr id="934" name="Frame934"/>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center"/>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1" w:type="dxa"/>
            <w:tcBorders/>
            <w:vAlign w:val="center"/>
          </w:tcPr>
          <w:p>
            <w:pPr>
              <w:pStyle w:val="TableContents"/>
              <w:bidi w:val="0"/>
              <w:spacing w:before="0" w:after="0"/>
              <w:ind w:left="0" w:right="0" w:hanging="0"/>
              <w:jc w:val="center"/>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29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12"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  ​</w:t>
            </w:r>
          </w:p>
        </w:tc>
        <w:tc>
          <w:tcPr>
            <w:tcW w:w="462"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  ​</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pPr>
            <w:r>
              <w:rPr/>
              <w:t>​</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leasing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 leasing revenue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living leasing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leasing revenue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forestry real estate revenue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revenue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r>
      <w:tr>
        <w:trPr/>
        <w:tc>
          <w:tcPr>
            <w:tcW w:w="44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  ​</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pPr>
            <w:r>
              <w:rPr/>
              <w:t>  ​</w:t>
            </w:r>
          </w:p>
        </w:tc>
      </w:tr>
      <w:tr>
        <w:trPr/>
        <w:tc>
          <w:tcPr>
            <w:tcW w:w="41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leasing revenue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41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revenue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1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operating expenses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21"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loss from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21"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c>
          <w:tcPr>
            <w:tcW w:w="421"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w:t>
            </w:r>
          </w:p>
        </w:tc>
      </w:tr>
    </w:tbl>
    <w:tbl>
      <w:tblPr>
        <w:tblW w:w="5867" w:type="dxa"/>
        <w:jc w:val="left"/>
        <w:tblInd w:w="0" w:type="dxa"/>
        <w:tblLayout w:type="fixed"/>
        <w:tblCellMar>
          <w:top w:w="0" w:type="dxa"/>
          <w:left w:w="0" w:type="dxa"/>
          <w:bottom w:w="0" w:type="dxa"/>
          <w:right w:w="0" w:type="dxa"/>
        </w:tblCellMar>
      </w:tblPr>
      <w:tblGrid>
        <w:gridCol w:w="316"/>
        <w:gridCol w:w="5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p>
      <w:pPr>
        <w:pStyle w:val="TextBody"/>
        <w:bidi w:val="0"/>
        <w:spacing w:before="0" w:after="0"/>
        <w:ind w:left="0" w:right="0" w:hanging="0"/>
        <w:jc w:val="left"/>
        <w:rPr/>
      </w:pPr>
      <w:r>
        <w:rPr/>
        <w:t>​</w:t>
      </w:r>
    </w:p>
    <w:p>
      <w:pPr>
        <w:pStyle w:val="TextBody"/>
        <w:bidi w:val="0"/>
        <w:spacing w:before="12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to the three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details of our commercial segment consolidated revenue and gross profit:</w:t>
      </w:r>
    </w:p>
    <w:tbl>
      <w:tblPr>
        <w:tblW w:w="9303" w:type="dxa"/>
        <w:jc w:val="left"/>
        <w:tblInd w:w="0" w:type="dxa"/>
        <w:tblLayout w:type="fixed"/>
        <w:tblCellMar>
          <w:top w:w="0" w:type="dxa"/>
          <w:left w:w="0" w:type="dxa"/>
          <w:bottom w:w="0" w:type="dxa"/>
          <w:right w:w="0" w:type="dxa"/>
        </w:tblCellMar>
      </w:tblPr>
      <w:tblGrid>
        <w:gridCol w:w="2971"/>
        <w:gridCol w:w="109"/>
        <w:gridCol w:w="249"/>
        <w:gridCol w:w="551"/>
        <w:gridCol w:w="129"/>
        <w:gridCol w:w="249"/>
        <w:gridCol w:w="551"/>
        <w:gridCol w:w="172"/>
        <w:gridCol w:w="765"/>
        <w:gridCol w:w="391"/>
        <w:gridCol w:w="109"/>
        <w:gridCol w:w="249"/>
        <w:gridCol w:w="551"/>
        <w:gridCol w:w="129"/>
        <w:gridCol w:w="249"/>
        <w:gridCol w:w="551"/>
        <w:gridCol w:w="172"/>
        <w:gridCol w:w="765"/>
        <w:gridCol w:w="39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1886585" cy="175260"/>
                      <wp:effectExtent l="0" t="0" r="0" b="0"/>
                      <wp:wrapNone/>
                      <wp:docPr id="935" name="Frame935"/>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69215" cy="175260"/>
                      <wp:effectExtent l="0" t="0" r="0" b="0"/>
                      <wp:wrapNone/>
                      <wp:docPr id="936" name="Frame9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158115" cy="175260"/>
                      <wp:effectExtent l="0" t="0" r="0" b="0"/>
                      <wp:wrapNone/>
                      <wp:docPr id="937" name="Frame93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9">
                      <wp:simplePos x="0" y="0"/>
                      <wp:positionH relativeFrom="character">
                        <wp:align>left</wp:align>
                      </wp:positionH>
                      <wp:positionV relativeFrom="line">
                        <wp:posOffset>635</wp:posOffset>
                      </wp:positionV>
                      <wp:extent cx="349885" cy="175260"/>
                      <wp:effectExtent l="0" t="0" r="0" b="0"/>
                      <wp:wrapNone/>
                      <wp:docPr id="938" name="Frame938"/>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81915" cy="175260"/>
                      <wp:effectExtent l="0" t="0" r="0" b="0"/>
                      <wp:wrapNone/>
                      <wp:docPr id="939" name="Frame939"/>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158115" cy="175260"/>
                      <wp:effectExtent l="0" t="0" r="0" b="0"/>
                      <wp:wrapNone/>
                      <wp:docPr id="940" name="Frame94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349885" cy="175260"/>
                      <wp:effectExtent l="0" t="0" r="0" b="0"/>
                      <wp:wrapNone/>
                      <wp:docPr id="941" name="Frame941"/>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109220" cy="175260"/>
                      <wp:effectExtent l="0" t="0" r="0" b="0"/>
                      <wp:wrapNone/>
                      <wp:docPr id="942" name="Frame942"/>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485775" cy="175260"/>
                      <wp:effectExtent l="0" t="0" r="0" b="0"/>
                      <wp:wrapNone/>
                      <wp:docPr id="943" name="Frame943"/>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248285" cy="175260"/>
                      <wp:effectExtent l="0" t="0" r="0" b="0"/>
                      <wp:wrapNone/>
                      <wp:docPr id="944" name="Frame94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69215" cy="175260"/>
                      <wp:effectExtent l="0" t="0" r="0" b="0"/>
                      <wp:wrapNone/>
                      <wp:docPr id="945" name="Frame9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158115" cy="175260"/>
                      <wp:effectExtent l="0" t="0" r="0" b="0"/>
                      <wp:wrapNone/>
                      <wp:docPr id="946" name="Frame94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8">
                      <wp:simplePos x="0" y="0"/>
                      <wp:positionH relativeFrom="character">
                        <wp:align>left</wp:align>
                      </wp:positionH>
                      <wp:positionV relativeFrom="line">
                        <wp:posOffset>635</wp:posOffset>
                      </wp:positionV>
                      <wp:extent cx="349885" cy="175260"/>
                      <wp:effectExtent l="0" t="0" r="0" b="0"/>
                      <wp:wrapNone/>
                      <wp:docPr id="947" name="Frame94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81915" cy="175260"/>
                      <wp:effectExtent l="0" t="0" r="0" b="0"/>
                      <wp:wrapNone/>
                      <wp:docPr id="948" name="Frame948"/>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158115" cy="175260"/>
                      <wp:effectExtent l="0" t="0" r="0" b="0"/>
                      <wp:wrapNone/>
                      <wp:docPr id="949" name="Frame94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349885" cy="175260"/>
                      <wp:effectExtent l="0" t="0" r="0" b="0"/>
                      <wp:wrapNone/>
                      <wp:docPr id="950" name="Frame95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109220" cy="175260"/>
                      <wp:effectExtent l="0" t="0" r="0" b="0"/>
                      <wp:wrapNone/>
                      <wp:docPr id="951" name="Frame951"/>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485775" cy="175260"/>
                      <wp:effectExtent l="0" t="0" r="0" b="0"/>
                      <wp:wrapNone/>
                      <wp:docPr id="952" name="Frame952"/>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248285" cy="175260"/>
                      <wp:effectExtent l="0" t="0" r="0" b="0"/>
                      <wp:wrapNone/>
                      <wp:docPr id="953" name="Frame95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6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6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center"/>
              <w:rPr/>
            </w:pPr>
            <w:r>
              <w:rPr/>
              <w:t>​</w:t>
            </w:r>
          </w:p>
        </w:tc>
        <w:tc>
          <w:tcPr>
            <w:tcW w:w="129" w:type="dxa"/>
            <w:tcBorders/>
            <w:vAlign w:val="center"/>
          </w:tcPr>
          <w:p>
            <w:pPr>
              <w:pStyle w:val="TableContents"/>
              <w:bidi w:val="0"/>
              <w:spacing w:before="0" w:after="0"/>
              <w:ind w:left="0" w:right="0" w:hanging="0"/>
              <w:jc w:val="center"/>
              <w:rPr/>
            </w:pPr>
            <w:r>
              <w:rPr/>
              <w:t>​</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7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center"/>
              <w:rPr/>
            </w:pPr>
            <w:r>
              <w:rPr/>
              <w:t>​</w:t>
            </w:r>
          </w:p>
        </w:tc>
        <w:tc>
          <w:tcPr>
            <w:tcW w:w="129" w:type="dxa"/>
            <w:tcBorders/>
            <w:vAlign w:val="center"/>
          </w:tcPr>
          <w:p>
            <w:pPr>
              <w:pStyle w:val="TableContents"/>
              <w:bidi w:val="0"/>
              <w:spacing w:before="0" w:after="0"/>
              <w:ind w:left="0" w:right="0" w:hanging="0"/>
              <w:jc w:val="center"/>
              <w:rPr/>
            </w:pPr>
            <w:r>
              <w:rPr/>
              <w:t>​</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72" w:type="dxa"/>
            <w:tcBorders/>
            <w:vAlign w:val="center"/>
          </w:tcPr>
          <w:p>
            <w:pPr>
              <w:pStyle w:val="TableContents"/>
              <w:bidi w:val="0"/>
              <w:spacing w:before="0" w:after="0"/>
              <w:ind w:left="0" w:right="0" w:hanging="0"/>
              <w:jc w:val="center"/>
              <w:rPr/>
            </w:pPr>
            <w:r>
              <w:rPr/>
              <w:t>​</w:t>
            </w:r>
          </w:p>
        </w:tc>
        <w:tc>
          <w:tcPr>
            <w:tcW w:w="76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29" w:type="dxa"/>
            <w:tcBorders/>
            <w:vAlign w:val="center"/>
          </w:tcPr>
          <w:p>
            <w:pPr>
              <w:pStyle w:val="TableContents"/>
              <w:bidi w:val="0"/>
              <w:spacing w:before="0" w:after="0"/>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72" w:type="dxa"/>
            <w:tcBorders/>
            <w:vAlign w:val="center"/>
          </w:tcPr>
          <w:p>
            <w:pPr>
              <w:pStyle w:val="TableContents"/>
              <w:bidi w:val="0"/>
              <w:spacing w:before="0" w:after="0"/>
              <w:ind w:left="0" w:right="0" w:hanging="0"/>
              <w:jc w:val="center"/>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29" w:type="dxa"/>
            <w:tcBorders/>
            <w:vAlign w:val="center"/>
          </w:tcPr>
          <w:p>
            <w:pPr>
              <w:pStyle w:val="TableContents"/>
              <w:bidi w:val="0"/>
              <w:spacing w:before="0" w:after="0"/>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72" w:type="dxa"/>
            <w:tcBorders/>
            <w:vAlign w:val="center"/>
          </w:tcPr>
          <w:p>
            <w:pPr>
              <w:pStyle w:val="TableContents"/>
              <w:bidi w:val="0"/>
              <w:spacing w:before="0" w:after="0"/>
              <w:ind w:left="0" w:right="0" w:hanging="0"/>
              <w:jc w:val="center"/>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0"/>
              <w:ind w:left="0" w:right="0" w:hanging="0"/>
              <w:jc w:val="left"/>
              <w:rPr/>
            </w:pPr>
            <w:r>
              <w:rPr/>
              <w:t xml:space="preserve">  </w:t>
            </w:r>
          </w:p>
        </w:tc>
      </w:tr>
      <w:tr>
        <w:trPr/>
        <w:tc>
          <w:tcPr>
            <w:tcW w:w="9303"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5832"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391" w:type="dxa"/>
            <w:tcBorders/>
            <w:vAlign w:val="center"/>
          </w:tcPr>
          <w:p>
            <w:pPr>
              <w:pStyle w:val="TableContents"/>
              <w:bidi w:val="0"/>
              <w:spacing w:before="0" w:after="0"/>
              <w:ind w:left="0" w:right="0" w:hanging="0"/>
              <w:jc w:val="lef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w:t>
            </w:r>
          </w:p>
        </w:tc>
        <w:tc>
          <w:tcPr>
            <w:tcW w:w="109" w:type="dxa"/>
            <w:tcBorders/>
            <w:shd w:fill="CCEEFF" w:val="clear"/>
            <w:vAlign w:val="center"/>
          </w:tcPr>
          <w:p>
            <w:pPr>
              <w:pStyle w:val="TableContents"/>
              <w:bidi w:val="0"/>
              <w:spacing w:before="0" w:after="0"/>
              <w:ind w:left="0" w:right="0" w:hanging="0"/>
              <w:jc w:val="center"/>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551" w:type="dxa"/>
            <w:tcBorders/>
            <w:shd w:fill="CCEEFF" w:val="clear"/>
            <w:vAlign w:val="center"/>
          </w:tcPr>
          <w:p>
            <w:pPr>
              <w:pStyle w:val="TableContents"/>
              <w:bidi w:val="0"/>
              <w:spacing w:before="0" w:after="0"/>
              <w:ind w:left="0" w:right="0" w:hanging="0"/>
              <w:jc w:val="center"/>
              <w:rPr/>
            </w:pPr>
            <w:r>
              <w:rPr/>
              <w:t>​</w:t>
            </w:r>
          </w:p>
        </w:tc>
        <w:tc>
          <w:tcPr>
            <w:tcW w:w="129" w:type="dxa"/>
            <w:tcBorders/>
            <w:shd w:fill="CCEEFF" w:val="clear"/>
            <w:vAlign w:val="center"/>
          </w:tcPr>
          <w:p>
            <w:pPr>
              <w:pStyle w:val="TableContents"/>
              <w:bidi w:val="0"/>
              <w:spacing w:before="0" w:after="0"/>
              <w:ind w:left="0" w:right="0" w:hanging="0"/>
              <w:jc w:val="center"/>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551" w:type="dxa"/>
            <w:tcBorders/>
            <w:shd w:fill="CCEEFF" w:val="clear"/>
            <w:vAlign w:val="center"/>
          </w:tcPr>
          <w:p>
            <w:pPr>
              <w:pStyle w:val="TableContents"/>
              <w:bidi w:val="0"/>
              <w:spacing w:before="0" w:after="0"/>
              <w:ind w:left="0" w:right="0" w:hanging="0"/>
              <w:jc w:val="center"/>
              <w:rPr/>
            </w:pPr>
            <w:r>
              <w:rPr/>
              <w:t>​</w:t>
            </w:r>
          </w:p>
        </w:tc>
        <w:tc>
          <w:tcPr>
            <w:tcW w:w="172" w:type="dxa"/>
            <w:tcBorders/>
            <w:shd w:fill="CCEEFF" w:val="clear"/>
            <w:vAlign w:val="center"/>
          </w:tcPr>
          <w:p>
            <w:pPr>
              <w:pStyle w:val="TableContents"/>
              <w:bidi w:val="0"/>
              <w:spacing w:before="0" w:after="0"/>
              <w:ind w:left="0" w:right="0" w:hanging="0"/>
              <w:jc w:val="center"/>
              <w:rPr/>
            </w:pPr>
            <w:r>
              <w:rPr/>
              <w:t>​</w:t>
            </w:r>
          </w:p>
        </w:tc>
        <w:tc>
          <w:tcPr>
            <w:tcW w:w="765"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551" w:type="dxa"/>
            <w:tcBorders/>
            <w:shd w:fill="CCEEFF" w:val="clear"/>
            <w:vAlign w:val="center"/>
          </w:tcPr>
          <w:p>
            <w:pPr>
              <w:pStyle w:val="TableContents"/>
              <w:bidi w:val="0"/>
              <w:spacing w:before="0" w:after="0"/>
              <w:ind w:left="0" w:right="0" w:hanging="0"/>
              <w:jc w:val="center"/>
              <w:rPr/>
            </w:pPr>
            <w:r>
              <w:rPr/>
              <w:t>​</w:t>
            </w:r>
          </w:p>
        </w:tc>
        <w:tc>
          <w:tcPr>
            <w:tcW w:w="129" w:type="dxa"/>
            <w:tcBorders/>
            <w:shd w:fill="CCEEFF" w:val="clear"/>
            <w:vAlign w:val="center"/>
          </w:tcPr>
          <w:p>
            <w:pPr>
              <w:pStyle w:val="TableContents"/>
              <w:bidi w:val="0"/>
              <w:spacing w:before="0" w:after="0"/>
              <w:ind w:left="0" w:right="0" w:hanging="0"/>
              <w:jc w:val="center"/>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551" w:type="dxa"/>
            <w:tcBorders/>
            <w:shd w:fill="CCEEFF" w:val="clear"/>
            <w:vAlign w:val="center"/>
          </w:tcPr>
          <w:p>
            <w:pPr>
              <w:pStyle w:val="TableContents"/>
              <w:bidi w:val="0"/>
              <w:spacing w:before="0" w:after="0"/>
              <w:ind w:left="0" w:right="0" w:hanging="0"/>
              <w:jc w:val="center"/>
              <w:rPr/>
            </w:pPr>
            <w:r>
              <w:rPr/>
              <w:t>​</w:t>
            </w:r>
          </w:p>
        </w:tc>
        <w:tc>
          <w:tcPr>
            <w:tcW w:w="172" w:type="dxa"/>
            <w:tcBorders/>
            <w:shd w:fill="CCEEFF" w:val="clear"/>
            <w:vAlign w:val="center"/>
          </w:tcPr>
          <w:p>
            <w:pPr>
              <w:pStyle w:val="TableContents"/>
              <w:bidi w:val="0"/>
              <w:spacing w:before="0" w:after="0"/>
              <w:ind w:left="0" w:right="0" w:hanging="0"/>
              <w:jc w:val="center"/>
              <w:rPr/>
            </w:pPr>
            <w:r>
              <w:rPr/>
              <w:t>​</w:t>
            </w:r>
          </w:p>
        </w:tc>
        <w:tc>
          <w:tcPr>
            <w:tcW w:w="765"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leasing</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2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72"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2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72"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 leasing</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12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72"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12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72" w:type="dxa"/>
            <w:tcBorders/>
            <w:shd w:fill="CCEEFF" w:val="clear"/>
            <w:vAlign w:val="center"/>
          </w:tcPr>
          <w:p>
            <w:pPr>
              <w:pStyle w:val="TableContents"/>
              <w:bidi w:val="0"/>
              <w:spacing w:before="0" w:after="0"/>
              <w:ind w:left="0" w:right="0" w:hanging="0"/>
              <w:jc w:val="lef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living leasing</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7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2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7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leasing</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12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7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12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7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17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17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forestry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2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7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2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7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Timber</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2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7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2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72"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2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7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2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72"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w:t>
            </w:r>
          </w:p>
        </w:tc>
        <w:tc>
          <w:tcPr>
            <w:tcW w:w="12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172"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65.4</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18.5</w:t>
            </w:r>
          </w:p>
        </w:tc>
        <w:tc>
          <w:tcPr>
            <w:tcW w:w="12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172"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57.3</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commercial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Total leasing revenue decreased $1.5 million, or 9.8%, during the three months ended June 30, 2026, as compared to the same period in 2025. The decrease was primarily due to the sale of Watercrest JV’s senior living community property in September 2025, which ceased operating activities, and the sale of townhomes in the Watersound Villas on the Fairway community since the end of the prior period, partially offset by additional commercial property leases. Total leasing gross margin during the three months ended June 30, 2026 was 62.3%, as compared to 55.6% during the same period in 2025. The increase in leasing gross margin was primarily due to additional leases in the current period and the sale of the Watercrest JV’s senior living community property, which operated with lower margins.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Commercial and forestry real estate revenue can vary depending on the proximity to developed areas and the mix and characteristics of commercial and forestry real estate sold in each period, with varying compositions of retail, office, industrial, timber and other commercial uses. During the three months ended June 30, 2026, we had five commercial and forestry real estate sales of approximately 24 acres for $6.8 million, resulting in a gross margin of approximately 69.1%. During the three months ended June 30, 2025, we had four commercial and forestry real estate sales of approximately 11 acres for $1.9 million, resulting in a gross margin of approximately 52.6%.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Timber revenue decreased $0.2 million, or 15.4%, to $1.1 million during the three months ended June 30, 2026, as compared to $1.3 million during the same period in 2025. There were 70,000 tons of wood products sold at an average price per ton of $15.30 during the three months ended June 30, 2026, as compared to 62,000 tons of wood products sold at an average price per ton of $19.64, during the same period in 2025. Timber gross margin was 81.8% during the three months ended June 30, 2026, as compared to 84.6% during the same period in 2025. The decrease in revenue and gross margin was primarily due to product mix sold in the current period.</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property taxes, CDD assessments, professional fees, marketing, project administration and other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decrease of $0.4 million in depreciation, depletion and amortization expense during the three months ended June 30, 2026, as compared to the same period in 2025, was primarily due to assets sold since the prior period, partially offset by new assets placed in service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primarily includes interest incurred from our commercial project financing and CDD debt. The decrease of $0.4 million in interest expense during the three months ended June 30, 2026, as compared to the same period in 2025, was primarily due to repayment of project financing.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loss from unconsolidated joint ventures includes our proportionate share of earnings or losses of unconsolidated JVs accounted for using the equity method. Equity in loss from unconsolidated joint ventures during each of the three months ended June 30, 2026 and 2025 includes $0.9 million for the Watersound Fountains Independent Living JV. The community is under lease-up.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Other expense, net primarily includes loss on early extinguishment of debt, fees related to loans, as well as other income and expense items. The three months ended June 30, 2026, include expense of $0.5 million related to design costs for certain commercial assets that we are no longer pursuing.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to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details of our commercial segment consolidated revenue and gross profit:</w:t>
      </w:r>
    </w:p>
    <w:tbl>
      <w:tblPr>
        <w:tblW w:w="8915" w:type="dxa"/>
        <w:jc w:val="left"/>
        <w:tblInd w:w="0" w:type="dxa"/>
        <w:tblLayout w:type="fixed"/>
        <w:tblCellMar>
          <w:top w:w="0" w:type="dxa"/>
          <w:left w:w="0" w:type="dxa"/>
          <w:bottom w:w="0" w:type="dxa"/>
          <w:right w:w="0" w:type="dxa"/>
        </w:tblCellMar>
      </w:tblPr>
      <w:tblGrid>
        <w:gridCol w:w="2971"/>
        <w:gridCol w:w="109"/>
        <w:gridCol w:w="231"/>
        <w:gridCol w:w="511"/>
        <w:gridCol w:w="119"/>
        <w:gridCol w:w="231"/>
        <w:gridCol w:w="511"/>
        <w:gridCol w:w="160"/>
        <w:gridCol w:w="709"/>
        <w:gridCol w:w="391"/>
        <w:gridCol w:w="109"/>
        <w:gridCol w:w="231"/>
        <w:gridCol w:w="511"/>
        <w:gridCol w:w="119"/>
        <w:gridCol w:w="231"/>
        <w:gridCol w:w="511"/>
        <w:gridCol w:w="160"/>
        <w:gridCol w:w="709"/>
        <w:gridCol w:w="39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1886585" cy="175260"/>
                      <wp:effectExtent l="0" t="0" r="0" b="0"/>
                      <wp:wrapNone/>
                      <wp:docPr id="954" name="Frame954"/>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69215" cy="175260"/>
                      <wp:effectExtent l="0" t="0" r="0" b="0"/>
                      <wp:wrapNone/>
                      <wp:docPr id="955" name="Frame9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7">
                      <wp:simplePos x="0" y="0"/>
                      <wp:positionH relativeFrom="character">
                        <wp:align>left</wp:align>
                      </wp:positionH>
                      <wp:positionV relativeFrom="line">
                        <wp:posOffset>635</wp:posOffset>
                      </wp:positionV>
                      <wp:extent cx="146685" cy="175260"/>
                      <wp:effectExtent l="0" t="0" r="0" b="0"/>
                      <wp:wrapNone/>
                      <wp:docPr id="956" name="Frame95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324485" cy="175260"/>
                      <wp:effectExtent l="0" t="0" r="0" b="0"/>
                      <wp:wrapNone/>
                      <wp:docPr id="957" name="Frame95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75565" cy="175260"/>
                      <wp:effectExtent l="0" t="0" r="0" b="0"/>
                      <wp:wrapNone/>
                      <wp:docPr id="958" name="Frame958"/>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146685" cy="175260"/>
                      <wp:effectExtent l="0" t="0" r="0" b="0"/>
                      <wp:wrapNone/>
                      <wp:docPr id="959" name="Frame95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324485" cy="175260"/>
                      <wp:effectExtent l="0" t="0" r="0" b="0"/>
                      <wp:wrapNone/>
                      <wp:docPr id="960" name="Frame9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101600" cy="175260"/>
                      <wp:effectExtent l="0" t="0" r="0" b="0"/>
                      <wp:wrapNone/>
                      <wp:docPr id="961" name="Frame961"/>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450215" cy="175260"/>
                      <wp:effectExtent l="0" t="0" r="0" b="0"/>
                      <wp:wrapNone/>
                      <wp:docPr id="962" name="Frame962"/>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248285" cy="175260"/>
                      <wp:effectExtent l="0" t="0" r="0" b="0"/>
                      <wp:wrapNone/>
                      <wp:docPr id="963" name="Frame96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69215" cy="175260"/>
                      <wp:effectExtent l="0" t="0" r="0" b="0"/>
                      <wp:wrapNone/>
                      <wp:docPr id="964" name="Frame9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6">
                      <wp:simplePos x="0" y="0"/>
                      <wp:positionH relativeFrom="character">
                        <wp:align>left</wp:align>
                      </wp:positionH>
                      <wp:positionV relativeFrom="line">
                        <wp:posOffset>635</wp:posOffset>
                      </wp:positionV>
                      <wp:extent cx="146685" cy="175260"/>
                      <wp:effectExtent l="0" t="0" r="0" b="0"/>
                      <wp:wrapNone/>
                      <wp:docPr id="965" name="Frame96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324485" cy="175260"/>
                      <wp:effectExtent l="0" t="0" r="0" b="0"/>
                      <wp:wrapNone/>
                      <wp:docPr id="966" name="Frame96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75565" cy="175260"/>
                      <wp:effectExtent l="0" t="0" r="0" b="0"/>
                      <wp:wrapNone/>
                      <wp:docPr id="967" name="Frame967"/>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146685" cy="175260"/>
                      <wp:effectExtent l="0" t="0" r="0" b="0"/>
                      <wp:wrapNone/>
                      <wp:docPr id="968" name="Frame96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324485" cy="175260"/>
                      <wp:effectExtent l="0" t="0" r="0" b="0"/>
                      <wp:wrapNone/>
                      <wp:docPr id="969" name="Frame96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101600" cy="175260"/>
                      <wp:effectExtent l="0" t="0" r="0" b="0"/>
                      <wp:wrapNone/>
                      <wp:docPr id="970" name="Frame970"/>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450215" cy="175260"/>
                      <wp:effectExtent l="0" t="0" r="0" b="0"/>
                      <wp:wrapNone/>
                      <wp:docPr id="971" name="Frame971"/>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248285" cy="175260"/>
                      <wp:effectExtent l="0" t="0" r="0" b="0"/>
                      <wp:wrapNone/>
                      <wp:docPr id="972" name="Frame97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c>
          <w:tcPr>
            <w:tcW w:w="391" w:type="dxa"/>
            <w:tcBorders/>
            <w:vAlign w:val="center"/>
          </w:tcPr>
          <w:p>
            <w:pPr>
              <w:pStyle w:val="TableContents"/>
              <w:bidi w:val="0"/>
              <w:spacing w:before="0" w:after="1"/>
              <w:ind w:left="0" w:right="0" w:hanging="0"/>
              <w:jc w:val="left"/>
              <w:rPr/>
            </w:pPr>
            <w:r>
              <w:rPr/>
              <w:t> </w:t>
            </w:r>
          </w:p>
        </w:tc>
      </w:tr>
      <w:tr>
        <w:trPr/>
        <w:tc>
          <w:tcPr>
            <w:tcW w:w="29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19" w:type="dxa"/>
            <w:tcBorders/>
            <w:vAlign w:val="center"/>
          </w:tcPr>
          <w:p>
            <w:pPr>
              <w:pStyle w:val="TableContents"/>
              <w:bidi w:val="0"/>
              <w:spacing w:before="0" w:after="1"/>
              <w:ind w:left="0" w:right="0" w:hanging="0"/>
              <w:jc w:val="center"/>
              <w:rPr/>
            </w:pPr>
            <w:r>
              <w:rPr/>
              <w:t>​</w:t>
            </w:r>
          </w:p>
        </w:tc>
        <w:tc>
          <w:tcPr>
            <w:tcW w:w="7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19" w:type="dxa"/>
            <w:tcBorders/>
            <w:vAlign w:val="center"/>
          </w:tcPr>
          <w:p>
            <w:pPr>
              <w:pStyle w:val="TableContents"/>
              <w:bidi w:val="0"/>
              <w:spacing w:before="0" w:after="1"/>
              <w:ind w:left="0" w:right="0" w:hanging="0"/>
              <w:jc w:val="center"/>
              <w:rPr/>
            </w:pPr>
            <w:r>
              <w:rPr/>
              <w:t>​</w:t>
            </w:r>
          </w:p>
        </w:tc>
        <w:tc>
          <w:tcPr>
            <w:tcW w:w="7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60" w:type="dxa"/>
            <w:tcBorders/>
            <w:vAlign w:val="center"/>
          </w:tcPr>
          <w:p>
            <w:pPr>
              <w:pStyle w:val="TableContents"/>
              <w:bidi w:val="0"/>
              <w:spacing w:before="0" w:after="1"/>
              <w:ind w:left="0" w:right="0" w:hanging="0"/>
              <w:jc w:val="center"/>
              <w:rPr/>
            </w:pPr>
            <w:r>
              <w:rPr/>
              <w:t>​</w:t>
            </w:r>
          </w:p>
        </w:tc>
        <w:tc>
          <w:tcPr>
            <w:tcW w:w="70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left"/>
              <w:rPr/>
            </w:pPr>
            <w:r>
              <w:rPr/>
              <w:t>​</w:t>
            </w:r>
          </w:p>
        </w:tc>
      </w:tr>
      <w:tr>
        <w:trPr/>
        <w:tc>
          <w:tcPr>
            <w:tcW w:w="29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9" w:type="dxa"/>
            <w:tcBorders/>
            <w:vAlign w:val="center"/>
          </w:tcPr>
          <w:p>
            <w:pPr>
              <w:pStyle w:val="TableContents"/>
              <w:bidi w:val="0"/>
              <w:spacing w:before="0" w:after="1"/>
              <w:ind w:left="0" w:right="0" w:hanging="0"/>
              <w:jc w:val="center"/>
              <w:rPr/>
            </w:pPr>
            <w:r>
              <w:rPr/>
              <w:t>​</w:t>
            </w:r>
          </w:p>
        </w:tc>
        <w:tc>
          <w:tcPr>
            <w:tcW w:w="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60" w:type="dxa"/>
            <w:tcBorders/>
            <w:vAlign w:val="center"/>
          </w:tcPr>
          <w:p>
            <w:pPr>
              <w:pStyle w:val="TableContents"/>
              <w:bidi w:val="0"/>
              <w:spacing w:before="0" w:after="1"/>
              <w:ind w:left="0" w:right="0" w:hanging="0"/>
              <w:jc w:val="center"/>
              <w:rPr/>
            </w:pPr>
            <w:r>
              <w:rPr/>
              <w:t>​</w:t>
            </w:r>
          </w:p>
        </w:tc>
        <w:tc>
          <w:tcPr>
            <w:tcW w:w="7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9" w:type="dxa"/>
            <w:tcBorders/>
            <w:vAlign w:val="center"/>
          </w:tcPr>
          <w:p>
            <w:pPr>
              <w:pStyle w:val="TableContents"/>
              <w:bidi w:val="0"/>
              <w:spacing w:before="0" w:after="1"/>
              <w:ind w:left="0" w:right="0" w:hanging="0"/>
              <w:jc w:val="center"/>
              <w:rPr/>
            </w:pPr>
            <w:r>
              <w:rPr/>
              <w:t>​</w:t>
            </w:r>
          </w:p>
        </w:tc>
        <w:tc>
          <w:tcPr>
            <w:tcW w:w="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60" w:type="dxa"/>
            <w:tcBorders/>
            <w:vAlign w:val="center"/>
          </w:tcPr>
          <w:p>
            <w:pPr>
              <w:pStyle w:val="TableContents"/>
              <w:bidi w:val="0"/>
              <w:spacing w:before="0" w:after="1"/>
              <w:ind w:left="0" w:right="0" w:hanging="0"/>
              <w:jc w:val="center"/>
              <w:rPr/>
            </w:pPr>
            <w:r>
              <w:rPr/>
              <w:t>​</w:t>
            </w:r>
          </w:p>
        </w:tc>
        <w:tc>
          <w:tcPr>
            <w:tcW w:w="7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left"/>
              <w:rPr/>
            </w:pPr>
            <w:r>
              <w:rPr/>
              <w:t xml:space="preserve">  </w:t>
            </w:r>
          </w:p>
        </w:tc>
      </w:tr>
      <w:tr>
        <w:trPr/>
        <w:tc>
          <w:tcPr>
            <w:tcW w:w="891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835" w:type="dxa"/>
            <w:gridSpan w:val="17"/>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11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160" w:type="dxa"/>
            <w:tcBorders/>
            <w:shd w:fill="CCEEFF" w:val="clear"/>
            <w:vAlign w:val="center"/>
          </w:tcPr>
          <w:p>
            <w:pPr>
              <w:pStyle w:val="TableContents"/>
              <w:bidi w:val="0"/>
              <w:spacing w:before="0" w:after="1"/>
              <w:ind w:left="0" w:right="0" w:hanging="0"/>
              <w:jc w:val="center"/>
              <w:rPr/>
            </w:pPr>
            <w:r>
              <w:rPr/>
              <w:t>​</w:t>
            </w:r>
          </w:p>
        </w:tc>
        <w:tc>
          <w:tcPr>
            <w:tcW w:w="709"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11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160" w:type="dxa"/>
            <w:tcBorders/>
            <w:shd w:fill="CCEEFF" w:val="clear"/>
            <w:vAlign w:val="center"/>
          </w:tcPr>
          <w:p>
            <w:pPr>
              <w:pStyle w:val="TableContents"/>
              <w:bidi w:val="0"/>
              <w:spacing w:before="0" w:after="1"/>
              <w:ind w:left="0" w:right="0" w:hanging="0"/>
              <w:jc w:val="center"/>
              <w:rPr/>
            </w:pPr>
            <w:r>
              <w:rPr/>
              <w:t>​</w:t>
            </w:r>
          </w:p>
        </w:tc>
        <w:tc>
          <w:tcPr>
            <w:tcW w:w="709"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leasing</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160"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160"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 leasing</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160" w:type="dxa"/>
            <w:tcBorders/>
            <w:shd w:fill="CCEEFF" w:val="clear"/>
            <w:vAlign w:val="center"/>
          </w:tcPr>
          <w:p>
            <w:pPr>
              <w:pStyle w:val="TableContents"/>
              <w:bidi w:val="0"/>
              <w:spacing w:before="0" w:after="1"/>
              <w:ind w:left="0" w:right="0" w:hanging="0"/>
              <w:jc w:val="left"/>
              <w:rPr/>
            </w:pPr>
            <w:r>
              <w:rPr/>
              <w:t> </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160" w:type="dxa"/>
            <w:tcBorders/>
            <w:shd w:fill="CCEEFF" w:val="clear"/>
            <w:vAlign w:val="center"/>
          </w:tcPr>
          <w:p>
            <w:pPr>
              <w:pStyle w:val="TableContents"/>
              <w:bidi w:val="0"/>
              <w:spacing w:before="0" w:after="1"/>
              <w:ind w:left="0" w:right="0" w:hanging="0"/>
              <w:jc w:val="left"/>
              <w:rPr/>
            </w:pPr>
            <w:r>
              <w:rPr/>
              <w:t> </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living leasing</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1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leasing</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160"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160"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forestry real estate</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160"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160"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1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1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real estate</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60"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160"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39.1</w:t>
            </w:r>
          </w:p>
        </w:tc>
        <w:tc>
          <w:tcPr>
            <w:tcW w:w="119"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w:t>
            </w:r>
          </w:p>
        </w:tc>
        <w:tc>
          <w:tcPr>
            <w:tcW w:w="160"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65.5</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w:t>
            </w:r>
          </w:p>
        </w:tc>
        <w:tc>
          <w:tcPr>
            <w:tcW w:w="119"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w:t>
            </w:r>
          </w:p>
        </w:tc>
        <w:tc>
          <w:tcPr>
            <w:tcW w:w="160"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60.8</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 </w:t>
            </w:r>
          </w:p>
        </w:tc>
      </w:tr>
    </w:tbl>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commercial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Total leasing revenue decreased $2.9 million, or 9.5%, during the six months ended June 30, 2026, as compared to the same period in 2025. The decrease was primarily due to the sale of Watercrest JV’s senior living community property in September 2025, which ceased operating activities, and the sale of townhomes in the Watersound Villas on the Fairway community since the end of the prior period, partially offset by additional commercial property leases. Total leasing gross margin during the six months ended June 30, 2026 was 62.5%, as compared to 55.6% during the same period in 2025. The increase in leasing gross margin was primarily due to additional leases in the current period and the sale of the Watercrest JV’s senior living community property, which operated with lower margins. As of June 30, 2026, we had net leasable square feet of approximately 1,196,000, of which approximately 1,139,000 square feet were under lease. As of June 30, 2025, we had net leasable square feet of approximately 1,177,000, of which approximately 1,122,000 square feet were under lease. As of June 30, 2026 and 2025, our consolidated entities had 1,064 and 1,225 multi-family and senior living units, respectively, of which 1,024 were leased as of June 30, 2026, compared to 1,114 leased as of June 30, 2025 (excludes 148 senior living units for the unconsolidated Watersound Fountains Independent Living JV). The number of multi-family and senior living units decreased during the six months ended June 30, 2026, due to assets sold since the end of the prior period.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Commercial and forestry real estate revenue can vary depending on the proximity to developed areas and the mix and characteristics of commercial and forestry real estate sold in each period, with varying compositions of retail, office, industrial, timber and other commercial uses. During the six months ended June 30, 2026, we had eight commercial and forestry real estate sales of approximately 138 acres for $9.6 million, resulting in a gross margin of approximately 70.8%. During the six months ended June 30, 2025, we had six commercial and forestry real estate sales of approximately 144 acres for $5.1 million, resulting in a gross margin of approximately 80.4%.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Timber revenue decreased $0.5 million, or 20.0%, to $2.0 million during the six months ended June 30, 2026, as compared to $2.5 million during the same period in 2025. There were 122,000 tons of wood products sold at an average price per ton of $15.58 during the six months ended June 30, 2026, as compared to 135,000 tons of wood products sold at an average price per ton of $16.90, during the same period in 2025. Timber gross margin was 80.0% during the six months ended June 30, 2026, as compared to 84.0% during the same period in 2025. The decrease in revenue and gross margin was primarily due to product mix and a decrease in tons of wood products sold in the current period.</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property taxes, CDD assessments, professional fees, marketing, project administration and other administrative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decrease of $0.9 million in depreciation, depletion and amortization expense during the six months ended June 30, 2026, as compared to the same period in 2025, was primarily due to assets sold since the prior period, partially offset by new assets placed in service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primarily includes interest incurred from our commercial project financing and CDD debt. The decrease of $0.7 million in interest expense during the six months ended June 30, 2026, as compared to the same period in 2025, was primarily due to repayment of project financing.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loss from unconsolidated joint ventures includes our proportionate share of earnings or losses of unconsolidated JVs accounted for using the equity method. Equity in loss from unconsolidated joint ventures during the six months ended June 30, 2026 includes $0.4 million for the Pier Park RI JV, as compared to $1.3 million for the same period in 2025. The six months ended June 30, 2025, included start-up, depreciation and interest expenses related to the Pier Park RI JV. Equity in loss from unconsolidated joint ventures during the six months ended June 30, 2026 includes $1.8 million for the Watersound Fountains Independent Living JV, as compared to $2.0 million for the same period in 2025. The community is under lease-up.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expense, net primarily includes loss on early extinguishment of debt, fees related to loans, as well as other income and expense items. The six months ended June 30, 2026, include expense of $0.5 million related to design costs for certain commercial assets that we are no longer pursuing.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we had cash and cash equivalents of $117.3 million, compared to $129.6 million as of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current cash position, financing arrangements and cash generated from operations will provide us with sufficient liquidity to satisfy our anticipated working capital needs, expected capital expenditures, principal and interest payments on our long-term debt, authorized stock repurchases and authorized dividends for the next twelve months.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2026, we invested a total of $44.7 million for capital expenditures, which includes $26.1 million for our residential segment, $3.7 million for our hospitality segment, $13.0 million for our commercial segment and $1.9 million for corporate and other expenditures. We anticipate that future capital commitments will be funded through cash generated from operations, cash and cash equivalents on hand and new financing arrangements. As of June 30, 2026, we had a total of $40.0 million primarily in construction and development related contractual obligations. Capital expenditures and contractual obligations exclude amounts related to unconsolidated JVs. 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and December 31, 2025, we had various loans outstanding totaling $374.8 million and $396.0 million, respectively, with maturities from April 2027 through March 2064. As of June 30, 2026, the weighted average effective interest rate of total outstanding debt was 4.7%, of which 84.1% includes fixed or swapped interest rates, and the average remaining life was 19.8 years. As of June 30, 2026, the weighted average rate on our variable rate loans, excluding the swapped portion, was 5.9%. See Note 8. </w:t>
      </w:r>
      <w:r>
        <w:rPr>
          <w:rFonts w:ascii="Times New Roman;Times;serif" w:hAnsi="Times New Roman;Times;serif"/>
          <w:i/>
          <w:sz w:val="20"/>
        </w:rPr>
        <w:t xml:space="preserve">Debt, Net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2018, the Pier Park Crossings JV entered into a $36.6 million loan, insured by HUD, as amended. As of June 30, 2026 and December 31, 2025, $33.3 million and $33.6 million, respectively, was outstanding on the PPC JV Loan. The loan bears interest at a rate of 3.1% and matures in June 2060. The loan includes a prepayment premium due to the lender of 2% - 7% for any additional principal that is prepaid through August 2031. The loan is secured by the real property and certain other Security Interests.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2020, the Pier Park Resort Hotel JV entered into a loan with an initial amount of $52.5 million up to a maximum of $60.0 million through additional earn-out requests. As of June 30, 2026 and December 31, 2025, $49.3 million and $49.8 million, respectively, was outstanding on the Pier Park Resort Hotel JV Loan. The loan matures in April 2027 and bears interest at a rate of SOFR plus 2.1%. The loan is secured by the real property and certain other Security Interests.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loan, as guarantors, we and our JV partner entered into a guarantee based on each partner’s ownership interest in favor of the lender, to guarantee the payment and performance of the borrower. As guarantor, our liability under the loan can be released upon reaching and maintaining certain debt service coverage.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w:t>
      </w:r>
      <w:r>
        <w:rPr>
          <w:rFonts w:ascii="TimesNewRomanPSMT" w:hAnsi="TimesNewRomanPSMT"/>
          <w:sz w:val="20"/>
        </w:rPr>
        <w:t>amortizing to $38.7 million at swap maturity,</w:t>
      </w:r>
      <w:r>
        <w:rPr>
          <w:rFonts w:ascii="Times New Roman;Times;serif" w:hAnsi="Times New Roman;Times;serif"/>
          <w:sz w:val="20"/>
        </w:rPr>
        <w:t xml:space="preserve"> to a rate of 3.2%.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and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a wholly-owned subsidiary of ours entered into a $16.8 million loan, which is guaranteed by us. As of June 30, 2026 and December 31, 2025, $13.7 million and $15.0 million, respectively, was outstanding on the Breakfast Point Hotel Loan. The loan matures in November 2042 and bears interest at a rate of 6.0% through November 2027 and the 1-year constant maturity Treasury rate plus 3.3% from December 2027 through November 2042, with a minimum rate of 6.0% throughout the term of the loan. The loan is secured by the real property and certain other Security Interests.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The Lodge 30A JV entered into a $15.0 million loan. As of June 30, 2026 and December 31, 2025, $13.3 million and $13.6 million, respectively, was outstanding on the Lodge 30A JV Loan. The loan bears interest at a rate of 3.8% and matures in January 2028. The loan is secured by the real property and certain other Security Interests. In connection with the loan, we, wholly-owned subsidiaries of ours and our JV partner entered into a joint and several payment and performance guarantee in favor of the lender. As guarantor, our liability under the loan has been reduced to 25% of the outstanding principal balance upon the project reaching and maintaining a certain debt service coverage ratio over a prescribed period, which will be reassessed based on future performance. We receive a monthly fee related to the guarantee from our JV partner based on the JV partner’s ownership percentage.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ours entered into a $28.0 million loan, which is guaranteed by us. As of June 30, 2026 and December 31, 2025, $26.5 million and $26.8 million, respectively, was outstanding on the Watersound Camp Creek Loan. The loan matures in December 2047 and bears interest at a rate of SOFR plus 2.1%, with a floor of 2.6%. The loan is secured by the real property and certain other Security Interests. As guarantor, our liability under the loan has been reduced to 25% of the outstanding principal balance upon the project reaching and maintaining a certain debt service coverage ratio over a prescribed period, which will be reassessed based on future performance. In addition, the guarantee can become full recourse in the case of the failure of guarantor to abide by or perform any of the covenants, warranties or other certain obligations to be performed on the part of such guarantor.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ours entered into a $21.2 million loan, which is guaranteed by us. As of June 30, 2026 and December 31, 2025, $18.6 million and $19.0 million, respectively, was outstanding on the Hotel Indigo Loan. The loan bears interest at a rate of SOFR plus 2.5%, with a floor of 2.5%. The loan matures in October 2028 and includes an option for an extension of the maturity date by sixty months, subject to certain conditions. The loan is secured by the leasehold property and certain other Security Interests.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the Mexico Beach Crossings JV entered into a $43.5 million loan, insured by HUD. As of June 30, 2026 and December 31, 2025, $42.2 million and $42.5 million, respectively, was outstanding on the Mexico Beach Crossings JV Loan. The loan bears interest at a rate of 3.0% and matures in March 2064. The loan includes a prepayment premium due to the lender of 1% - 8% for any principal that is prepaid through March 2034. The loan is secured by the real property and certain other Security Interests.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the Pier Park Crossings Phase II JV refinanced into a $22.9 million loan, insured by HUD. As of June 30, 2026 and December 31, 2025, $21.1 million and $21.4 million, respectively, was outstanding on the PPC II JV Loan. The PPC II JV Loan bears interest at a rate of 2.7% and matures in May 2057. The loan includes a prepayment premium due to the lender of 1% - 6% for any principal that is prepaid through May 2032. The loan is secured by the real property and certain other Security Interests.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a wholly-owned subsidiary of ours entered into a $13.7 million loan, which is guaranteed by us. As of June 30, 2026 and December 31, 2025, $4.5 million and $11.2 million, respectively, was outstanding on the Topsail Hotel Loan. The loan bears interest at a rate of SOFR plus 2.1%, with a floor of 3.0% and matures in July 2027. The loan is secured by the real property and certain other Security Interests.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a wholly-owned subsidiary of ours entered into a $37.0 million loan, which is guaranteed by us. As of June 30, 2026 and December 31, 2025, $31.3 million and $32.6 million, respectively, was outstanding on The Pearl Hotel Loan. The loan bears interest at a rate of 6.3% and matures in December 2032. The loan includes a prepayment fee due to the lender of 1% - 2% of the outstanding principal balance if the loan is refinanced with another financial institution through December 2027. The loan is secured by the real property and certain other Security Interests. See Note 8. </w:t>
      </w:r>
      <w:r>
        <w:rPr>
          <w:rFonts w:ascii="Times New Roman;Times;serif" w:hAnsi="Times New Roman;Times;serif"/>
          <w:i/>
          <w:sz w:val="20"/>
        </w:rPr>
        <w:t xml:space="preserve">Debt, Net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2023, the Watersound Origins Crossings JV refinanced into a $52.9 million loan, insured by HUD. As of June 30, 2026 and December 31, 2025, $51.0 million and $51.3 million, respectively, was outstanding on the Watersound Origins Crossings JV Loan. The loan bears interest at a rate of 5.0% and matures in April 2058. The loan includes a prepayment premium due to the lender of 1% - 7% for any principal that is prepaid through April 2033. The loan is secured by the real property and certain other Security Interests.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2025, a wholly-owned subsidiary of ours refinanced into a $27.8 million loan. As of June 30, 2026 and December 31, 2025, $27.5 million and $27.6 million, respectively, was outstanding on the North Bay Landing Loan. The loan bears interest at a rate of 5.9% and matures in March 2060. The loan includes a prepayment premium due to the lender of 1% - 9% for any principal that is prepaid through March 2035. The refinanced loan is insured by HUD and is secured by the real property and certain other Security Interests.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September 2025, the Pier Park North JV refinanced into a $40.0 million loan. As of June 30, 2026 and December 31, 2025, $39.7 million and $39.9 million, respectively, was outstanding on the PPN JV Loan. The loan bears interest at a rate of 6.1% and matures in October 2035</w:t>
      </w:r>
      <w:r>
        <w:rPr>
          <w:rFonts w:ascii="TimesNewRomanPSMT" w:hAnsi="TimesNewRomanPSMT"/>
          <w:sz w:val="20"/>
        </w:rPr>
        <w:t>.</w:t>
      </w:r>
      <w:r>
        <w:rPr>
          <w:rFonts w:ascii="Times New Roman;Times;serif" w:hAnsi="Times New Roman;Times;serif"/>
          <w:sz w:val="20"/>
        </w:rPr>
        <w:t xml:space="preserve"> The loan may not be prepaid prior to October 2029. Commencing in October 2029 through May 2035, any principal prepaid is subject to a prepayment fee equal to the greater of (i) a prepayment ratio, as outlined in the loan agreement, or (ii) 1% of the amount prepaid. From June 2035 through maturity, the loan may be prepaid without a prepayment fee upon prior written notice. In connection with the loan, we entered into a limited guarantee in favor of the lender with respect to environmental indemnity matters and specified non-recourse carveouts outlined in the loan agreement. The loan is secured by a first lien on, and Security Interest in, a majority of the Pier Park North JV’s property. See Note 8.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CDD bonds financed the construction of infrastructure improvements in some of our communities. The principal and interest payments on the bonds are paid by assessments on the properties benefited by the improvements financed by the bonds. We have recorded a liability for CDD debt that is associated with platted property, which is the point at which it becomes fixed and determinable. Additionally, we have recorded a liability for the balance of the CDD debt that is associated with unplatted property if it is probable and reasonably estimable that we will ultimately be responsible for repayment. We have recorded CDD related debt of $2.8 million and $2.6 million as of June 30, 2026 and December 31, 2025, respectively. Total outstanding CDD debt related to our land holdings was $8.5 million as of June 30, 2026, which is comprised of $7.0 million at the SouthWood community, $1.4 million at the existing Pier Park retail center and less than $0.1 million at the Wild Heron residential community. We pay interest on this total outstanding CDD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our unconsolidated Latitude Margaritaville Watersound JV, Watersound Fountains Independent Living JV, Pier Park TPS JV, Pier Park RI JV, Busy Bee JV and Electric Cart Watersound JV had various loans outstanding, some of which we have entered into guarantees. See Note 4. </w:t>
      </w:r>
      <w:r>
        <w:rPr>
          <w:rFonts w:ascii="TimesNewRomanPS-ItalicMT" w:hAnsi="TimesNewRomanPS-ItalicMT"/>
          <w:i/>
          <w:sz w:val="20"/>
        </w:rPr>
        <w:t xml:space="preserve">Joint Ventures </w:t>
      </w:r>
      <w:r>
        <w:rPr>
          <w:rFonts w:ascii="Times New Roman;Times;serif" w:hAnsi="Times New Roman;Times;serif"/>
          <w:sz w:val="20"/>
        </w:rPr>
        <w:t xml:space="preserve">and Note 17. </w:t>
      </w:r>
      <w:r>
        <w:rPr>
          <w:rFonts w:ascii="TimesNewRomanPS-ItalicMT" w:hAnsi="TimesNewRomanPS-ItalicMT"/>
          <w:i/>
          <w:sz w:val="20"/>
        </w:rPr>
        <w:t xml:space="preserve">Commitments and Contingencies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2026 and 2025, we paid dividends of $0.16 and $0.14, respectively, per share on our common stock for a total of $9.1 million and $8.1 million, respectively. During the six months ended June 30, 2026 and 2025, we paid dividends of $0.32 and $0.28, respectively, per share on our common stock for a total of $18.3 million and $16.3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June 30, 2026, we repurchased 499,700 shares of our common stock outstanding at an average repurchase price of $65.42, per share, related to the Stock Repurchase Program, for an aggregate purchase price of $32.7 million, excluding the excise tax on stock repurchases in excess of issuances. During the three months ended June 30, 2025, we repurchased 235,400 shares of our common stock outstanding at an average repurchase price of $44.66, per share, related to the Stock Repurchase Program, for an aggregate purchase price of $10.5 million, excluding the excise tax on stock repurchases in excess of issuances. During the six months ended June 30, 2026, we repurchased 575,837 shares of our common stock outstanding at an average repurchase price of $65.54, per share, related to the Stock Repurchase Program, for an aggregate purchase price of $37.7 million, excluding the excise tax on stock repurchases in excess of issuances. During the six months ended June 30, 2026, we also repurchased 4,835 shares of our common stock outstanding at an average repurchase price of $68.85, per share, for an aggregate purchase price of $0.3 million, excluding the excise tax on stock repurchases in excess of issuances, related to shares withheld from vested restricted stock awards to satisfy employees’ minimum statutory tax withholding requirements. During the six months ended June 30, 2025, we repurchased 359,014 shares of our common stock outstanding at an average repurchase price of $45.13, per share, related to the Stock Repurchase Program, for an aggregate purchase price of $16.2 million, excluding the excise tax on stock repurchases in excess of issuances. See Note 13. </w:t>
      </w:r>
      <w:r>
        <w:rPr>
          <w:rFonts w:ascii="Times New Roman;Times;serif" w:hAnsi="Times New Roman;Times;serif"/>
          <w:i/>
          <w:sz w:val="20"/>
        </w:rPr>
        <w:t>Stockholders’ Equity</w:t>
      </w:r>
      <w:r>
        <w:rPr>
          <w:rFonts w:ascii="Times New Roman;Times;serif" w:hAnsi="Times New Roman;Times;serif"/>
          <w:sz w:val="20"/>
        </w:rPr>
        <w:t xml:space="preserve"> for additional information regarding the Stock Repurchase Program and issuance of common stock for employee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part of a certain sale of forestry land in 2014, we generated significant tax gains. The installment note’s structure allowed us to defer the resulting federal and state tax liability of $45.6 million until 2029, the maturity date for the installment note. We have a deferred tax liability related to the gain in connection with the sale. At the maturity date of the installment note in 2029, the $200.0 million time deposit included in investments held by special purpose entities will be used to pay the $180.0 million of principal for the Senior Notes held by special purpose entity and the remaining $20.0 million will become available to us, which can be used to pay a portion of the tax liability. See Note 5. </w:t>
      </w:r>
      <w:r>
        <w:rPr>
          <w:rFonts w:ascii="TimesNewRomanPS-ItalicMT" w:hAnsi="TimesNewRomanPS-ItalicMT"/>
          <w:i/>
          <w:sz w:val="20"/>
        </w:rPr>
        <w:t>Financial Instruments and Fair Value</w:t>
      </w:r>
      <w:r>
        <w:rPr>
          <w:rFonts w:ascii="Times New Roman;Times;serif" w:hAnsi="Times New Roman;Times;serif"/>
          <w:sz w:val="20"/>
        </w:rPr>
        <w:t xml:space="preserve"> </w:t>
      </w:r>
      <w:r>
        <w:rPr>
          <w:rFonts w:ascii="TimesNewRomanPS-ItalicMT" w:hAnsi="TimesNewRomanPS-ItalicMT"/>
          <w:i/>
          <w:sz w:val="20"/>
        </w:rPr>
        <w:t xml:space="preserve">Measurements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we were required to provide surety bonds that guarantee completion and maintenance of certain infrastructure in certain development projects and mitigation banks, as well as other financial guarantees of $29.3 million and $14.7 million, respectively, as well as standby letters of credit in the amount of $0.4 million as of both periods, which may potentially result in a liability to us if certain obligations are not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we had a $0.5 million revolving line of credit for credit card usage, maturing in December 2049. As of June 30, 2026, the outstanding principal balance was less than $0.1 million on the line of credit</w:t>
      </w:r>
      <w:r>
        <w:rPr>
          <w:rFonts w:ascii="Times New Roman;Times;serif" w:hAnsi="Times New Roman;Times;serif"/>
          <w:sz w:val="20"/>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conducting our operations, we routinely hold customers’ assets in escrow pending completion of real estate transactions, and are responsible for the proper disposition of these balances for our customers. These amounts are maintained in segregated bank accounts and have not been included in the accompanying condensed consolidated balance sheets, consistent with GAAP and industry practice. The cash deposit accounts and offsetting liability balances for escrow deposits in connection with our title insurance agencies for real estate transactions were $18.1 million and $8.0 million as of June 30, 2026 and December 31, 2025, respectively. These escrow funds are not available for regular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of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summary of our cash flows from operating, investing and financing activities are as follows:</w:t>
      </w:r>
    </w:p>
    <w:tbl>
      <w:tblPr>
        <w:tblW w:w="8174" w:type="dxa"/>
        <w:jc w:val="left"/>
        <w:tblInd w:w="0" w:type="dxa"/>
        <w:tblLayout w:type="fixed"/>
        <w:tblCellMar>
          <w:top w:w="0" w:type="dxa"/>
          <w:left w:w="0" w:type="dxa"/>
          <w:bottom w:w="0" w:type="dxa"/>
          <w:right w:w="0" w:type="dxa"/>
        </w:tblCellMar>
      </w:tblPr>
      <w:tblGrid>
        <w:gridCol w:w="5671"/>
        <w:gridCol w:w="346"/>
        <w:gridCol w:w="229"/>
        <w:gridCol w:w="637"/>
        <w:gridCol w:w="376"/>
        <w:gridCol w:w="229"/>
        <w:gridCol w:w="686"/>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4">
                      <wp:simplePos x="0" y="0"/>
                      <wp:positionH relativeFrom="character">
                        <wp:align>left</wp:align>
                      </wp:positionH>
                      <wp:positionV relativeFrom="line">
                        <wp:posOffset>635</wp:posOffset>
                      </wp:positionV>
                      <wp:extent cx="3601085" cy="175260"/>
                      <wp:effectExtent l="0" t="0" r="0" b="0"/>
                      <wp:wrapNone/>
                      <wp:docPr id="973" name="Frame973"/>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5">
                      <wp:simplePos x="0" y="0"/>
                      <wp:positionH relativeFrom="character">
                        <wp:align>left</wp:align>
                      </wp:positionH>
                      <wp:positionV relativeFrom="line">
                        <wp:posOffset>635</wp:posOffset>
                      </wp:positionV>
                      <wp:extent cx="219710" cy="175260"/>
                      <wp:effectExtent l="0" t="0" r="0" b="0"/>
                      <wp:wrapNone/>
                      <wp:docPr id="974" name="Frame9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145415" cy="175260"/>
                      <wp:effectExtent l="0" t="0" r="0" b="0"/>
                      <wp:wrapNone/>
                      <wp:docPr id="975" name="Frame97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7">
                      <wp:simplePos x="0" y="0"/>
                      <wp:positionH relativeFrom="character">
                        <wp:align>left</wp:align>
                      </wp:positionH>
                      <wp:positionV relativeFrom="line">
                        <wp:posOffset>635</wp:posOffset>
                      </wp:positionV>
                      <wp:extent cx="404495" cy="175260"/>
                      <wp:effectExtent l="0" t="0" r="0" b="0"/>
                      <wp:wrapNone/>
                      <wp:docPr id="976" name="Frame976"/>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8">
                      <wp:simplePos x="0" y="0"/>
                      <wp:positionH relativeFrom="character">
                        <wp:align>left</wp:align>
                      </wp:positionH>
                      <wp:positionV relativeFrom="line">
                        <wp:posOffset>635</wp:posOffset>
                      </wp:positionV>
                      <wp:extent cx="238760" cy="175260"/>
                      <wp:effectExtent l="0" t="0" r="0" b="0"/>
                      <wp:wrapNone/>
                      <wp:docPr id="977" name="Frame97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9">
                      <wp:simplePos x="0" y="0"/>
                      <wp:positionH relativeFrom="character">
                        <wp:align>left</wp:align>
                      </wp:positionH>
                      <wp:positionV relativeFrom="line">
                        <wp:posOffset>635</wp:posOffset>
                      </wp:positionV>
                      <wp:extent cx="145415" cy="175260"/>
                      <wp:effectExtent l="0" t="0" r="0" b="0"/>
                      <wp:wrapNone/>
                      <wp:docPr id="978" name="Frame97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0">
                      <wp:simplePos x="0" y="0"/>
                      <wp:positionH relativeFrom="character">
                        <wp:align>left</wp:align>
                      </wp:positionH>
                      <wp:positionV relativeFrom="line">
                        <wp:posOffset>635</wp:posOffset>
                      </wp:positionV>
                      <wp:extent cx="435610" cy="175260"/>
                      <wp:effectExtent l="0" t="0" r="0" b="0"/>
                      <wp:wrapNone/>
                      <wp:docPr id="979" name="Frame97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6" w:type="dxa"/>
            <w:tcBorders/>
            <w:vAlign w:val="center"/>
          </w:tcPr>
          <w:p>
            <w:pPr>
              <w:pStyle w:val="TableContents"/>
              <w:bidi w:val="0"/>
              <w:spacing w:before="0" w:after="0"/>
              <w:ind w:left="0" w:right="0" w:hanging="0"/>
              <w:jc w:val="center"/>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17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57"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7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7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7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7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w:t>
            </w:r>
          </w:p>
        </w:tc>
        <w:tc>
          <w:tcPr>
            <w:tcW w:w="37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end of the period</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124.6</w:t>
            </w:r>
          </w:p>
        </w:tc>
        <w:tc>
          <w:tcPr>
            <w:tcW w:w="37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96.8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provided by operating activities includes net income, adjustments for non-cash items, distribution of earnings from unconsolidated joint ventures, changes in operating assets and liabilities and expenditures related to assets planned to be sold. Adjustments for non-cash items primarily include depreciation, depletion and amortization, equity in income from unconsolidated joint ventures, deferred income tax and cost of real estate sold. Net cash provided by operations was $86.2 million during the six months ended June 30, 2026, as compared to $60.1 million during the same period in 2025. Net income was $54.3 million during the six months ended June 30, 2026, as compared to $46.4 million during the same period in 2025. The increase in net cash provided by operating activities was primarily due to the changes in net income, expenditures for and acquisition of real estate to be sold, equity in income from unconsolidated joint ventures, cost of real estate sold, deferred revenue and accounts payable and other liabilities, partially offset by the changes in other assets, distribution of earnings from unconsolidated joint ventures and deferred income tax during the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investing activities primarily includes capital expenditures for operating property and property and equipment used in our operations and capital contributions to unconsolidated joint ventures, partially offset by maturities of assets held by SPEs and proceeds from the disposition of assets. During the six months ended June 30, 2026, net cash used in investing activities was $18.9 million, which included capital expenditures for operating property and property and equipment of $16.0 million, primarily for our commercial and hospitality segments, and capital contributions to unconsolidated joint ventures of $3.3 million, partially offset by maturities of assets held by SPEs of $0.4 million. During the six months ended June 30, 2025, net cash used in investing activities was $15.9 million, which included capital expenditures for operating property and property and equipment of $14.3 million, primarily for our commercial and hospitality segments and capital contributions to unconsolidated joint ventures of $2.1 million, partially offset by maturities of assets held by SPEs of $0.4 million and proceeds from the disposition of assets of $0.1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Net cash used in financing activities during the six months ended June 30, 2026 was $79.2 million, compared to $43.7 million during the same period in 2025. Net cash used in financing activities during the six months ended June 30, 2026, included the repurchase of 575,837 shares of our common stock outstanding of $37.9 million, including excise tax, principal payments for debt of $21.8 million, dividends paid of $0.32 per share on our common stock of $18.3 million, capital distributions to non-controlling interest of $0.7 million, payments for taxes withheld on vested restricted stock awards of $0.3 million and principal payments for finance leases of $0.2 million. Net cash used in financing activities during the six months ended June 30, 2025, included principal payments for debt of $38.0 million primarily related to the refinance of the North Bay Landing Loan, dividends paid of $0.28 per share on our common stock of $16.3 million, repurchase of 359,014 shares of our common stock outstanding of $16.3 million, including excise tax, capital distributions to non-controlling interest of $0.5 million and debt issuance costs of $0.4 million. Net cash used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financing activities during the six months ended June 30, 2025, was partially offset by borrowings on debt of $27.8 million related to the refinance of the North Bay Landing Loan.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material changes outside the ordinary course of our business in our contractual obligations during the second quarter of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contains “forward-looking statements” within the meaning of Section 27A of the Securities Act of 1933 and Section 21E of the Exchange Act. These statements include, among other things, information about possible or assumed future results of the business and our financial condition, liquidity, results of operations, plans, strategies, prospects and objectives. Such forward-looking statements can generally be identified by our use of forward-looking terminology such as “may,” “will,” “expect,” “intend,” “anticipate,” “estimate,” “believe,” “continue” or other similar expressions concerning matters that are not historical facts.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caution you that all forward-looking statements involve risks and uncertainties, and while we believe that our expectations for the future are reasonable in view of currently available information, you are cautioned not to place undue reliance on our forward-looking statements. Actual results or events may differ materially from those indicated as a result of various important factors, including: our ability to successfully implement our strategic objectives; new or increased competition across our business units; any decline in general economic conditions, particularly in our primary markets; interest rate fluctuations; persistent inflation; higher insurance costs and our ability to obtain adequate insurance coverage for our properties; financial institution disruptions; supply chain disruptions, including as a result of conflicts; geopolitical conflicts and political uncertainty and the corresponding impact on the global economy; the imposition of tariffs and uncertainty regarding trade policies; changes in consumer sentiment and confidence that may impact demand across our segments; our ability to successfully execute or integrate new business endeavors and acquisitions; our ability to yield anticipated returns from our developments and projects; our ability to cooperate effectively with new builder partners; our ability to effectively manage our real estate assets, as well as the ability for us or our JV partners to effectively manage the day-to-day activities of our JV projects; our ability to complete construction and development projects within expected timeframes; the interest of prospective guests in our hotels; reductions in travel and other risks inherent to the hospitality industry; the illiquidity of all real estate assets; financial risks, including risks relating to currency fluctuations, credit risks, and fluctuations in the market value of our investment portfolio; any potential negative impact of our longer-term property development strategy, including losses and negative cash flows for an extended period of time if we continue with the self-development of granted entitlements; our dependence on homebuilders; mix of sales from different communities and the corresponding impact on sales period over period; the financial condition of our commercial tenants; regulatory and insurance risks associated with a senior living facility; any reduction in the supply of mortgage loans or tightening of credit markets; our dependence on strong migration and population expansion in our regions of development, particularly Northwest Florida; our ability to fully recover from natural disasters and severe weather conditions; the actual or perceived threat of climate change; the seasonality of our business; our dependence on certain third party providers; the decreased ability of minority shareholders to influence corporate matters, due to concentrated ownership of largest shareholder; the impact of unfavorable legal proceedings or government investigations; the impact of complex and changing laws and regulations in the areas where we operate; changes in tax rates, the adoption of new U.S. tax legislation, and exposure to additional tax liabilities; new litigation; our ability to attract and retain qualified employees, particularly in our hospitality business; our ability to protect our information technology infrastructure and defend against cyber-attacks; increased media, political, and regulatory scrutiny negatively impacting our reputation; our ability to maintain adequate internal controls; risks associated with our financing arrangements, including our compliance with certain restrictions and limitations; our ability to pay our quarterly dividend and our ability to repurchase stock under our stock repurchase program; and the other risks and uncertainties discussed in “Risk Factors” beginning on page 7 of our most recent Annual Report on Form 10-K and from time to time in our subsequent filings with the SEC. We assume no obligation to revise or publicly release any revision to any forward-looking statements contained in this Quarterly Report on Form 10-Q unless required by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802" w:name="Item3QuantitativeandQualitativeDisclosur"/>
      <w:bookmarkStart w:id="2803" w:name="_663cc7c0_559e_46dd_84e1_dd0f6a4328c3"/>
      <w:bookmarkEnd w:id="2802"/>
      <w:bookmarkEnd w:id="2803"/>
      <w:r>
        <w:rPr>
          <w:rFonts w:ascii="Times New Roman;Times;serif" w:hAnsi="Times New Roman;Times;serif"/>
          <w:b/>
          <w:sz w:val="20"/>
        </w:rPr>
        <w:t>Item 3.         </w:t>
      </w:r>
      <w:r>
        <w:rPr>
          <w:rFonts w:ascii="Times New Roman;Times;serif" w:hAnsi="Times New Roman;Times;serif"/>
          <w:b/>
          <w:i/>
          <w:sz w:val="20"/>
        </w:rPr>
        <w:t>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exposed to market risks primarily from interest rate risk fluctuations. We have investments in short-term U.S. Treasury Bills classified as cash equivalents that have fixed interest rates for which changes in interest rates generally affect the fair value of the investment, but not the earnings or cash flows. A hypothetical 100 basis point increase in interest rates would result in a decrease of less than $0.1 million in the market value of these investments as of June 30, 2026. Any realized gain or loss resulting from such interest rate changes would only occur if we sold the investments prior to maturity or if a decline in their value is determined to be related to credit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historically been exposed, and in the future may again be exposed, to credit risk associated with investments classified as available-for-sale securities (“Securities”) and these instruments are subject to price fluctuations as a result of changes in the financial market’s assessment of issuer credit quality, increases in delinquency and default rates, changes in prevailing interest rates and other economic factors. A downgrade of the U.S. government’s credit rating may also decrease the value of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of our cash and cash equivalents are invested in money market instruments. Changes in interest rates related to these investments would not significantly impact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subject to interest rate risk on our variable-rate debt and utilize derivative financial instruments to reduce our exposure to market risks from changes in interest rates on certain loans. We have entered into interest rate swap agreements designated as cash flow hedges to manage the interest rate risk associated with some of our variable rate debt, with changes in the fair value recorded to accumulated other comprehensive income. As of June 30, 2026, we had variable-rate debt outstanding totaling $98.9 million, of which $39.4 million was swapped to a fixed interest rate. As of June 30, 2026, the weighted average interest rate on our variable rate loans, excluding the swapped portion, based on SOFR was 5.9%. Based on the outstanding balance of these loans as of June 30, 2026, a hypothetical 100 basis point increase in the applicable rate would result in an increase to our annual interest expense of $0.6 million. See Note 5. </w:t>
      </w:r>
      <w:r>
        <w:rPr>
          <w:rFonts w:ascii="TimesNewRomanPS-ItalicMT" w:hAnsi="TimesNewRomanPS-ItalicMT"/>
          <w:i/>
          <w:sz w:val="20"/>
        </w:rPr>
        <w:t xml:space="preserve">Financial Instruments and Fair Value Measurements </w:t>
      </w:r>
      <w:r>
        <w:rPr>
          <w:rFonts w:ascii="Times New Roman;Times;serif" w:hAnsi="Times New Roman;Times;serif"/>
          <w:sz w:val="20"/>
        </w:rPr>
        <w:t xml:space="preserve">and Note 8. </w:t>
      </w:r>
      <w:r>
        <w:rPr>
          <w:rFonts w:ascii="TimesNewRomanPS-ItalicMT" w:hAnsi="TimesNewRomanPS-ItalicMT"/>
          <w:i/>
          <w:sz w:val="20"/>
        </w:rPr>
        <w:t xml:space="preserve">Debt, Net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b/>
          <w:sz w:val="20"/>
        </w:rPr>
      </w:pPr>
      <w:bookmarkStart w:id="2804" w:name="Item4ControlsandProcedures_887098"/>
      <w:bookmarkStart w:id="2805" w:name="_ce9d7bd2_59d0_4851_bd51_4445fbba6fed"/>
      <w:bookmarkEnd w:id="2804"/>
      <w:bookmarkEnd w:id="2805"/>
      <w:r>
        <w:rPr>
          <w:rFonts w:ascii="Times New Roman;Times;serif" w:hAnsi="Times New Roman;Times;serif"/>
          <w:b/>
          <w:sz w:val="20"/>
        </w:rPr>
        <w:t>Item 4.         </w:t>
      </w:r>
      <w:r>
        <w:rPr>
          <w:rFonts w:ascii="Times New Roman;Times;serif" w:hAnsi="Times New Roman;Times;serif"/>
          <w:b/>
          <w:i/>
          <w:sz w:val="20"/>
        </w:rPr>
        <w:t>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Our Chief Executive Officer and Chief Financial Officer have evaluated the effectiveness of our disclosure controls and procedures (as such term is defined in Rules 13a-15(e) and 15d-15(e) under the Exchange Act) as of the end of the period covered by this report. Based on this evaluation, our Chief Executive Officer and Chief Financial Officer have concluded that, as of the end of the period covered by this report, our disclosure controls and procedures were effective.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During the quarter ended June 30, 2026, there were no changes in our internal control over financial reporting that have materially affected, or are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2806" w:name="PARTIIOTHERINFORMATION_895295"/>
      <w:bookmarkStart w:id="2807" w:name="_13c2d229_393d_4946_b120_6807a508df83"/>
      <w:bookmarkEnd w:id="2806"/>
      <w:bookmarkEnd w:id="2807"/>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2808" w:name="Item1LegalProceedings_52834"/>
      <w:bookmarkEnd w:id="2808"/>
      <w:r>
        <w:rPr>
          <w:rFonts w:ascii="Times New Roman;Times;serif" w:hAnsi="Times New Roman;Times;serif"/>
          <w:b/>
          <w:sz w:val="20"/>
        </w:rPr>
        <w:t>Item 1.         </w:t>
      </w:r>
      <w:r>
        <w:rPr>
          <w:rFonts w:ascii="Times New Roman;Times;serif" w:hAnsi="Times New Roman;Times;serif"/>
          <w:b/>
          <w:i/>
          <w:sz w:val="20"/>
        </w:rPr>
        <w:t>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subject to a variety of litigation, claims, other disputes and governmental proceedings that arise from time to time in the ordinary course of our business, none of which we believe will have a material adverse effect on our consolidated financial position, results of operations or liquidity. In addition, we are subject to environmental laws and regulations, which include obligations to remove or limit the effects on the environment of the disposal or release of certain wastes or substances at various sites, including sites which have been previously sold. See Note 17. </w:t>
      </w:r>
      <w:r>
        <w:rPr>
          <w:rFonts w:ascii="Times New Roman;Times;serif" w:hAnsi="Times New Roman;Times;serif"/>
          <w:i/>
          <w:sz w:val="20"/>
        </w:rPr>
        <w:t>Commitments and Contingencies</w:t>
      </w:r>
      <w:r>
        <w:rPr>
          <w:rFonts w:ascii="Times New Roman;Times;serif" w:hAnsi="Times New Roman;Times;serif"/>
          <w:sz w:val="20"/>
        </w:rPr>
        <w:t>,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809" w:name="Item1ARiskFactors_980256"/>
      <w:bookmarkStart w:id="2810" w:name="_2aabfe79_796e_4e3f_a4ee_14929dd2c949"/>
      <w:bookmarkEnd w:id="2809"/>
      <w:bookmarkEnd w:id="2810"/>
      <w:r>
        <w:rPr>
          <w:rFonts w:ascii="Times New Roman;Times;serif" w:hAnsi="Times New Roman;Times;serif"/>
          <w:b/>
          <w:sz w:val="20"/>
        </w:rPr>
        <w:t>Item 1A.         </w:t>
      </w:r>
      <w:r>
        <w:rPr>
          <w:rFonts w:ascii="Times New Roman;Times;serif" w:hAnsi="Times New Roman;Times;serif"/>
          <w:b/>
          <w:i/>
          <w:sz w:val="20"/>
        </w:rPr>
        <w:t>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description of the risk factors associated with our business is contained in the “Risk Factors” section of our Annual Report on Form 10-K for the fiscal year ended December 31, 2025. There have been no material changes to our Risk Factors as previously reported.</w:t>
      </w:r>
    </w:p>
    <w:p>
      <w:pPr>
        <w:pStyle w:val="TextBody"/>
        <w:bidi w:val="0"/>
        <w:spacing w:before="0" w:after="240"/>
        <w:ind w:left="0" w:right="0" w:hanging="0"/>
        <w:jc w:val="left"/>
        <w:rPr>
          <w:rFonts w:ascii="Times New Roman;Times;serif" w:hAnsi="Times New Roman;Times;serif"/>
          <w:b/>
          <w:sz w:val="20"/>
        </w:rPr>
      </w:pPr>
      <w:bookmarkStart w:id="2811" w:name="Item2UnregisteredSalesofEquitySecurities"/>
      <w:bookmarkStart w:id="2812" w:name="_82e2bbaa_8629_45c7_934c_7294609d3fd3"/>
      <w:bookmarkEnd w:id="2811"/>
      <w:bookmarkEnd w:id="2812"/>
      <w:r>
        <w:rPr>
          <w:rFonts w:ascii="Times New Roman;Times;serif" w:hAnsi="Times New Roman;Times;serif"/>
          <w:b/>
          <w:sz w:val="20"/>
        </w:rPr>
        <w:t>Item 2.         </w:t>
      </w:r>
      <w:r>
        <w:rPr>
          <w:rFonts w:ascii="Times New Roman;Times;serif" w:hAnsi="Times New Roman;Times;serif"/>
          <w:b/>
          <w:i/>
          <w:sz w:val="20"/>
        </w:rPr>
        <w:t>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has approved the Stock Repurchase Program pursuant to which we are authorized to repurchase shares of our common stock. The program has no expiration date. In May 2026, the Board increased the total authorization under the Stock Repurchase Program to $200.0 million. As of June 30, 2026, we had a total authority of $173.0 million available for repurchase of shares of our common stock outstanding. We may repurchase our common stock in open market purchases from time to time, in privately negotiated transactions or otherwise, pursuant to Rule 10b-18 under the Exchange Act. The timing and amount of any additional stock to be repurchased will depend upon a variety of factors. Repurchases may be commenced or suspended at any time or from time to time without prior notice. The program will continue until otherwise modified or terminated by our Board at any time in its sole discretion.</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on our repurchase of common stock during the three months ended June 30, 2026:</w:t>
      </w:r>
    </w:p>
    <w:tbl>
      <w:tblPr>
        <w:tblW w:w="9664" w:type="dxa"/>
        <w:jc w:val="left"/>
        <w:tblInd w:w="0" w:type="dxa"/>
        <w:tblLayout w:type="fixed"/>
        <w:tblCellMar>
          <w:top w:w="0" w:type="dxa"/>
          <w:left w:w="0" w:type="dxa"/>
          <w:bottom w:w="0" w:type="dxa"/>
          <w:right w:w="0" w:type="dxa"/>
        </w:tblCellMar>
      </w:tblPr>
      <w:tblGrid>
        <w:gridCol w:w="1471"/>
        <w:gridCol w:w="346"/>
        <w:gridCol w:w="1381"/>
        <w:gridCol w:w="346"/>
        <w:gridCol w:w="371"/>
        <w:gridCol w:w="1009"/>
        <w:gridCol w:w="346"/>
        <w:gridCol w:w="1846"/>
        <w:gridCol w:w="346"/>
        <w:gridCol w:w="542"/>
        <w:gridCol w:w="1469"/>
        <w:gridCol w:w="19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1">
                      <wp:simplePos x="0" y="0"/>
                      <wp:positionH relativeFrom="character">
                        <wp:align>left</wp:align>
                      </wp:positionH>
                      <wp:positionV relativeFrom="line">
                        <wp:posOffset>635</wp:posOffset>
                      </wp:positionV>
                      <wp:extent cx="934085" cy="175260"/>
                      <wp:effectExtent l="0" t="0" r="0" b="0"/>
                      <wp:wrapNone/>
                      <wp:docPr id="980" name="Frame980"/>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2">
                      <wp:simplePos x="0" y="0"/>
                      <wp:positionH relativeFrom="character">
                        <wp:align>left</wp:align>
                      </wp:positionH>
                      <wp:positionV relativeFrom="line">
                        <wp:posOffset>635</wp:posOffset>
                      </wp:positionV>
                      <wp:extent cx="219710" cy="175260"/>
                      <wp:effectExtent l="0" t="0" r="0" b="0"/>
                      <wp:wrapNone/>
                      <wp:docPr id="981" name="Frame9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3">
                      <wp:simplePos x="0" y="0"/>
                      <wp:positionH relativeFrom="character">
                        <wp:align>left</wp:align>
                      </wp:positionH>
                      <wp:positionV relativeFrom="line">
                        <wp:posOffset>635</wp:posOffset>
                      </wp:positionV>
                      <wp:extent cx="876935" cy="175260"/>
                      <wp:effectExtent l="0" t="0" r="0" b="0"/>
                      <wp:wrapNone/>
                      <wp:docPr id="982" name="Frame982"/>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4">
                      <wp:simplePos x="0" y="0"/>
                      <wp:positionH relativeFrom="character">
                        <wp:align>left</wp:align>
                      </wp:positionH>
                      <wp:positionV relativeFrom="line">
                        <wp:posOffset>635</wp:posOffset>
                      </wp:positionV>
                      <wp:extent cx="219710" cy="175260"/>
                      <wp:effectExtent l="0" t="0" r="0" b="0"/>
                      <wp:wrapNone/>
                      <wp:docPr id="983" name="Frame9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5">
                      <wp:simplePos x="0" y="0"/>
                      <wp:positionH relativeFrom="character">
                        <wp:align>left</wp:align>
                      </wp:positionH>
                      <wp:positionV relativeFrom="line">
                        <wp:posOffset>635</wp:posOffset>
                      </wp:positionV>
                      <wp:extent cx="235585" cy="175260"/>
                      <wp:effectExtent l="0" t="0" r="0" b="0"/>
                      <wp:wrapNone/>
                      <wp:docPr id="984" name="Frame98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6">
                      <wp:simplePos x="0" y="0"/>
                      <wp:positionH relativeFrom="character">
                        <wp:align>left</wp:align>
                      </wp:positionH>
                      <wp:positionV relativeFrom="line">
                        <wp:posOffset>635</wp:posOffset>
                      </wp:positionV>
                      <wp:extent cx="640715" cy="175260"/>
                      <wp:effectExtent l="0" t="0" r="0" b="0"/>
                      <wp:wrapNone/>
                      <wp:docPr id="985" name="Frame985"/>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7">
                      <wp:simplePos x="0" y="0"/>
                      <wp:positionH relativeFrom="character">
                        <wp:align>left</wp:align>
                      </wp:positionH>
                      <wp:positionV relativeFrom="line">
                        <wp:posOffset>635</wp:posOffset>
                      </wp:positionV>
                      <wp:extent cx="219710" cy="175260"/>
                      <wp:effectExtent l="0" t="0" r="0" b="0"/>
                      <wp:wrapNone/>
                      <wp:docPr id="986" name="Frame9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8">
                      <wp:simplePos x="0" y="0"/>
                      <wp:positionH relativeFrom="character">
                        <wp:align>left</wp:align>
                      </wp:positionH>
                      <wp:positionV relativeFrom="line">
                        <wp:posOffset>635</wp:posOffset>
                      </wp:positionV>
                      <wp:extent cx="1172210" cy="175260"/>
                      <wp:effectExtent l="0" t="0" r="0" b="0"/>
                      <wp:wrapNone/>
                      <wp:docPr id="987" name="Frame98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9">
                      <wp:simplePos x="0" y="0"/>
                      <wp:positionH relativeFrom="character">
                        <wp:align>left</wp:align>
                      </wp:positionH>
                      <wp:positionV relativeFrom="line">
                        <wp:posOffset>635</wp:posOffset>
                      </wp:positionV>
                      <wp:extent cx="219710" cy="175260"/>
                      <wp:effectExtent l="0" t="0" r="0" b="0"/>
                      <wp:wrapNone/>
                      <wp:docPr id="988" name="Frame9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0">
                      <wp:simplePos x="0" y="0"/>
                      <wp:positionH relativeFrom="character">
                        <wp:align>left</wp:align>
                      </wp:positionH>
                      <wp:positionV relativeFrom="line">
                        <wp:posOffset>635</wp:posOffset>
                      </wp:positionV>
                      <wp:extent cx="344170" cy="175260"/>
                      <wp:effectExtent l="0" t="0" r="0" b="0"/>
                      <wp:wrapNone/>
                      <wp:docPr id="989" name="Frame989"/>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1">
                      <wp:simplePos x="0" y="0"/>
                      <wp:positionH relativeFrom="character">
                        <wp:align>left</wp:align>
                      </wp:positionH>
                      <wp:positionV relativeFrom="line">
                        <wp:posOffset>635</wp:posOffset>
                      </wp:positionV>
                      <wp:extent cx="932815" cy="175260"/>
                      <wp:effectExtent l="0" t="0" r="0" b="0"/>
                      <wp:wrapNone/>
                      <wp:docPr id="990" name="Frame990"/>
                      <a:graphic xmlns:a="http://schemas.openxmlformats.org/drawingml/2006/main">
                        <a:graphicData uri="http://schemas.microsoft.com/office/word/2010/wordprocessingShape">
                          <wps:wsp>
                            <wps:cNvSpPr txBox="1"/>
                            <wps:spPr>
                              <a:xfrm>
                                <a:off x="0" y="0"/>
                                <a:ext cx="932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2">
                      <wp:simplePos x="0" y="0"/>
                      <wp:positionH relativeFrom="character">
                        <wp:align>left</wp:align>
                      </wp:positionH>
                      <wp:positionV relativeFrom="line">
                        <wp:posOffset>635</wp:posOffset>
                      </wp:positionV>
                      <wp:extent cx="121285" cy="175260"/>
                      <wp:effectExtent l="0" t="0" r="0" b="0"/>
                      <wp:wrapNone/>
                      <wp:docPr id="991" name="Frame99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7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 Shares</w:t>
            </w:r>
          </w:p>
        </w:tc>
        <w:tc>
          <w:tcPr>
            <w:tcW w:w="346" w:type="dxa"/>
            <w:tcBorders/>
            <w:vAlign w:val="center"/>
          </w:tcPr>
          <w:p>
            <w:pPr>
              <w:pStyle w:val="TableContents"/>
              <w:bidi w:val="0"/>
              <w:spacing w:before="0" w:after="1"/>
              <w:ind w:left="0" w:right="0" w:hanging="0"/>
              <w:jc w:val="center"/>
              <w:rPr/>
            </w:pPr>
            <w:r>
              <w:rPr/>
              <w:t>  ​ ​ ​</w:t>
            </w:r>
          </w:p>
        </w:tc>
        <w:tc>
          <w:tcPr>
            <w:tcW w:w="20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Maximum Dollar Value of</w:t>
            </w:r>
          </w:p>
        </w:tc>
        <w:tc>
          <w:tcPr>
            <w:tcW w:w="191" w:type="dxa"/>
            <w:tcBorders/>
            <w:vAlign w:val="center"/>
          </w:tcPr>
          <w:p>
            <w:pPr>
              <w:pStyle w:val="TableContents"/>
              <w:bidi w:val="0"/>
              <w:spacing w:before="0" w:after="1"/>
              <w:ind w:left="0" w:right="0" w:hanging="0"/>
              <w:jc w:val="center"/>
              <w:rPr/>
            </w:pPr>
            <w:r>
              <w:rPr/>
              <w:t> </w:t>
            </w:r>
          </w:p>
        </w:tc>
      </w:tr>
      <w:tr>
        <w:trPr/>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7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as Part of</w:t>
            </w:r>
          </w:p>
        </w:tc>
        <w:tc>
          <w:tcPr>
            <w:tcW w:w="346" w:type="dxa"/>
            <w:tcBorders/>
            <w:vAlign w:val="center"/>
          </w:tcPr>
          <w:p>
            <w:pPr>
              <w:pStyle w:val="TableContents"/>
              <w:bidi w:val="0"/>
              <w:spacing w:before="0" w:after="1"/>
              <w:ind w:left="0" w:right="0" w:hanging="0"/>
              <w:jc w:val="center"/>
              <w:rPr/>
            </w:pPr>
            <w:r>
              <w:rPr/>
              <w:t>​</w:t>
            </w:r>
          </w:p>
        </w:tc>
        <w:tc>
          <w:tcPr>
            <w:tcW w:w="20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that May Yet Be</w:t>
            </w:r>
          </w:p>
        </w:tc>
        <w:tc>
          <w:tcPr>
            <w:tcW w:w="191" w:type="dxa"/>
            <w:tcBorders/>
            <w:vAlign w:val="center"/>
          </w:tcPr>
          <w:p>
            <w:pPr>
              <w:pStyle w:val="TableContents"/>
              <w:bidi w:val="0"/>
              <w:spacing w:before="0" w:after="1"/>
              <w:ind w:left="0" w:right="0" w:hanging="0"/>
              <w:jc w:val="center"/>
              <w:rPr/>
            </w:pPr>
            <w:r>
              <w:rPr/>
              <w:t> </w:t>
            </w:r>
          </w:p>
        </w:tc>
      </w:tr>
      <w:tr>
        <w:trPr/>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1"/>
              <w:ind w:left="0" w:right="0" w:hanging="0"/>
              <w:jc w:val="center"/>
              <w:rPr/>
            </w:pPr>
            <w:r>
              <w:rPr/>
              <w:t>​</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Publicly Announced</w:t>
            </w:r>
          </w:p>
        </w:tc>
        <w:tc>
          <w:tcPr>
            <w:tcW w:w="346" w:type="dxa"/>
            <w:tcBorders/>
            <w:vAlign w:val="center"/>
          </w:tcPr>
          <w:p>
            <w:pPr>
              <w:pStyle w:val="TableContents"/>
              <w:bidi w:val="0"/>
              <w:spacing w:before="0" w:after="1"/>
              <w:ind w:left="0" w:right="0" w:hanging="0"/>
              <w:jc w:val="center"/>
              <w:rPr/>
            </w:pPr>
            <w:r>
              <w:rPr/>
              <w:t>​</w:t>
            </w:r>
          </w:p>
        </w:tc>
        <w:tc>
          <w:tcPr>
            <w:tcW w:w="20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Under the</w:t>
            </w:r>
          </w:p>
        </w:tc>
        <w:tc>
          <w:tcPr>
            <w:tcW w:w="191" w:type="dxa"/>
            <w:tcBorders/>
            <w:vAlign w:val="center"/>
          </w:tcPr>
          <w:p>
            <w:pPr>
              <w:pStyle w:val="TableContents"/>
              <w:bidi w:val="0"/>
              <w:spacing w:before="0" w:after="1"/>
              <w:ind w:left="0" w:right="0" w:hanging="0"/>
              <w:jc w:val="center"/>
              <w:rPr/>
            </w:pPr>
            <w:r>
              <w:rPr/>
              <w:t> </w:t>
            </w:r>
          </w:p>
        </w:tc>
      </w:tr>
      <w:tr>
        <w:trPr/>
        <w:tc>
          <w:tcPr>
            <w:tcW w:w="14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1"/>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Paid per Share</w:t>
            </w:r>
            <w:r>
              <w:rPr>
                <w:rFonts w:ascii="Times New Roman;Times;serif" w:hAnsi="Times New Roman;Times;serif"/>
                <w:sz w:val="16"/>
              </w:rPr>
              <w:t xml:space="preserve"> </w:t>
            </w:r>
            <w:r>
              <w:rPr>
                <w:rFonts w:ascii="Times New Roman;Times;serif" w:hAnsi="Times New Roman;Times;serif"/>
                <w:b/>
                <w:sz w:val="12"/>
              </w:rPr>
              <w:t>(a)</w:t>
            </w:r>
          </w:p>
        </w:tc>
        <w:tc>
          <w:tcPr>
            <w:tcW w:w="346" w:type="dxa"/>
            <w:tcBorders/>
            <w:vAlign w:val="center"/>
          </w:tcPr>
          <w:p>
            <w:pPr>
              <w:pStyle w:val="TableContents"/>
              <w:bidi w:val="0"/>
              <w:spacing w:before="0" w:after="1"/>
              <w:ind w:left="0" w:right="0" w:hanging="0"/>
              <w:jc w:val="center"/>
              <w:rPr/>
            </w:pPr>
            <w:r>
              <w:rPr/>
              <w:t>​</w:t>
            </w:r>
          </w:p>
        </w:tc>
        <w:tc>
          <w:tcPr>
            <w:tcW w:w="184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Plans or Programs</w:t>
            </w:r>
            <w:r>
              <w:rPr>
                <w:rFonts w:ascii="Times New Roman;Times;serif" w:hAnsi="Times New Roman;Times;serif"/>
                <w:sz w:val="16"/>
              </w:rPr>
              <w:t xml:space="preserve"> </w:t>
            </w:r>
            <w:r>
              <w:rPr>
                <w:rFonts w:ascii="Times New Roman;Times;serif" w:hAnsi="Times New Roman;Times;serif"/>
                <w:b/>
                <w:sz w:val="12"/>
              </w:rPr>
              <w:t>(b)</w:t>
            </w:r>
          </w:p>
        </w:tc>
        <w:tc>
          <w:tcPr>
            <w:tcW w:w="346" w:type="dxa"/>
            <w:tcBorders/>
            <w:vAlign w:val="center"/>
          </w:tcPr>
          <w:p>
            <w:pPr>
              <w:pStyle w:val="TableContents"/>
              <w:bidi w:val="0"/>
              <w:spacing w:before="0" w:after="1"/>
              <w:ind w:left="0" w:right="0" w:hanging="0"/>
              <w:jc w:val="center"/>
              <w:rPr/>
            </w:pPr>
            <w:r>
              <w:rPr/>
              <w:t>​</w:t>
            </w:r>
          </w:p>
        </w:tc>
        <w:tc>
          <w:tcPr>
            <w:tcW w:w="201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Plans or Programs</w:t>
            </w:r>
            <w:r>
              <w:rPr>
                <w:rFonts w:ascii="Times New Roman;Times;serif" w:hAnsi="Times New Roman;Times;serif"/>
                <w:sz w:val="16"/>
              </w:rPr>
              <w:t xml:space="preserve"> </w:t>
            </w:r>
            <w:r>
              <w:rPr>
                <w:rFonts w:ascii="Times New Roman;Times;serif" w:hAnsi="Times New Roman;Times;serif"/>
                <w:b/>
                <w:sz w:val="12"/>
              </w:rPr>
              <w:t>(b)</w:t>
            </w:r>
          </w:p>
        </w:tc>
        <w:tc>
          <w:tcPr>
            <w:tcW w:w="191" w:type="dxa"/>
            <w:tcBorders/>
            <w:vAlign w:val="center"/>
          </w:tcPr>
          <w:p>
            <w:pPr>
              <w:pStyle w:val="TableContents"/>
              <w:bidi w:val="0"/>
              <w:spacing w:before="0" w:after="1"/>
              <w:ind w:left="0" w:right="0" w:hanging="0"/>
              <w:jc w:val="center"/>
              <w:rPr/>
            </w:pPr>
            <w:r>
              <w:rPr/>
              <w:t> </w:t>
            </w:r>
          </w:p>
        </w:tc>
      </w:tr>
      <w:tr>
        <w:trPr/>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7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11" w:type="dxa"/>
            <w:gridSpan w:val="2"/>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191" w:type="dxa"/>
            <w:tcBorders/>
            <w:vAlign w:val="center"/>
          </w:tcPr>
          <w:p>
            <w:pPr>
              <w:pStyle w:val="TableContents"/>
              <w:bidi w:val="0"/>
              <w:spacing w:before="0" w:after="1"/>
              <w:ind w:left="0" w:right="0" w:hanging="0"/>
              <w:jc w:val="center"/>
              <w:rPr/>
            </w:pPr>
            <w:r>
              <w:rPr/>
              <w:t> </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85,000</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67.04</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85,000</w:t>
            </w:r>
          </w:p>
        </w:tc>
        <w:tc>
          <w:tcPr>
            <w:tcW w:w="346"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1-31, 2026</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328,900</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65.13</w:t>
            </w:r>
          </w:p>
        </w:tc>
        <w:tc>
          <w:tcPr>
            <w:tcW w:w="346" w:type="dxa"/>
            <w:tcBorders/>
            <w:vAlign w:val="center"/>
          </w:tcPr>
          <w:p>
            <w:pPr>
              <w:pStyle w:val="TableContents"/>
              <w:bidi w:val="0"/>
              <w:spacing w:before="0" w:after="1"/>
              <w:ind w:left="0" w:right="0" w:hanging="0"/>
              <w:jc w:val="left"/>
              <w:rPr/>
            </w:pPr>
            <w:r>
              <w:rPr/>
              <w:t> </w:t>
            </w:r>
          </w:p>
        </w:tc>
        <w:tc>
          <w:tcPr>
            <w:tcW w:w="1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328,900</w:t>
            </w:r>
          </w:p>
        </w:tc>
        <w:tc>
          <w:tcPr>
            <w:tcW w:w="346"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left"/>
              <w:rPr/>
            </w:pPr>
            <w:r>
              <w:rPr/>
              <w:t> </w:t>
            </w:r>
          </w:p>
        </w:tc>
        <w:tc>
          <w:tcPr>
            <w:tcW w:w="14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w:t>
            </w:r>
          </w:p>
        </w:tc>
        <w:tc>
          <w:tcPr>
            <w:tcW w:w="191"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85,800</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64.90</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85,800</w:t>
            </w:r>
          </w:p>
        </w:tc>
        <w:tc>
          <w:tcPr>
            <w:tcW w:w="346" w:type="dxa"/>
            <w:tcBorders/>
            <w:shd w:fill="CCEEFF" w:val="clear"/>
            <w:vAlign w:val="center"/>
          </w:tcPr>
          <w:p>
            <w:pPr>
              <w:pStyle w:val="TableContents"/>
              <w:bidi w:val="0"/>
              <w:spacing w:before="0" w:after="1"/>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4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499,700</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65.42</w:t>
            </w:r>
          </w:p>
        </w:tc>
        <w:tc>
          <w:tcPr>
            <w:tcW w:w="346" w:type="dxa"/>
            <w:tcBorders/>
            <w:vAlign w:val="center"/>
          </w:tcPr>
          <w:p>
            <w:pPr>
              <w:pStyle w:val="TableContents"/>
              <w:bidi w:val="0"/>
              <w:spacing w:before="0" w:after="1"/>
              <w:ind w:left="0" w:right="0" w:hanging="0"/>
              <w:jc w:val="left"/>
              <w:rPr/>
            </w:pPr>
            <w:r>
              <w:rPr/>
              <w:t> </w:t>
            </w:r>
          </w:p>
        </w:tc>
        <w:tc>
          <w:tcPr>
            <w:tcW w:w="18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499,700</w:t>
            </w:r>
          </w:p>
        </w:tc>
        <w:tc>
          <w:tcPr>
            <w:tcW w:w="346"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46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173.0</w:t>
            </w:r>
          </w:p>
        </w:tc>
        <w:tc>
          <w:tcPr>
            <w:tcW w:w="191" w:type="dxa"/>
            <w:tcBorders/>
            <w:vAlign w:val="center"/>
          </w:tcPr>
          <w:p>
            <w:pPr>
              <w:pStyle w:val="TableContents"/>
              <w:bidi w:val="0"/>
              <w:spacing w:before="0" w:after="1"/>
              <w:ind w:left="0" w:right="0" w:hanging="0"/>
              <w:jc w:val="left"/>
              <w:rPr/>
            </w:pPr>
            <w:r>
              <w:rPr/>
              <w:t>​</w:t>
            </w:r>
          </w:p>
        </w:tc>
      </w:tr>
    </w:tbl>
    <w:tbl>
      <w:tblPr>
        <w:tblW w:w="1892" w:type="dxa"/>
        <w:jc w:val="left"/>
        <w:tblInd w:w="0" w:type="dxa"/>
        <w:tblLayout w:type="fixed"/>
        <w:tblCellMar>
          <w:top w:w="0" w:type="dxa"/>
          <w:left w:w="0" w:type="dxa"/>
          <w:bottom w:w="0" w:type="dxa"/>
          <w:right w:w="0" w:type="dxa"/>
        </w:tblCellMar>
      </w:tblPr>
      <w:tblGrid>
        <w:gridCol w:w="316"/>
        <w:gridCol w:w="157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5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Excludes excise tax.</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Our Board has adopted a Stock Repurchase Program. In May 2026, the Board increased the total authorization under the Stock Repurchase Program to $200.0 million. </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813" w:name="Item3DefaultsuponSeniorSecurities_741045"/>
      <w:bookmarkStart w:id="2814" w:name="_b98ac747_1cf4_44bd_830e_3c598a783c04"/>
      <w:bookmarkEnd w:id="2813"/>
      <w:bookmarkEnd w:id="2814"/>
      <w:r>
        <w:rPr>
          <w:rFonts w:ascii="Times New Roman;Times;serif" w:hAnsi="Times New Roman;Times;serif"/>
          <w:b/>
          <w:sz w:val="20"/>
        </w:rPr>
        <w:t>Item 3.         </w:t>
      </w:r>
      <w:r>
        <w:rPr>
          <w:rFonts w:ascii="Times New Roman;Times;serif" w:hAnsi="Times New Roman;Times;serif"/>
          <w:b/>
          <w:i/>
          <w:sz w:val="20"/>
        </w:rPr>
        <w:t>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2815" w:name="Item4MineSafetyDisclosures_49809"/>
      <w:bookmarkStart w:id="2816" w:name="_4f8d141c_77df_4de1_98a6_6a5a93661e89"/>
      <w:bookmarkEnd w:id="2815"/>
      <w:bookmarkEnd w:id="2816"/>
      <w:r>
        <w:rPr>
          <w:rFonts w:ascii="Times New Roman;Times;serif" w:hAnsi="Times New Roman;Times;serif"/>
          <w:b/>
          <w:sz w:val="20"/>
        </w:rPr>
        <w:t>Item 4.         </w:t>
      </w:r>
      <w:r>
        <w:rPr>
          <w:rFonts w:ascii="Times New Roman;Times;serif" w:hAnsi="Times New Roman;Times;serif"/>
          <w:b/>
          <w:i/>
          <w:sz w:val="20"/>
        </w:rPr>
        <w:t>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2817" w:name="Item5OtherInformation_321484"/>
      <w:bookmarkStart w:id="2818" w:name="_cf870f75_a908_4721_9b65_058503fc6605"/>
      <w:bookmarkEnd w:id="2817"/>
      <w:bookmarkEnd w:id="2818"/>
      <w:r>
        <w:rPr>
          <w:rFonts w:ascii="Times New Roman;Times;serif" w:hAnsi="Times New Roman;Times;serif"/>
          <w:b/>
          <w:sz w:val="20"/>
        </w:rPr>
        <w:t>Item 5.         </w:t>
      </w:r>
      <w:r>
        <w:rPr>
          <w:rFonts w:ascii="Times New Roman;Times;serif" w:hAnsi="Times New Roman;Times;serif"/>
          <w:b/>
          <w:i/>
          <w:sz w:val="20"/>
        </w:rPr>
        <w:t>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2026,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819" w:name="Item6Exhibits_42059"/>
      <w:bookmarkStart w:id="2820" w:name="_b0239a2e_1f78_429a_80a6_48c6707d8f84"/>
      <w:bookmarkEnd w:id="2819"/>
      <w:bookmarkEnd w:id="2820"/>
      <w:r>
        <w:rPr>
          <w:rFonts w:ascii="Times New Roman;Times;serif" w:hAnsi="Times New Roman;Times;serif"/>
          <w:b/>
          <w:sz w:val="20"/>
        </w:rPr>
        <w:t>Item 6.         </w:t>
      </w:r>
      <w:r>
        <w:rPr>
          <w:rFonts w:ascii="Times New Roman;Times;serif" w:hAnsi="Times New Roman;Times;serif"/>
          <w:b/>
          <w:i/>
          <w:sz w:val="20"/>
        </w:rPr>
        <w:t>Exhibits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848"/>
        <w:gridCol w:w="346"/>
        <w:gridCol w:w="9011"/>
      </w:tblGrid>
      <w:tr>
        <w:trPr/>
        <w:tc>
          <w:tcPr>
            <w:tcW w:w="8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r>
              <w:rPr/>
              <w:t>​</w:t>
            </w:r>
          </w:p>
        </w:tc>
      </w:tr>
      <w:tr>
        <w:trPr/>
        <w:tc>
          <w:tcPr>
            <w:tcW w:w="84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vAlign w:val="center"/>
          </w:tcPr>
          <w:p>
            <w:pPr>
              <w:pStyle w:val="TableContents"/>
              <w:bidi w:val="0"/>
              <w:spacing w:before="0" w:after="0"/>
              <w:ind w:left="0" w:right="0" w:hanging="0"/>
              <w:jc w:val="center"/>
              <w:rPr/>
            </w:pPr>
            <w:r>
              <w:rPr/>
              <w:t>​</w:t>
            </w:r>
          </w:p>
        </w:tc>
        <w:tc>
          <w:tcPr>
            <w:tcW w:w="9011" w:type="dxa"/>
            <w:tcBorders/>
            <w:vAlign w:val="center"/>
          </w:tcPr>
          <w:p>
            <w:pPr>
              <w:pStyle w:val="TableContents"/>
              <w:bidi w:val="0"/>
              <w:spacing w:before="0" w:after="0"/>
              <w:ind w:left="0" w:right="0" w:hanging="0"/>
              <w:jc w:val="center"/>
              <w:rPr/>
            </w:pPr>
            <w:r>
              <w:rPr/>
              <w:t>​</w:t>
            </w:r>
          </w:p>
        </w:tc>
      </w:tr>
      <w:tr>
        <w:trPr/>
        <w:tc>
          <w:tcPr>
            <w:tcW w:w="8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  ​ ​ ​</w:t>
            </w:r>
          </w:p>
        </w:tc>
        <w:tc>
          <w:tcPr>
            <w:tcW w:w="9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84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011"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Restated and Amended Articles of Incorporation of the registrant (incorporated by reference to Exhibit 3.1 to the registrant’s Quarterly Report on Form 10-Q for the quarter ended June 30, 2010).</w:t>
              </w:r>
            </w:hyperlink>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the registrant (incorporated by reference to Exhibit 3.1 to the registrant’s Current Report on Form 8-K filed on November 15, 2022).</w:t>
              </w:r>
            </w:hyperlink>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joe-20260630xex31d1.htm">
              <w:r>
                <w:rPr>
                  <w:rStyle w:val="InternetLink"/>
                  <w:rFonts w:ascii="Times New Roman;Times;serif" w:hAnsi="Times New Roman;Times;serif"/>
                  <w:b w:val="false"/>
                  <w:i w:val="false"/>
                  <w:caps w:val="false"/>
                  <w:smallCaps w:val="false"/>
                  <w:sz w:val="20"/>
                </w:rPr>
                <w:t>Certification of Principal Executive Officer under Section 302 of the Sarbanes-Oxley Act of 2002.</w:t>
              </w:r>
            </w:hyperlink>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joe-20260630xex31d2.htm">
              <w:r>
                <w:rPr>
                  <w:rStyle w:val="InternetLink"/>
                  <w:rFonts w:ascii="Times New Roman;Times;serif" w:hAnsi="Times New Roman;Times;serif"/>
                  <w:b w:val="false"/>
                  <w:i w:val="false"/>
                  <w:caps w:val="false"/>
                  <w:smallCaps w:val="false"/>
                  <w:sz w:val="20"/>
                </w:rPr>
                <w:t>Certification of Principal Financial Officer under Section 302 of the Sarbanes-Oxley Act of 2002.</w:t>
              </w:r>
            </w:hyperlink>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joe-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pPr>
            <w:hyperlink w:anchor="joe-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821" w:name="SIGNATURES_149802"/>
      <w:bookmarkStart w:id="2822" w:name="_bd2f5905_f0b9_441d_8b00_2e93d29e5047"/>
      <w:bookmarkEnd w:id="2821"/>
      <w:bookmarkEnd w:id="2822"/>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993" w:type="dxa"/>
        <w:jc w:val="left"/>
        <w:tblInd w:w="0" w:type="dxa"/>
        <w:tblLayout w:type="fixed"/>
        <w:tblCellMar>
          <w:top w:w="0" w:type="dxa"/>
          <w:left w:w="0" w:type="dxa"/>
          <w:bottom w:w="0" w:type="dxa"/>
          <w:right w:w="0" w:type="dxa"/>
        </w:tblCellMar>
      </w:tblPr>
      <w:tblGrid>
        <w:gridCol w:w="556"/>
        <w:gridCol w:w="1216"/>
        <w:gridCol w:w="5221"/>
      </w:tblGrid>
      <w:tr>
        <w:trPr/>
        <w:tc>
          <w:tcPr>
            <w:tcW w:w="556" w:type="dxa"/>
            <w:tcBorders/>
            <w:vAlign w:val="center"/>
          </w:tcPr>
          <w:p>
            <w:pPr>
              <w:pStyle w:val="TableContents"/>
              <w:bidi w:val="0"/>
              <w:spacing w:lineRule="atLeast" w:line="142" w:before="0" w:after="0"/>
              <w:ind w:left="0" w:right="0" w:hanging="0"/>
              <w:jc w:val="left"/>
              <w:rPr/>
            </w:pPr>
            <w:r>
              <w:rPr/>
              <w:t>​</w:t>
            </w:r>
          </w:p>
        </w:tc>
        <w:tc>
          <w:tcPr>
            <w:tcW w:w="1216" w:type="dxa"/>
            <w:tcBorders/>
            <w:vAlign w:val="center"/>
          </w:tcPr>
          <w:p>
            <w:pPr>
              <w:pStyle w:val="TableContents"/>
              <w:bidi w:val="0"/>
              <w:spacing w:lineRule="atLeast" w:line="142" w:before="0" w:after="0"/>
              <w:ind w:left="0" w:right="0" w:hanging="0"/>
              <w:jc w:val="left"/>
              <w:rPr/>
            </w:pPr>
            <w:r>
              <w:rPr/>
              <w:t>​</w:t>
            </w:r>
          </w:p>
        </w:tc>
        <w:tc>
          <w:tcPr>
            <w:tcW w:w="5221" w:type="dxa"/>
            <w:tcBorders/>
            <w:vAlign w:val="center"/>
          </w:tcPr>
          <w:p>
            <w:pPr>
              <w:pStyle w:val="TableContents"/>
              <w:bidi w:val="0"/>
              <w:spacing w:lineRule="atLeast" w:line="142"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 JOE COMPANY</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c>
          <w:tcPr>
            <w:tcW w:w="5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Jorge L. Gonzalez</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Jorge L. Gonzalez</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Chairman of the Board</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tc>
        <w:tc>
          <w:tcPr>
            <w:tcW w:w="5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Marek Bakun</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Marek Bakun</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200"/>
        <w:ind w:left="0" w:right="0" w:hanging="0"/>
        <w:jc w:val="right"/>
        <w:rPr>
          <w:rFonts w:ascii="Times New Roman;Times;serif" w:hAnsi="Times New Roman;Times;serif"/>
          <w:b/>
          <w:sz w:val="20"/>
        </w:rPr>
      </w:pPr>
      <w:bookmarkStart w:id="2823" w:name="joe-20260630xex31d1.htm"/>
      <w:bookmarkStart w:id="2824" w:name="ksjoe20260630xex31d1"/>
      <w:bookmarkEnd w:id="2823"/>
      <w:bookmarkEnd w:id="2824"/>
      <w:r>
        <w:rPr>
          <w:rFonts w:ascii="Times New Roman;Times;serif" w:hAnsi="Times New Roman;Times;serif"/>
          <w:b/>
          <w:sz w:val="20"/>
        </w:rPr>
        <w:t>Exhibit 31.1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Jorge L. Gonzalez, certify that:</w:t>
      </w:r>
    </w:p>
    <w:tbl>
      <w:tblPr>
        <w:tblW w:w="9295" w:type="dxa"/>
        <w:jc w:val="left"/>
        <w:tblInd w:w="0" w:type="dxa"/>
        <w:tblLayout w:type="fixed"/>
        <w:tblCellMar>
          <w:top w:w="0" w:type="dxa"/>
          <w:left w:w="0" w:type="dxa"/>
          <w:bottom w:w="0" w:type="dxa"/>
          <w:right w:w="0" w:type="dxa"/>
        </w:tblCellMar>
      </w:tblPr>
      <w:tblGrid>
        <w:gridCol w:w="170"/>
        <w:gridCol w:w="9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2026 of The St. Joe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29, 2026</w:t>
      </w:r>
    </w:p>
    <w:tbl>
      <w:tblPr>
        <w:tblW w:w="5345" w:type="dxa"/>
        <w:jc w:val="center"/>
        <w:tblInd w:w="0" w:type="dxa"/>
        <w:tblLayout w:type="fixed"/>
        <w:tblCellMar>
          <w:top w:w="0" w:type="dxa"/>
          <w:left w:w="0" w:type="dxa"/>
          <w:bottom w:w="0" w:type="dxa"/>
          <w:right w:w="0" w:type="dxa"/>
        </w:tblCellMar>
      </w:tblPr>
      <w:tblGrid>
        <w:gridCol w:w="124"/>
        <w:gridCol w:w="5221"/>
      </w:tblGrid>
      <w:tr>
        <w:trPr/>
        <w:tc>
          <w:tcPr>
            <w:tcW w:w="124"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Jorge L. Gonzalez</w:t>
            </w:r>
          </w:p>
        </w:tc>
      </w:tr>
      <w:tr>
        <w:trPr/>
        <w:tc>
          <w:tcPr>
            <w:tcW w:w="124" w:type="dxa"/>
            <w:tcBorders/>
            <w:vAlign w:val="center"/>
          </w:tcPr>
          <w:p>
            <w:pPr>
              <w:pStyle w:val="TableContents"/>
              <w:bidi w:val="0"/>
              <w:spacing w:before="0" w:after="0"/>
              <w:ind w:left="0" w:right="0" w:hanging="0"/>
              <w:jc w:val="left"/>
              <w:rPr/>
            </w:pPr>
            <w:r>
              <w:rPr/>
              <w:t>​</w:t>
            </w:r>
          </w:p>
        </w:tc>
        <w:tc>
          <w:tcPr>
            <w:tcW w:w="52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Jorge L. Gonzalez</w:t>
            </w:r>
          </w:p>
        </w:tc>
      </w:tr>
      <w:tr>
        <w:trPr/>
        <w:tc>
          <w:tcPr>
            <w:tcW w:w="124"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Chairman of the Board</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825" w:name="joe-20260630xex31d2.htm"/>
      <w:bookmarkStart w:id="2826" w:name="ksjoe20260630xex31d2"/>
      <w:bookmarkEnd w:id="2825"/>
      <w:bookmarkEnd w:id="2826"/>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Marek Bakun, certify that:</w:t>
      </w:r>
    </w:p>
    <w:tbl>
      <w:tblPr>
        <w:tblW w:w="9295" w:type="dxa"/>
        <w:jc w:val="left"/>
        <w:tblInd w:w="0" w:type="dxa"/>
        <w:tblLayout w:type="fixed"/>
        <w:tblCellMar>
          <w:top w:w="0" w:type="dxa"/>
          <w:left w:w="0" w:type="dxa"/>
          <w:bottom w:w="0" w:type="dxa"/>
          <w:right w:w="0" w:type="dxa"/>
        </w:tblCellMar>
      </w:tblPr>
      <w:tblGrid>
        <w:gridCol w:w="170"/>
        <w:gridCol w:w="9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2026 of The St. Joe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29, 2026</w:t>
      </w:r>
    </w:p>
    <w:tbl>
      <w:tblPr>
        <w:tblW w:w="4625" w:type="dxa"/>
        <w:jc w:val="center"/>
        <w:tblInd w:w="0" w:type="dxa"/>
        <w:tblLayout w:type="fixed"/>
        <w:tblCellMar>
          <w:top w:w="0" w:type="dxa"/>
          <w:left w:w="0" w:type="dxa"/>
          <w:bottom w:w="0" w:type="dxa"/>
          <w:right w:w="0" w:type="dxa"/>
        </w:tblCellMar>
      </w:tblPr>
      <w:tblGrid>
        <w:gridCol w:w="124"/>
        <w:gridCol w:w="4501"/>
      </w:tblGrid>
      <w:tr>
        <w:trPr/>
        <w:tc>
          <w:tcPr>
            <w:tcW w:w="124" w:type="dxa"/>
            <w:tcBorders/>
            <w:vAlign w:val="center"/>
          </w:tcPr>
          <w:p>
            <w:pPr>
              <w:pStyle w:val="TableContents"/>
              <w:bidi w:val="0"/>
              <w:spacing w:before="0" w:after="0"/>
              <w:ind w:left="0" w:right="0" w:hanging="0"/>
              <w:jc w:val="left"/>
              <w:rPr/>
            </w:pPr>
            <w:r>
              <w:rPr/>
              <w:t>​</w:t>
            </w:r>
          </w:p>
        </w:tc>
        <w:tc>
          <w:tcPr>
            <w:tcW w:w="4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Marek Bakun</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Marek Bakun</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827" w:name="joe-20260630xex32d1.htm"/>
      <w:bookmarkStart w:id="2828" w:name="ksjoe20260630xex32d1"/>
      <w:bookmarkEnd w:id="2827"/>
      <w:bookmarkEnd w:id="2828"/>
      <w:r>
        <w:rPr>
          <w:rFonts w:ascii="Times New Roman;Times;serif" w:hAnsi="Times New Roman;Times;serif"/>
          <w:b/>
          <w:sz w:val="20"/>
        </w:rPr>
        <w:t>Exhibit 32.1</w:t>
      </w:r>
      <w:r>
        <w:br w:type="page"/>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18 USC §1350, the undersigned officer of The St. Joe Company (the “Company”) hereby certifies that the Company’s Quarterly Report on Form 10-Q for the period ended June 30, 2026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tbl>
      <w:tblPr>
        <w:tblW w:w="5507" w:type="dxa"/>
        <w:jc w:val="center"/>
        <w:tblInd w:w="0" w:type="dxa"/>
        <w:tblLayout w:type="fixed"/>
        <w:tblCellMar>
          <w:top w:w="0" w:type="dxa"/>
          <w:left w:w="0" w:type="dxa"/>
          <w:bottom w:w="0" w:type="dxa"/>
          <w:right w:w="0" w:type="dxa"/>
        </w:tblCellMar>
      </w:tblPr>
      <w:tblGrid>
        <w:gridCol w:w="286"/>
        <w:gridCol w:w="5221"/>
      </w:tblGrid>
      <w:tr>
        <w:trPr/>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w:t>
            </w:r>
          </w:p>
        </w:tc>
        <w:tc>
          <w:tcPr>
            <w:tcW w:w="5221" w:type="dxa"/>
            <w:tcBorders/>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5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Jorge L. Gonzalez</w:t>
            </w:r>
          </w:p>
        </w:tc>
      </w:tr>
      <w:tr>
        <w:trPr/>
        <w:tc>
          <w:tcPr>
            <w:tcW w:w="286" w:type="dxa"/>
            <w:tcBorders/>
            <w:vAlign w:val="center"/>
          </w:tcPr>
          <w:p>
            <w:pPr>
              <w:pStyle w:val="TableContents"/>
              <w:bidi w:val="0"/>
              <w:spacing w:before="0" w:after="0"/>
              <w:ind w:left="0" w:right="0" w:hanging="0"/>
              <w:jc w:val="left"/>
              <w:rPr/>
            </w:pPr>
            <w:r>
              <w:rPr/>
              <w:t>​</w:t>
            </w:r>
          </w:p>
        </w:tc>
        <w:tc>
          <w:tcPr>
            <w:tcW w:w="52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Jorge L. Gonzalez </w:t>
            </w:r>
          </w:p>
        </w:tc>
      </w:tr>
      <w:tr>
        <w:trPr/>
        <w:tc>
          <w:tcPr>
            <w:tcW w:w="286"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Chairman of the Board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Dated: July 29,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829" w:name="joe-20260630xex32d2.htm"/>
      <w:bookmarkStart w:id="2830" w:name="ksjoe20260630xex32d2"/>
      <w:bookmarkEnd w:id="2829"/>
      <w:bookmarkEnd w:id="2830"/>
      <w:r>
        <w:rPr>
          <w:rFonts w:ascii="Times New Roman;Times;serif" w:hAnsi="Times New Roman;Times;serif"/>
          <w:b/>
          <w:sz w:val="20"/>
        </w:rPr>
        <w:t>Exhibit 32.2</w:t>
      </w:r>
      <w:r>
        <w:br w:type="page"/>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18 USC §1350, the undersigned officer of The St. Joe Company (the “Company”) hereby certifies that the Company’s Quarterly Report on Form 10-Q for the period ended June 30, 2026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tbl>
      <w:tblPr>
        <w:tblW w:w="4625" w:type="dxa"/>
        <w:jc w:val="center"/>
        <w:tblInd w:w="0" w:type="dxa"/>
        <w:tblLayout w:type="fixed"/>
        <w:tblCellMar>
          <w:top w:w="0" w:type="dxa"/>
          <w:left w:w="0" w:type="dxa"/>
          <w:bottom w:w="0" w:type="dxa"/>
          <w:right w:w="0" w:type="dxa"/>
        </w:tblCellMar>
      </w:tblPr>
      <w:tblGrid>
        <w:gridCol w:w="124"/>
        <w:gridCol w:w="4501"/>
      </w:tblGrid>
      <w:tr>
        <w:trPr/>
        <w:tc>
          <w:tcPr>
            <w:tcW w:w="124" w:type="dxa"/>
            <w:tcBorders/>
            <w:vAlign w:val="center"/>
          </w:tcPr>
          <w:p>
            <w:pPr>
              <w:pStyle w:val="TableContents"/>
              <w:bidi w:val="0"/>
              <w:spacing w:before="0" w:after="0"/>
              <w:ind w:left="0" w:right="0" w:hanging="0"/>
              <w:jc w:val="left"/>
              <w:rPr/>
            </w:pPr>
            <w:r>
              <w:rPr/>
              <w:t>​</w:t>
            </w:r>
          </w:p>
        </w:tc>
        <w:tc>
          <w:tcPr>
            <w:tcW w:w="4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Marek Bakun</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Marek Bakun</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Dated: July 29,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 w:name="TimesNewRomanPS-ItalicMT">
    <w:charset w:val="01"/>
    <w:family w:val="auto"/>
    <w:pitch w:val="default"/>
  </w:font>
  <w:font w:name="inherit">
    <w:charset w:val="01"/>
    <w:family w:val="auto"/>
    <w:pitch w:val="default"/>
  </w:font>
  <w:font w:name="Symbol">
    <w:charset w:val="02"/>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45308/000095012310072999/b81443exv3w1.htm" TargetMode="External"/><Relationship Id="rId3" Type="http://schemas.openxmlformats.org/officeDocument/2006/relationships/hyperlink" Target="https://www.sec.gov/Archives/edgar/data/745308/000115752322001657/a52973098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41995</Words>
  <Characters>221586</Characters>
  <CharactersWithSpaces>269012</CharactersWithSpaces>
  <Paragraphs>16039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