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joe-20251231x10k.htm"/>
        <w:bookmarkStart w:id="1" w:name="ksjoe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7f5df184_d508_4b76_92ef_c9dea69c97e1"/>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TextBody"/>
        <w:bidi w:val="0"/>
        <w:spacing w:before="0" w:after="6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kH03qNLH0kmXtP37IHBosQ_1_1"/>
      <w:bookmarkStart w:id="4" w:name="_39d86616_cccd_45cc_9430_b6b7b286841e"/>
      <w:bookmarkStart w:id="5" w:name="Tc_kH03qNLH0kmXtP37IHBosQ_1_1"/>
      <w:bookmarkStart w:id="6" w:name="_39d86616_cccd_45cc_9430_b6b7b286841e"/>
      <w:bookmarkEnd w:id="5"/>
      <w:bookmarkEnd w:id="6"/>
    </w:p>
    <w:tbl>
      <w:tblPr>
        <w:tblW w:w="9377" w:type="dxa"/>
        <w:jc w:val="left"/>
        <w:tblInd w:w="0" w:type="dxa"/>
        <w:tblLayout w:type="fixed"/>
        <w:tblCellMar>
          <w:top w:w="0" w:type="dxa"/>
          <w:left w:w="0" w:type="dxa"/>
          <w:bottom w:w="0" w:type="dxa"/>
          <w:right w:w="0" w:type="dxa"/>
        </w:tblCellMar>
      </w:tblPr>
      <w:tblGrid>
        <w:gridCol w:w="331"/>
        <w:gridCol w:w="9046"/>
      </w:tblGrid>
      <w:tr>
        <w:trPr/>
        <w:tc>
          <w:tcPr>
            <w:tcW w:w="331" w:type="dxa"/>
            <w:tcBorders/>
            <w:vAlign w:val="center"/>
          </w:tcPr>
          <w:p>
            <w:pPr>
              <w:pStyle w:val="TableContents"/>
              <w:bidi w:val="0"/>
              <w:spacing w:before="0" w:after="0"/>
              <w:ind w:left="0" w:right="0" w:hanging="0"/>
              <w:jc w:val="left"/>
              <w:rPr/>
            </w:pPr>
            <w:r>
              <w:rPr/>
              <w:t>​</w:t>
            </w:r>
          </w:p>
        </w:tc>
        <w:tc>
          <w:tcPr>
            <w:tcW w:w="904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left"/>
              <w:rPr/>
            </w:pPr>
            <w:r>
              <w:rPr/>
              <w:t>☒</w:t>
            </w:r>
          </w:p>
        </w:tc>
        <w:tc>
          <w:tcPr>
            <w:tcW w:w="9046"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Normal"/>
        <w:bidi w:val="0"/>
        <w:spacing w:before="0" w:after="0"/>
        <w:jc w:val="left"/>
        <w:rPr>
          <w:sz w:val="4"/>
          <w:szCs w:val="4"/>
        </w:rPr>
      </w:pPr>
      <w:r>
        <w:rPr>
          <w:sz w:val="4"/>
          <w:szCs w:val="4"/>
        </w:rPr>
      </w:r>
      <w:bookmarkStart w:id="7" w:name="Tc_iAzVrLwFpUOjkNGs_UG-rg_1_1"/>
      <w:bookmarkStart w:id="8" w:name="_a6cc4e9a_3ffc_4f16_b775_3088c45e99b4"/>
      <w:bookmarkStart w:id="9" w:name="Tc_iAzVrLwFpUOjkNGs_UG-rg_1_1"/>
      <w:bookmarkStart w:id="10" w:name="_a6cc4e9a_3ffc_4f16_b775_3088c45e99b4"/>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9421"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Commission file number: 1-10466</w:t>
      </w:r>
    </w:p>
    <w:p>
      <w:pPr>
        <w:pStyle w:val="TextBody"/>
        <w:bidi w:val="0"/>
        <w:spacing w:before="0" w:after="60"/>
        <w:ind w:left="0" w:right="0" w:hanging="0"/>
        <w:jc w:val="center"/>
        <w:rPr>
          <w:rFonts w:ascii="Times New Roman;Times;serif" w:hAnsi="Times New Roman;Times;serif"/>
          <w:b/>
          <w:sz w:val="28"/>
        </w:rPr>
      </w:pPr>
      <w:r>
        <w:rPr>
          <w:rFonts w:ascii="Times New Roman;Times;serif" w:hAnsi="Times New Roman;Times;serif"/>
          <w:b/>
          <w:sz w:val="28"/>
        </w:rPr>
        <w:t>The St. Joe Company</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Normal"/>
        <w:bidi w:val="0"/>
        <w:spacing w:before="0" w:after="0"/>
        <w:jc w:val="left"/>
        <w:rPr>
          <w:sz w:val="4"/>
          <w:szCs w:val="4"/>
        </w:rPr>
      </w:pPr>
      <w:r>
        <w:rPr>
          <w:sz w:val="4"/>
          <w:szCs w:val="4"/>
        </w:rPr>
      </w:r>
      <w:bookmarkStart w:id="11" w:name="Tc_fwl2FCKUnUqBHa3BcSeJ4Q_4_2"/>
      <w:bookmarkStart w:id="12" w:name="Tc_4MOZhbMuekO4EVPb0Eig7w_4_0"/>
      <w:bookmarkStart w:id="13" w:name="Tc_a_c2aUVqT0iLQSi-LuuRpg_3_0"/>
      <w:bookmarkStart w:id="14" w:name="Tc_GLXrUjGIX0mFCyxV1q3hrA_1_2"/>
      <w:bookmarkStart w:id="15" w:name="Tc_F_v8-WOZdk682CG33lJyKg_1_0"/>
      <w:bookmarkStart w:id="16" w:name="_7f32bd61_9a3c_48dc_a797_a6f511c735a5"/>
      <w:bookmarkStart w:id="17" w:name="Tc_fwl2FCKUnUqBHa3BcSeJ4Q_4_2"/>
      <w:bookmarkStart w:id="18" w:name="Tc_4MOZhbMuekO4EVPb0Eig7w_4_0"/>
      <w:bookmarkStart w:id="19" w:name="Tc_a_c2aUVqT0iLQSi-LuuRpg_3_0"/>
      <w:bookmarkStart w:id="20" w:name="Tc_GLXrUjGIX0mFCyxV1q3hrA_1_2"/>
      <w:bookmarkStart w:id="21" w:name="Tc_F_v8-WOZdk682CG33lJyKg_1_0"/>
      <w:bookmarkStart w:id="22" w:name="_7f32bd61_9a3c_48dc_a797_a6f511c735a5"/>
      <w:bookmarkEnd w:id="17"/>
      <w:bookmarkEnd w:id="18"/>
      <w:bookmarkEnd w:id="19"/>
      <w:bookmarkEnd w:id="20"/>
      <w:bookmarkEnd w:id="21"/>
      <w:bookmarkEnd w:id="22"/>
    </w:p>
    <w:tbl>
      <w:tblPr>
        <w:tblW w:w="4803" w:type="dxa"/>
        <w:jc w:val="left"/>
        <w:tblInd w:w="0" w:type="dxa"/>
        <w:tblLayout w:type="fixed"/>
        <w:tblCellMar>
          <w:top w:w="0" w:type="dxa"/>
          <w:left w:w="0" w:type="dxa"/>
          <w:bottom w:w="0" w:type="dxa"/>
          <w:right w:w="0" w:type="dxa"/>
        </w:tblCellMar>
      </w:tblPr>
      <w:tblGrid>
        <w:gridCol w:w="3211"/>
        <w:gridCol w:w="346"/>
        <w:gridCol w:w="1246"/>
      </w:tblGrid>
      <w:tr>
        <w:trPr/>
        <w:tc>
          <w:tcPr>
            <w:tcW w:w="32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Florida</w:t>
            </w:r>
          </w:p>
        </w:tc>
        <w:tc>
          <w:tcPr>
            <w:tcW w:w="346" w:type="dxa"/>
            <w:tcBorders/>
            <w:vAlign w:val="center"/>
          </w:tcPr>
          <w:p>
            <w:pPr>
              <w:pStyle w:val="TableContents"/>
              <w:bidi w:val="0"/>
              <w:spacing w:before="0" w:after="0"/>
              <w:ind w:left="0" w:right="0" w:hanging="0"/>
              <w:jc w:val="both"/>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59-0432511</w:t>
            </w:r>
          </w:p>
        </w:tc>
      </w:tr>
      <w:tr>
        <w:trPr/>
        <w:tc>
          <w:tcPr>
            <w:tcW w:w="321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346" w:type="dxa"/>
            <w:tcBorders/>
            <w:vAlign w:val="center"/>
          </w:tcPr>
          <w:p>
            <w:pPr>
              <w:pStyle w:val="TableContents"/>
              <w:bidi w:val="0"/>
              <w:spacing w:before="0" w:after="24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r>
        <w:trPr/>
        <w:tc>
          <w:tcPr>
            <w:tcW w:w="4803" w:type="dxa"/>
            <w:gridSpan w:val="3"/>
            <w:tcBorders/>
            <w:vAlign w:val="center"/>
          </w:tcPr>
          <w:p>
            <w:pPr>
              <w:pStyle w:val="TableContents"/>
              <w:bidi w:val="0"/>
              <w:spacing w:before="0" w:after="240"/>
              <w:ind w:left="0" w:right="0" w:hanging="0"/>
              <w:jc w:val="left"/>
              <w:rPr/>
            </w:pPr>
            <w:r>
              <w:rPr/>
              <w:t>​</w:t>
            </w:r>
          </w:p>
        </w:tc>
      </w:tr>
      <w:tr>
        <w:trPr/>
        <w:tc>
          <w:tcPr>
            <w:tcW w:w="32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130 Richard Jackson Boulevard, Suite 200</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Panama City Beach, Florida</w:t>
            </w:r>
          </w:p>
        </w:tc>
        <w:tc>
          <w:tcPr>
            <w:tcW w:w="346" w:type="dxa"/>
            <w:tcBorders/>
            <w:vAlign w:val="center"/>
          </w:tcPr>
          <w:p>
            <w:pPr>
              <w:pStyle w:val="TableContents"/>
              <w:bidi w:val="0"/>
              <w:spacing w:before="0" w:after="24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32407</w:t>
            </w:r>
          </w:p>
        </w:tc>
      </w:tr>
      <w:tr>
        <w:trPr/>
        <w:tc>
          <w:tcPr>
            <w:tcW w:w="321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346" w:type="dxa"/>
            <w:tcBorders/>
            <w:vAlign w:val="center"/>
          </w:tcPr>
          <w:p>
            <w:pPr>
              <w:pStyle w:val="TableContents"/>
              <w:bidi w:val="0"/>
              <w:spacing w:before="0" w:after="24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(850) 231-6400</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Normal"/>
        <w:bidi w:val="0"/>
        <w:spacing w:before="0" w:after="0"/>
        <w:jc w:val="left"/>
        <w:rPr>
          <w:sz w:val="4"/>
          <w:szCs w:val="4"/>
        </w:rPr>
      </w:pPr>
      <w:r>
        <w:rPr>
          <w:sz w:val="4"/>
          <w:szCs w:val="4"/>
        </w:rPr>
      </w:r>
      <w:bookmarkStart w:id="23" w:name="Tc_9E-CFQ2g9UaOLNdHRW5JbQ_2_0"/>
      <w:bookmarkStart w:id="24" w:name="Tc_29avmlfWiEGw54K3G-0yTQ_1_0"/>
      <w:bookmarkStart w:id="25" w:name="Tc_-ETQLDGLF06bogo1Z3EG3g_0_4"/>
      <w:bookmarkStart w:id="26" w:name="Tc_8YeUVs_TnESl_-4rCCnn4w_0_2"/>
      <w:bookmarkStart w:id="27" w:name="Tc_NFHz7wdml0inuvYg5nF3SQ_0_0"/>
      <w:bookmarkStart w:id="28" w:name="_87dd6fcf_d171_45d1_88ad_3ea1460b46bf"/>
      <w:bookmarkStart w:id="29" w:name="Tc_9E-CFQ2g9UaOLNdHRW5JbQ_2_0"/>
      <w:bookmarkStart w:id="30" w:name="Tc_29avmlfWiEGw54K3G-0yTQ_1_0"/>
      <w:bookmarkStart w:id="31" w:name="Tc_-ETQLDGLF06bogo1Z3EG3g_0_4"/>
      <w:bookmarkStart w:id="32" w:name="Tc_8YeUVs_TnESl_-4rCCnn4w_0_2"/>
      <w:bookmarkStart w:id="33" w:name="Tc_NFHz7wdml0inuvYg5nF3SQ_0_0"/>
      <w:bookmarkStart w:id="34" w:name="_87dd6fcf_d171_45d1_88ad_3ea1460b46bf"/>
      <w:bookmarkEnd w:id="29"/>
      <w:bookmarkEnd w:id="30"/>
      <w:bookmarkEnd w:id="31"/>
      <w:bookmarkEnd w:id="32"/>
      <w:bookmarkEnd w:id="33"/>
      <w:bookmarkEnd w:id="34"/>
    </w:p>
    <w:tbl>
      <w:tblPr>
        <w:tblW w:w="7106" w:type="dxa"/>
        <w:jc w:val="left"/>
        <w:tblInd w:w="0" w:type="dxa"/>
        <w:tblLayout w:type="fixed"/>
        <w:tblCellMar>
          <w:top w:w="0" w:type="dxa"/>
          <w:left w:w="0" w:type="dxa"/>
          <w:bottom w:w="28" w:type="dxa"/>
          <w:right w:w="0" w:type="dxa"/>
        </w:tblCellMar>
      </w:tblPr>
      <w:tblGrid>
        <w:gridCol w:w="2371"/>
        <w:gridCol w:w="109"/>
        <w:gridCol w:w="1456"/>
        <w:gridCol w:w="109"/>
        <w:gridCol w:w="3061"/>
      </w:tblGrid>
      <w:tr>
        <w:trPr/>
        <w:tc>
          <w:tcPr>
            <w:tcW w:w="23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tcMar>
              <w:bottom w:w="0" w:type="dxa"/>
            </w:tcMar>
            <w:vAlign w:val="center"/>
          </w:tcPr>
          <w:p>
            <w:pPr>
              <w:pStyle w:val="TableContents"/>
              <w:bidi w:val="0"/>
              <w:spacing w:before="0" w:after="240"/>
              <w:ind w:left="0" w:right="0" w:hanging="0"/>
              <w:jc w:val="left"/>
              <w:rPr/>
            </w:pPr>
            <w:r>
              <w:rPr/>
              <w:t>​</w:t>
            </w:r>
          </w:p>
        </w:tc>
        <w:tc>
          <w:tcPr>
            <w:tcW w:w="14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bottom w:val="single" w:sz="2" w:space="0" w:color="000000"/>
            </w:tcBorders>
            <w:vAlign w:val="center"/>
          </w:tcPr>
          <w:p>
            <w:pPr>
              <w:pStyle w:val="TableContents"/>
              <w:bidi w:val="0"/>
              <w:spacing w:before="0" w:after="240"/>
              <w:ind w:left="0" w:right="0" w:hanging="0"/>
              <w:jc w:val="left"/>
              <w:rPr/>
            </w:pPr>
            <w:r>
              <w:rPr/>
              <w:t>​</w:t>
            </w:r>
          </w:p>
        </w:tc>
        <w:tc>
          <w:tcPr>
            <w:tcW w:w="30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2371" w:type="dxa"/>
            <w:tcBorders>
              <w:top w:val="single" w:sz="2" w:space="0" w:color="000000"/>
              <w:bottom w:val="single" w:sz="2"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Common Stock, no par value</w:t>
            </w:r>
          </w:p>
        </w:tc>
        <w:tc>
          <w:tcPr>
            <w:tcW w:w="109" w:type="dxa"/>
            <w:tcBorders/>
            <w:tcMar>
              <w:bottom w:w="0" w:type="dxa"/>
            </w:tcMar>
            <w:vAlign w:val="center"/>
          </w:tcPr>
          <w:p>
            <w:pPr>
              <w:pStyle w:val="TableContents"/>
              <w:bidi w:val="0"/>
              <w:spacing w:before="0" w:after="240"/>
              <w:ind w:left="0" w:right="0" w:hanging="0"/>
              <w:jc w:val="center"/>
              <w:rPr/>
            </w:pPr>
            <w:r>
              <w:rPr/>
              <w:t>​</w:t>
            </w:r>
          </w:p>
        </w:tc>
        <w:tc>
          <w:tcPr>
            <w:tcW w:w="1456" w:type="dxa"/>
            <w:tcBorders>
              <w:top w:val="single" w:sz="2" w:space="0" w:color="000000"/>
              <w:bottom w:val="single" w:sz="2"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JOE</w:t>
            </w:r>
          </w:p>
        </w:tc>
        <w:tc>
          <w:tcPr>
            <w:tcW w:w="109" w:type="dxa"/>
            <w:tcBorders>
              <w:bottom w:val="single" w:sz="2" w:space="0" w:color="000000"/>
            </w:tcBorders>
            <w:vAlign w:val="center"/>
          </w:tcPr>
          <w:p>
            <w:pPr>
              <w:pStyle w:val="TableContents"/>
              <w:bidi w:val="0"/>
              <w:spacing w:before="0" w:after="240"/>
              <w:ind w:left="0" w:right="0" w:hanging="0"/>
              <w:jc w:val="left"/>
              <w:rPr/>
            </w:pPr>
            <w:r>
              <w:rPr/>
              <w:t>​</w:t>
            </w:r>
          </w:p>
        </w:tc>
        <w:tc>
          <w:tcPr>
            <w:tcW w:w="3061" w:type="dxa"/>
            <w:tcBorders>
              <w:top w:val="single" w:sz="2" w:space="0" w:color="000000"/>
              <w:bottom w:val="single" w:sz="2"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New York Stock Exchange</w:t>
            </w:r>
          </w:p>
        </w:tc>
      </w:tr>
      <w:tr>
        <w:trPr/>
        <w:tc>
          <w:tcPr>
            <w:tcW w:w="7106" w:type="dxa"/>
            <w:gridSpan w:val="5"/>
            <w:tcBorders>
              <w:top w:val="single" w:sz="2" w:space="0" w:color="000000"/>
            </w:tcBorders>
            <w:tcMar>
              <w:top w:w="28" w:type="dxa"/>
              <w:bottom w:w="0" w:type="dxa"/>
            </w:tcMar>
            <w:vAlign w:val="center"/>
          </w:tcPr>
          <w:p>
            <w:pPr>
              <w:pStyle w:val="TableContents"/>
              <w:bidi w:val="0"/>
              <w:spacing w:before="120" w:after="4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12(g) of the Act: NONE</w:t>
            </w:r>
          </w:p>
        </w:tc>
      </w:tr>
    </w:tbl>
    <w:p>
      <w:pPr>
        <w:pStyle w:val="TextBody"/>
        <w:bidi w:val="0"/>
        <w:spacing w:before="0" w:after="0"/>
        <w:ind w:left="0" w:right="0" w:hanging="0"/>
        <w:jc w:val="left"/>
        <w:rPr/>
      </w:pPr>
      <w:r>
        <w:rPr/>
        <w:t>​</w:t>
      </w:r>
    </w:p>
    <w:p>
      <w:pPr>
        <w:pStyle w:val="TextBody"/>
        <w:bidi w:val="0"/>
        <w:spacing w:before="0" w:after="6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whether the registrant is a well-known seasoned issuer, as defined in Rule 405 of the Securities Act. </w:t>
      </w:r>
      <w:r>
        <w:rPr>
          <w:rFonts w:ascii="Times New Roman;Times;serif" w:hAnsi="Times New Roman;Times;serif"/>
          <w:b w:val="false"/>
          <w:i w:val="false"/>
          <w:caps w:val="false"/>
          <w:smallCaps w:val="false"/>
          <w:sz w:val="16"/>
        </w:rPr>
        <w:t>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firstLine="36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b w:val="false"/>
          <w:i w:val="false"/>
          <w:caps w:val="false"/>
          <w:smallCaps w:val="false"/>
          <w:sz w:val="16"/>
        </w:rPr>
        <w:t>NO</w:t>
      </w:r>
      <w:r>
        <w:rPr>
          <w:rFonts w:ascii="Times New Roman;Times;serif" w:hAnsi="Times New Roman;Times;serif"/>
          <w:sz w:val="20"/>
        </w:rPr>
        <w:t> ☑</w:t>
      </w:r>
    </w:p>
    <w:p>
      <w:pPr>
        <w:pStyle w:val="TextBody"/>
        <w:bidi w:val="0"/>
        <w:spacing w:before="0" w:after="6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16"/>
        </w:rPr>
        <w:t>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serif" w:hAnsi="Times New Roman;Times;serif"/>
          <w:b w:val="false"/>
          <w:i w:val="false"/>
          <w:caps w:val="false"/>
          <w:smallCaps w:val="false"/>
          <w:sz w:val="16"/>
        </w:rPr>
        <w:t>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20"/>
        <w:ind w:left="0" w:right="0" w:firstLine="36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35" w:name="Tc_My7oBlG70UWVQ3fretLFfA_3_2"/>
      <w:bookmarkStart w:id="36" w:name="Tc_8KP3B2T90Eeqowe8ty390w_2_2"/>
      <w:bookmarkStart w:id="37" w:name="Tc_I6NCvWdTZUORgd56oWJZ2A_2_1"/>
      <w:bookmarkStart w:id="38" w:name="Tc_LSYkzJgNX0ifqabOY1P6Jg_2_0"/>
      <w:bookmarkStart w:id="39" w:name="Tc_b6MDXOGfYkOP3Xmpg-bF0w_1_3"/>
      <w:bookmarkStart w:id="40" w:name="Tc_jZq7bhMLgk-Mkyp08kwiEg_1_2"/>
      <w:bookmarkStart w:id="41" w:name="Tc_RFfg4Ok7hkyNjGu90QHtWA_1_1"/>
      <w:bookmarkStart w:id="42" w:name="_e8bf7941_3a3f_4e72_8d4b_1e4d79cfff2c"/>
      <w:bookmarkStart w:id="43" w:name="Tc_My7oBlG70UWVQ3fretLFfA_3_2"/>
      <w:bookmarkStart w:id="44" w:name="Tc_8KP3B2T90Eeqowe8ty390w_2_2"/>
      <w:bookmarkStart w:id="45" w:name="Tc_I6NCvWdTZUORgd56oWJZ2A_2_1"/>
      <w:bookmarkStart w:id="46" w:name="Tc_LSYkzJgNX0ifqabOY1P6Jg_2_0"/>
      <w:bookmarkStart w:id="47" w:name="Tc_b6MDXOGfYkOP3Xmpg-bF0w_1_3"/>
      <w:bookmarkStart w:id="48" w:name="Tc_jZq7bhMLgk-Mkyp08kwiEg_1_2"/>
      <w:bookmarkStart w:id="49" w:name="Tc_RFfg4Ok7hkyNjGu90QHtWA_1_1"/>
      <w:bookmarkStart w:id="50" w:name="_e8bf7941_3a3f_4e72_8d4b_1e4d79cfff2c"/>
      <w:bookmarkEnd w:id="43"/>
      <w:bookmarkEnd w:id="44"/>
      <w:bookmarkEnd w:id="45"/>
      <w:bookmarkEnd w:id="46"/>
      <w:bookmarkEnd w:id="47"/>
      <w:bookmarkEnd w:id="48"/>
      <w:bookmarkEnd w:id="49"/>
      <w:bookmarkEnd w:id="50"/>
    </w:p>
    <w:tbl>
      <w:tblPr>
        <w:tblW w:w="4429" w:type="dxa"/>
        <w:jc w:val="left"/>
        <w:tblInd w:w="0" w:type="dxa"/>
        <w:tblLayout w:type="fixed"/>
        <w:tblCellMar>
          <w:top w:w="0" w:type="dxa"/>
          <w:left w:w="0" w:type="dxa"/>
          <w:bottom w:w="0" w:type="dxa"/>
          <w:right w:w="0" w:type="dxa"/>
        </w:tblCellMar>
      </w:tblPr>
      <w:tblGrid>
        <w:gridCol w:w="1666"/>
        <w:gridCol w:w="316"/>
        <w:gridCol w:w="208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57910" cy="175260"/>
                      <wp:effectExtent l="0" t="0" r="0" b="0"/>
                      <wp:wrapNone/>
                      <wp:docPr id="1" name="Frame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24610" cy="175260"/>
                      <wp:effectExtent l="0" t="0" r="0" b="0"/>
                      <wp:wrapNone/>
                      <wp:docPr id="3" name="Frame3"/>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4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40"/>
              <w:ind w:left="0" w:right="0" w:hanging="0"/>
              <w:jc w:val="left"/>
              <w:rPr/>
            </w:pPr>
            <w:r>
              <w:rPr/>
              <w:t>☑</w:t>
            </w:r>
          </w:p>
        </w:tc>
        <w:tc>
          <w:tcPr>
            <w:tcW w:w="2086" w:type="dxa"/>
            <w:tcBorders/>
            <w:vAlign w:val="center"/>
          </w:tcPr>
          <w:p>
            <w:pPr>
              <w:pStyle w:val="TableContents"/>
              <w:bidi w:val="0"/>
              <w:spacing w:before="0" w:after="4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40"/>
              <w:ind w:left="0" w:right="0" w:hanging="0"/>
              <w:jc w:val="right"/>
              <w:rPr/>
            </w:pPr>
            <w:r>
              <w:rPr/>
              <w:t>☐</w:t>
            </w:r>
          </w:p>
        </w:tc>
      </w:tr>
      <w:tr>
        <w:trPr/>
        <w:tc>
          <w:tcPr>
            <w:tcW w:w="1666" w:type="dxa"/>
            <w:tcBorders/>
            <w:vAlign w:val="center"/>
          </w:tcPr>
          <w:p>
            <w:pPr>
              <w:pStyle w:val="TableContents"/>
              <w:bidi w:val="0"/>
              <w:spacing w:before="0" w:after="4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40"/>
              <w:ind w:left="0" w:right="0" w:hanging="0"/>
              <w:jc w:val="left"/>
              <w:rPr/>
            </w:pPr>
            <w:r>
              <w:rPr/>
              <w:t>☐</w:t>
            </w:r>
          </w:p>
        </w:tc>
        <w:tc>
          <w:tcPr>
            <w:tcW w:w="2086" w:type="dxa"/>
            <w:tcBorders/>
            <w:vAlign w:val="center"/>
          </w:tcPr>
          <w:p>
            <w:pPr>
              <w:pStyle w:val="TableContents"/>
              <w:bidi w:val="0"/>
              <w:spacing w:before="0" w:after="4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right"/>
              <w:rPr/>
            </w:pPr>
            <w:r>
              <w:rPr/>
              <w:t>☐</w:t>
            </w:r>
          </w:p>
        </w:tc>
      </w:tr>
      <w:tr>
        <w:trPr/>
        <w:tc>
          <w:tcPr>
            <w:tcW w:w="166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4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60"/>
        <w:ind w:left="0" w:right="0" w:firstLine="36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6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firstLine="360"/>
        <w:jc w:val="left"/>
        <w:rPr>
          <w:rFonts w:ascii="Times New Roman;Times;serif" w:hAnsi="Times New Roman;Times;serif"/>
          <w:sz w:val="16"/>
        </w:rPr>
      </w:pPr>
      <w:r>
        <w:rPr>
          <w:rFonts w:ascii="Times New Roman;Times;serif" w:hAnsi="Times New Roman;Times;serif"/>
          <w:sz w:val="16"/>
        </w:rPr>
        <w:t>The aggregate market value of the registrant’s Common Stock held by non-affiliates based on the closing price on June 30, 2025 was approximately $1.8 billion.</w:t>
      </w:r>
    </w:p>
    <w:p>
      <w:pPr>
        <w:pStyle w:val="TextBody"/>
        <w:bidi w:val="0"/>
        <w:spacing w:before="0" w:after="60"/>
        <w:ind w:left="0" w:right="0" w:firstLine="360"/>
        <w:jc w:val="left"/>
        <w:rPr>
          <w:rFonts w:ascii="Times New Roman;Times;serif" w:hAnsi="Times New Roman;Times;serif"/>
          <w:sz w:val="16"/>
        </w:rPr>
      </w:pPr>
      <w:r>
        <w:rPr>
          <w:rFonts w:ascii="Times New Roman;Times;serif" w:hAnsi="Times New Roman;Times;serif"/>
          <w:sz w:val="16"/>
        </w:rPr>
        <w:t>As of February 23, 2026, there were 57,547,307 shares of common stock, no par value, issued of which 57,544,391 were outstanding.</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Portions of the Registrant’s definitive proxy statement for its 2026 Annual Meeting of Shareholders, which proxy statement will be filed no later than 120 days after the close of the Registrant’s fiscal year ended December 31, 2025, are hereby incorporated by reference in Part III of this Annual Report on Form 10-K.</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 w:name="_739b0cff_5da6_4ae9_bb86_0b52c011faa3"/>
      <w:bookmarkEnd w:id="51"/>
      <w:r>
        <w:rPr>
          <w:rFonts w:ascii="Times New Roman;Times;serif" w:hAnsi="Times New Roman;Times;serif"/>
          <w:b/>
          <w:sz w:val="20"/>
        </w:rPr>
        <w:t>THE ST. JOE COMPANY</w:t>
      </w:r>
    </w:p>
    <w:p>
      <w:pPr>
        <w:pStyle w:val="TextBody"/>
        <w:bidi w:val="0"/>
        <w:spacing w:before="0" w:after="240"/>
        <w:ind w:left="0" w:right="0" w:hanging="0"/>
        <w:jc w:val="center"/>
        <w:rPr>
          <w:rFonts w:ascii="Times New Roman;Times;serif" w:hAnsi="Times New Roman;Times;serif"/>
          <w:b/>
          <w:sz w:val="20"/>
        </w:rPr>
      </w:pPr>
      <w:bookmarkStart w:id="52" w:name="TOC"/>
      <w:bookmarkEnd w:id="52"/>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394"/>
        <w:gridCol w:w="811"/>
      </w:tblGrid>
      <w:tr>
        <w:trPr/>
        <w:tc>
          <w:tcPr>
            <w:tcW w:w="9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965190" cy="175260"/>
                      <wp:effectExtent l="0" t="0" r="0" b="0"/>
                      <wp:wrapNone/>
                      <wp:docPr id="5" name="Frame5"/>
                      <a:graphic xmlns:a="http://schemas.openxmlformats.org/drawingml/2006/main">
                        <a:graphicData uri="http://schemas.microsoft.com/office/word/2010/wordprocessingShape">
                          <wps:wsp>
                            <wps:cNvSpPr txBox="1"/>
                            <wps:spPr>
                              <a:xfrm>
                                <a:off x="0" y="0"/>
                                <a:ext cx="5965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94" w:type="dxa"/>
            <w:tcBorders/>
            <w:vAlign w:val="center"/>
          </w:tcPr>
          <w:p>
            <w:pPr>
              <w:pStyle w:val="TableContents"/>
              <w:bidi w:val="0"/>
              <w:spacing w:before="0" w:after="40"/>
              <w:ind w:left="0" w:right="0" w:hanging="0"/>
              <w:jc w:val="left"/>
              <w:rPr/>
            </w:pPr>
            <w:r>
              <w:rPr/>
              <w:t>​</w:t>
            </w:r>
          </w:p>
        </w:tc>
        <w:tc>
          <w:tcPr>
            <w:tcW w:w="811" w:type="dxa"/>
            <w:tcBorders>
              <w:bottom w:val="single" w:sz="8" w:space="0" w:color="000000"/>
            </w:tcBorders>
            <w:tcMar>
              <w:bottom w:w="28" w:type="dxa"/>
            </w:tcMar>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Page No.</w:t>
            </w:r>
          </w:p>
        </w:tc>
      </w:tr>
      <w:tr>
        <w:trPr/>
        <w:tc>
          <w:tcPr>
            <w:tcW w:w="9394" w:type="dxa"/>
            <w:tcBorders/>
            <w:vAlign w:val="center"/>
          </w:tcPr>
          <w:p>
            <w:pPr>
              <w:pStyle w:val="TableContents"/>
              <w:bidi w:val="0"/>
              <w:spacing w:before="0" w:after="40"/>
              <w:ind w:left="0" w:right="0" w:hanging="0"/>
              <w:jc w:val="left"/>
              <w:rPr/>
            </w:pPr>
            <w:hyperlink w:anchor="PARTI_798900">
              <w:r>
                <w:rPr>
                  <w:rStyle w:val="InternetLink"/>
                  <w:rFonts w:ascii="Times New Roman;Times;serif" w:hAnsi="Times New Roman;Times;serif"/>
                  <w:b w:val="false"/>
                  <w:i w:val="false"/>
                  <w:caps w:val="false"/>
                  <w:smallCaps w:val="false"/>
                  <w:sz w:val="20"/>
                </w:rPr>
                <w:t>PART I</w:t>
              </w:r>
            </w:hyperlink>
          </w:p>
        </w:tc>
        <w:tc>
          <w:tcPr>
            <w:tcW w:w="811" w:type="dxa"/>
            <w:tcBorders>
              <w:top w:val="single" w:sz="8" w:space="0" w:color="000000"/>
            </w:tcBorders>
            <w:tcMar>
              <w:top w:w="28" w:type="dxa"/>
            </w:tcMar>
            <w:vAlign w:val="center"/>
          </w:tcPr>
          <w:p>
            <w:pPr>
              <w:pStyle w:val="TableContents"/>
              <w:bidi w:val="0"/>
              <w:spacing w:before="0" w:after="40"/>
              <w:ind w:left="0" w:right="0" w:hanging="0"/>
              <w:jc w:val="center"/>
              <w:rPr/>
            </w:pPr>
            <w:r>
              <w:rPr/>
              <w:t>​</w:t>
            </w:r>
          </w:p>
        </w:tc>
      </w:tr>
      <w:tr>
        <w:trPr/>
        <w:tc>
          <w:tcPr>
            <w:tcW w:w="9394" w:type="dxa"/>
            <w:tcBorders/>
            <w:vAlign w:val="center"/>
          </w:tcPr>
          <w:p>
            <w:pPr>
              <w:pStyle w:val="TableContents"/>
              <w:bidi w:val="0"/>
              <w:spacing w:before="0" w:after="40"/>
              <w:ind w:left="0" w:right="0" w:hanging="0"/>
              <w:jc w:val="left"/>
              <w:rPr/>
            </w:pPr>
            <w:hyperlink w:anchor="Item1Business_443580">
              <w:r>
                <w:rPr>
                  <w:rStyle w:val="InternetLink"/>
                  <w:rFonts w:ascii="Times New Roman;Times;serif" w:hAnsi="Times New Roman;Times;serif"/>
                  <w:b w:val="false"/>
                  <w:i w:val="false"/>
                  <w:caps w:val="false"/>
                  <w:smallCaps w:val="false"/>
                  <w:sz w:val="20"/>
                </w:rPr>
                <w:t>Item 1. Business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394" w:type="dxa"/>
            <w:tcBorders/>
            <w:vAlign w:val="center"/>
          </w:tcPr>
          <w:p>
            <w:pPr>
              <w:pStyle w:val="TableContents"/>
              <w:bidi w:val="0"/>
              <w:spacing w:before="0" w:after="40"/>
              <w:ind w:left="0" w:right="0" w:hanging="0"/>
              <w:jc w:val="left"/>
              <w:rPr/>
            </w:pPr>
            <w:hyperlink w:anchor="Item1ARiskFactors_67097">
              <w:r>
                <w:rPr>
                  <w:rStyle w:val="InternetLink"/>
                  <w:rFonts w:ascii="Times New Roman;Times;serif" w:hAnsi="Times New Roman;Times;serif"/>
                  <w:b w:val="false"/>
                  <w:i w:val="false"/>
                  <w:caps w:val="false"/>
                  <w:smallCaps w:val="false"/>
                  <w:sz w:val="20"/>
                </w:rPr>
                <w:t>Item 1A. Risk Factors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394" w:type="dxa"/>
            <w:tcBorders/>
            <w:vAlign w:val="center"/>
          </w:tcPr>
          <w:p>
            <w:pPr>
              <w:pStyle w:val="TableContents"/>
              <w:bidi w:val="0"/>
              <w:spacing w:before="0" w:after="40"/>
              <w:ind w:left="0" w:right="0" w:hanging="0"/>
              <w:jc w:val="left"/>
              <w:rPr/>
            </w:pPr>
            <w:hyperlink w:anchor="Item1BUnresolvedStaffComments_642101">
              <w:r>
                <w:rPr>
                  <w:rStyle w:val="InternetLink"/>
                  <w:rFonts w:ascii="Times New Roman;Times;serif" w:hAnsi="Times New Roman;Times;serif"/>
                  <w:b w:val="false"/>
                  <w:i w:val="false"/>
                  <w:caps w:val="false"/>
                  <w:smallCaps w:val="false"/>
                  <w:sz w:val="20"/>
                </w:rPr>
                <w:t>Item 1B. Unresolved Staff Comments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9394" w:type="dxa"/>
            <w:tcBorders/>
            <w:vAlign w:val="center"/>
          </w:tcPr>
          <w:p>
            <w:pPr>
              <w:pStyle w:val="TableContents"/>
              <w:bidi w:val="0"/>
              <w:spacing w:before="0" w:after="4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 Cybersecurity</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9394" w:type="dxa"/>
            <w:tcBorders/>
            <w:vAlign w:val="center"/>
          </w:tcPr>
          <w:p>
            <w:pPr>
              <w:pStyle w:val="TableContents"/>
              <w:bidi w:val="0"/>
              <w:spacing w:before="0" w:after="40"/>
              <w:ind w:left="0" w:right="0" w:hanging="0"/>
              <w:jc w:val="left"/>
              <w:rPr/>
            </w:pPr>
            <w:hyperlink w:anchor="Item2Properties_208396">
              <w:r>
                <w:rPr>
                  <w:rStyle w:val="InternetLink"/>
                  <w:rFonts w:ascii="Times New Roman;Times;serif" w:hAnsi="Times New Roman;Times;serif"/>
                  <w:b w:val="false"/>
                  <w:i w:val="false"/>
                  <w:caps w:val="false"/>
                  <w:smallCaps w:val="false"/>
                  <w:sz w:val="20"/>
                </w:rPr>
                <w:t>Item 2. Properties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r>
        <w:trPr/>
        <w:tc>
          <w:tcPr>
            <w:tcW w:w="9394" w:type="dxa"/>
            <w:tcBorders/>
            <w:vAlign w:val="center"/>
          </w:tcPr>
          <w:p>
            <w:pPr>
              <w:pStyle w:val="TableContents"/>
              <w:bidi w:val="0"/>
              <w:spacing w:before="0" w:after="40"/>
              <w:ind w:left="0" w:right="0" w:hanging="0"/>
              <w:jc w:val="left"/>
              <w:rPr/>
            </w:pPr>
            <w:hyperlink w:anchor="Item3LegalProceedings_939962">
              <w:r>
                <w:rPr>
                  <w:rStyle w:val="InternetLink"/>
                  <w:rFonts w:ascii="Times New Roman;Times;serif" w:hAnsi="Times New Roman;Times;serif"/>
                  <w:b w:val="false"/>
                  <w:i w:val="false"/>
                  <w:caps w:val="false"/>
                  <w:smallCaps w:val="false"/>
                  <w:sz w:val="20"/>
                </w:rPr>
                <w:t>Item 3. Legal Proceedings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r>
        <w:trPr/>
        <w:tc>
          <w:tcPr>
            <w:tcW w:w="9394" w:type="dxa"/>
            <w:tcBorders/>
            <w:vAlign w:val="center"/>
          </w:tcPr>
          <w:p>
            <w:pPr>
              <w:pStyle w:val="TableContents"/>
              <w:bidi w:val="0"/>
              <w:spacing w:before="0" w:after="40"/>
              <w:ind w:left="0" w:right="0" w:hanging="0"/>
              <w:jc w:val="left"/>
              <w:rPr/>
            </w:pPr>
            <w:hyperlink w:anchor="Item4MineSafetyDisclosures_446924">
              <w:r>
                <w:rPr>
                  <w:rStyle w:val="InternetLink"/>
                  <w:rFonts w:ascii="Times New Roman;Times;serif" w:hAnsi="Times New Roman;Times;serif"/>
                  <w:b w:val="false"/>
                  <w:i w:val="false"/>
                  <w:caps w:val="false"/>
                  <w:smallCaps w:val="false"/>
                  <w:sz w:val="20"/>
                </w:rPr>
                <w:t>Item 4. Mine Safety Disclosures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r>
        <w:trPr/>
        <w:tc>
          <w:tcPr>
            <w:tcW w:w="9394" w:type="dxa"/>
            <w:tcBorders/>
            <w:vAlign w:val="center"/>
          </w:tcPr>
          <w:p>
            <w:pPr>
              <w:pStyle w:val="TableContents"/>
              <w:bidi w:val="0"/>
              <w:spacing w:before="0" w:after="40"/>
              <w:ind w:left="0" w:right="0" w:hanging="0"/>
              <w:jc w:val="left"/>
              <w:rPr/>
            </w:pPr>
            <w:hyperlink w:anchor="PARTII_236767">
              <w:r>
                <w:rPr>
                  <w:rStyle w:val="InternetLink"/>
                  <w:rFonts w:ascii="Times New Roman;Times;serif" w:hAnsi="Times New Roman;Times;serif"/>
                  <w:b w:val="false"/>
                  <w:i w:val="false"/>
                  <w:caps w:val="false"/>
                  <w:smallCaps w:val="false"/>
                  <w:sz w:val="20"/>
                </w:rPr>
                <w:t>PART II</w:t>
              </w:r>
            </w:hyperlink>
          </w:p>
        </w:tc>
        <w:tc>
          <w:tcPr>
            <w:tcW w:w="811" w:type="dxa"/>
            <w:tcBorders/>
            <w:vAlign w:val="center"/>
          </w:tcPr>
          <w:p>
            <w:pPr>
              <w:pStyle w:val="TableContents"/>
              <w:bidi w:val="0"/>
              <w:spacing w:before="0" w:after="40"/>
              <w:ind w:left="0" w:right="0" w:hanging="0"/>
              <w:jc w:val="center"/>
              <w:rPr/>
            </w:pPr>
            <w:r>
              <w:rPr/>
              <w:t>​</w:t>
            </w:r>
          </w:p>
        </w:tc>
      </w:tr>
      <w:tr>
        <w:trPr/>
        <w:tc>
          <w:tcPr>
            <w:tcW w:w="9394" w:type="dxa"/>
            <w:tcBorders/>
            <w:vAlign w:val="center"/>
          </w:tcPr>
          <w:p>
            <w:pPr>
              <w:pStyle w:val="TableContents"/>
              <w:bidi w:val="0"/>
              <w:spacing w:before="0" w:after="40"/>
              <w:ind w:left="0" w:right="0" w:hanging="0"/>
              <w:jc w:val="left"/>
              <w:rPr/>
            </w:pPr>
            <w:hyperlink w:anchor="Item5MarketfortheRegistrantsCommonEquity">
              <w:r>
                <w:rPr>
                  <w:rStyle w:val="InternetLink"/>
                  <w:rFonts w:ascii="Times New Roman;Times;serif" w:hAnsi="Times New Roman;Times;serif"/>
                  <w:b w:val="false"/>
                  <w:i w:val="false"/>
                  <w:caps w:val="false"/>
                  <w:smallCaps w:val="false"/>
                  <w:sz w:val="20"/>
                </w:rPr>
                <w:t>Item 5. Market for the Registrant’s Common Equity, Related Stockholder Matters and Issuer Purchases of Equity Securities</w:t>
              </w:r>
            </w:hyperlink>
          </w:p>
        </w:tc>
        <w:tc>
          <w:tcPr>
            <w:tcW w:w="811"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22</w:t>
            </w:r>
          </w:p>
        </w:tc>
      </w:tr>
      <w:tr>
        <w:trPr/>
        <w:tc>
          <w:tcPr>
            <w:tcW w:w="9394" w:type="dxa"/>
            <w:tcBorders/>
            <w:vAlign w:val="center"/>
          </w:tcPr>
          <w:p>
            <w:pPr>
              <w:pStyle w:val="TableContents"/>
              <w:bidi w:val="0"/>
              <w:spacing w:before="0" w:after="40"/>
              <w:ind w:left="0" w:right="0" w:hanging="0"/>
              <w:jc w:val="left"/>
              <w:rPr/>
            </w:pPr>
            <w:hyperlink w:anchor="_Item_6._">
              <w:r>
                <w:rPr>
                  <w:rStyle w:val="InternetLink"/>
                  <w:rFonts w:ascii="Times New Roman;Times;serif" w:hAnsi="Times New Roman;Times;serif"/>
                  <w:b w:val="false"/>
                  <w:i w:val="false"/>
                  <w:caps w:val="false"/>
                  <w:smallCaps w:val="false"/>
                  <w:sz w:val="20"/>
                </w:rPr>
                <w:t>Item 6. Reserved</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394" w:type="dxa"/>
            <w:tcBorders/>
            <w:vAlign w:val="center"/>
          </w:tcPr>
          <w:p>
            <w:pPr>
              <w:pStyle w:val="TableContents"/>
              <w:bidi w:val="0"/>
              <w:spacing w:before="0" w:after="40"/>
              <w:ind w:left="0" w:right="0" w:hanging="0"/>
              <w:jc w:val="left"/>
              <w:rPr/>
            </w:pPr>
            <w:hyperlink w:anchor="Item7ManagementsDiscussionandAnalysis_34">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394" w:type="dxa"/>
            <w:tcBorders/>
            <w:vAlign w:val="center"/>
          </w:tcPr>
          <w:p>
            <w:pPr>
              <w:pStyle w:val="TableContents"/>
              <w:bidi w:val="0"/>
              <w:spacing w:before="0" w:after="4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9394" w:type="dxa"/>
            <w:tcBorders/>
            <w:vAlign w:val="center"/>
          </w:tcPr>
          <w:p>
            <w:pPr>
              <w:pStyle w:val="TableContents"/>
              <w:bidi w:val="0"/>
              <w:spacing w:before="0" w:after="4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 Financial Statements and Supplementary Data</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9394" w:type="dxa"/>
            <w:tcBorders/>
            <w:vAlign w:val="center"/>
          </w:tcPr>
          <w:p>
            <w:pPr>
              <w:pStyle w:val="TableContents"/>
              <w:bidi w:val="0"/>
              <w:spacing w:before="0" w:after="40"/>
              <w:ind w:left="0" w:right="0" w:hanging="0"/>
              <w:jc w:val="left"/>
              <w:rPr/>
            </w:pPr>
            <w:hyperlink w:anchor="Item9ChangesinandDisagreements_337736">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9394" w:type="dxa"/>
            <w:tcBorders/>
            <w:vAlign w:val="center"/>
          </w:tcPr>
          <w:p>
            <w:pPr>
              <w:pStyle w:val="TableContents"/>
              <w:bidi w:val="0"/>
              <w:spacing w:before="0" w:after="40"/>
              <w:ind w:left="0" w:right="0" w:hanging="0"/>
              <w:jc w:val="left"/>
              <w:rPr/>
            </w:pPr>
            <w:hyperlink w:anchor="Item9AControlsandProcedures_665955">
              <w:r>
                <w:rPr>
                  <w:rStyle w:val="InternetLink"/>
                  <w:rFonts w:ascii="Times New Roman;Times;serif" w:hAnsi="Times New Roman;Times;serif"/>
                  <w:b w:val="false"/>
                  <w:i w:val="false"/>
                  <w:caps w:val="false"/>
                  <w:smallCaps w:val="false"/>
                  <w:sz w:val="20"/>
                </w:rPr>
                <w:t>Item 9A. Controls and Procedures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9394" w:type="dxa"/>
            <w:tcBorders/>
            <w:vAlign w:val="center"/>
          </w:tcPr>
          <w:p>
            <w:pPr>
              <w:pStyle w:val="TableContents"/>
              <w:bidi w:val="0"/>
              <w:spacing w:before="0" w:after="40"/>
              <w:ind w:left="0" w:right="0" w:hanging="0"/>
              <w:jc w:val="left"/>
              <w:rPr/>
            </w:pPr>
            <w:hyperlink w:anchor="_Item_9B._">
              <w:r>
                <w:rPr>
                  <w:rStyle w:val="InternetLink"/>
                  <w:rFonts w:ascii="Times New Roman;Times;serif" w:hAnsi="Times New Roman;Times;serif"/>
                  <w:b w:val="false"/>
                  <w:i w:val="false"/>
                  <w:caps w:val="false"/>
                  <w:smallCaps w:val="false"/>
                  <w:sz w:val="20"/>
                </w:rPr>
                <w:t>Item 9B. Other Information</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9394" w:type="dxa"/>
            <w:tcBorders/>
            <w:vAlign w:val="center"/>
          </w:tcPr>
          <w:p>
            <w:pPr>
              <w:pStyle w:val="TableContents"/>
              <w:bidi w:val="0"/>
              <w:spacing w:before="0" w:after="40"/>
              <w:ind w:left="0" w:right="0" w:hanging="0"/>
              <w:jc w:val="left"/>
              <w:rPr/>
            </w:pPr>
            <w:hyperlink w:anchor="_Item_9C._">
              <w:r>
                <w:rPr>
                  <w:rStyle w:val="InternetLink"/>
                  <w:rFonts w:ascii="Times New Roman;Times;serif" w:hAnsi="Times New Roman;Times;serif"/>
                  <w:b w:val="false"/>
                  <w:i w:val="false"/>
                  <w:caps w:val="false"/>
                  <w:smallCaps w:val="false"/>
                  <w:sz w:val="20"/>
                </w:rPr>
                <w:t>Item 9C. Disclosure Regarding Foreign Jurisdiction that Prevent Inspections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9394" w:type="dxa"/>
            <w:tcBorders/>
            <w:vAlign w:val="center"/>
          </w:tcPr>
          <w:p>
            <w:pPr>
              <w:pStyle w:val="TableContents"/>
              <w:bidi w:val="0"/>
              <w:spacing w:before="0" w:after="40"/>
              <w:ind w:left="0" w:right="0" w:hanging="0"/>
              <w:jc w:val="left"/>
              <w:rPr/>
            </w:pPr>
            <w:hyperlink w:anchor="PARTIII_27894">
              <w:r>
                <w:rPr>
                  <w:rStyle w:val="InternetLink"/>
                  <w:rFonts w:ascii="Times New Roman;Times;serif" w:hAnsi="Times New Roman;Times;serif"/>
                  <w:b w:val="false"/>
                  <w:i w:val="false"/>
                  <w:caps w:val="false"/>
                  <w:smallCaps w:val="false"/>
                  <w:sz w:val="20"/>
                </w:rPr>
                <w:t>PART III</w:t>
              </w:r>
            </w:hyperlink>
          </w:p>
        </w:tc>
        <w:tc>
          <w:tcPr>
            <w:tcW w:w="811" w:type="dxa"/>
            <w:tcBorders/>
            <w:vAlign w:val="center"/>
          </w:tcPr>
          <w:p>
            <w:pPr>
              <w:pStyle w:val="TableContents"/>
              <w:bidi w:val="0"/>
              <w:spacing w:before="0" w:after="40"/>
              <w:ind w:left="0" w:right="0" w:hanging="0"/>
              <w:jc w:val="center"/>
              <w:rPr/>
            </w:pPr>
            <w:r>
              <w:rPr/>
              <w:t>​</w:t>
            </w:r>
          </w:p>
        </w:tc>
      </w:tr>
      <w:tr>
        <w:trPr/>
        <w:tc>
          <w:tcPr>
            <w:tcW w:w="9394" w:type="dxa"/>
            <w:tcBorders/>
            <w:vAlign w:val="center"/>
          </w:tcPr>
          <w:p>
            <w:pPr>
              <w:pStyle w:val="TableContents"/>
              <w:bidi w:val="0"/>
              <w:spacing w:before="0" w:after="40"/>
              <w:ind w:left="0" w:right="0" w:hanging="0"/>
              <w:jc w:val="left"/>
              <w:rPr/>
            </w:pPr>
            <w:hyperlink w:anchor="Item10DirectorsExecutiveOfficers_850075">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9394" w:type="dxa"/>
            <w:tcBorders/>
            <w:vAlign w:val="center"/>
          </w:tcPr>
          <w:p>
            <w:pPr>
              <w:pStyle w:val="TableContents"/>
              <w:bidi w:val="0"/>
              <w:spacing w:before="0" w:after="40"/>
              <w:ind w:left="0" w:right="0" w:hanging="0"/>
              <w:jc w:val="left"/>
              <w:rPr/>
            </w:pPr>
            <w:hyperlink w:anchor="Item11ExecutiveCompensation_639574">
              <w:r>
                <w:rPr>
                  <w:rStyle w:val="InternetLink"/>
                  <w:rFonts w:ascii="Times New Roman;Times;serif" w:hAnsi="Times New Roman;Times;serif"/>
                  <w:b w:val="false"/>
                  <w:i w:val="false"/>
                  <w:caps w:val="false"/>
                  <w:smallCaps w:val="false"/>
                  <w:sz w:val="20"/>
                </w:rPr>
                <w:t>Item 11. Executive Compensation</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9394" w:type="dxa"/>
            <w:tcBorders/>
            <w:vAlign w:val="center"/>
          </w:tcPr>
          <w:p>
            <w:pPr>
              <w:pStyle w:val="TableContents"/>
              <w:bidi w:val="0"/>
              <w:spacing w:before="0" w:after="4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9394" w:type="dxa"/>
            <w:tcBorders/>
            <w:vAlign w:val="center"/>
          </w:tcPr>
          <w:p>
            <w:pPr>
              <w:pStyle w:val="TableContents"/>
              <w:bidi w:val="0"/>
              <w:spacing w:before="0" w:after="4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9394" w:type="dxa"/>
            <w:tcBorders/>
            <w:vAlign w:val="center"/>
          </w:tcPr>
          <w:p>
            <w:pPr>
              <w:pStyle w:val="TableContents"/>
              <w:bidi w:val="0"/>
              <w:spacing w:before="0" w:after="40"/>
              <w:ind w:left="0" w:right="0" w:hanging="0"/>
              <w:jc w:val="left"/>
              <w:rPr/>
            </w:pPr>
            <w:hyperlink w:anchor="Item14PrincipalAccountingFees_454886">
              <w:r>
                <w:rPr>
                  <w:rStyle w:val="InternetLink"/>
                  <w:rFonts w:ascii="Times New Roman;Times;serif" w:hAnsi="Times New Roman;Times;serif"/>
                  <w:b w:val="false"/>
                  <w:i w:val="false"/>
                  <w:caps w:val="false"/>
                  <w:smallCaps w:val="false"/>
                  <w:sz w:val="20"/>
                </w:rPr>
                <w:t>Item 14. Principal Accounting Fees and Services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9394" w:type="dxa"/>
            <w:tcBorders/>
            <w:vAlign w:val="center"/>
          </w:tcPr>
          <w:p>
            <w:pPr>
              <w:pStyle w:val="TableContents"/>
              <w:bidi w:val="0"/>
              <w:spacing w:before="0" w:after="40"/>
              <w:ind w:left="0" w:right="0" w:hanging="0"/>
              <w:jc w:val="left"/>
              <w:rPr/>
            </w:pPr>
            <w:hyperlink w:anchor="PARTIV_63453">
              <w:r>
                <w:rPr>
                  <w:rStyle w:val="InternetLink"/>
                  <w:rFonts w:ascii="Times New Roman;Times;serif" w:hAnsi="Times New Roman;Times;serif"/>
                  <w:b w:val="false"/>
                  <w:i w:val="false"/>
                  <w:caps w:val="false"/>
                  <w:smallCaps w:val="false"/>
                  <w:sz w:val="20"/>
                </w:rPr>
                <w:t>PART IV</w:t>
              </w:r>
            </w:hyperlink>
          </w:p>
        </w:tc>
        <w:tc>
          <w:tcPr>
            <w:tcW w:w="811" w:type="dxa"/>
            <w:tcBorders/>
            <w:vAlign w:val="center"/>
          </w:tcPr>
          <w:p>
            <w:pPr>
              <w:pStyle w:val="TableContents"/>
              <w:bidi w:val="0"/>
              <w:spacing w:before="0" w:after="40"/>
              <w:ind w:left="0" w:right="0" w:hanging="0"/>
              <w:jc w:val="center"/>
              <w:rPr/>
            </w:pPr>
            <w:r>
              <w:rPr/>
              <w:t>​</w:t>
            </w:r>
          </w:p>
        </w:tc>
      </w:tr>
      <w:tr>
        <w:trPr/>
        <w:tc>
          <w:tcPr>
            <w:tcW w:w="9394" w:type="dxa"/>
            <w:tcBorders/>
            <w:vAlign w:val="center"/>
          </w:tcPr>
          <w:p>
            <w:pPr>
              <w:pStyle w:val="TableContents"/>
              <w:bidi w:val="0"/>
              <w:spacing w:before="0" w:after="4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 Exhibits, Financial Statement Schedules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9394" w:type="dxa"/>
            <w:tcBorders/>
            <w:vAlign w:val="center"/>
          </w:tcPr>
          <w:p>
            <w:pPr>
              <w:pStyle w:val="TableContents"/>
              <w:bidi w:val="0"/>
              <w:spacing w:before="0" w:after="40"/>
              <w:ind w:left="0" w:right="0" w:hanging="0"/>
              <w:jc w:val="left"/>
              <w:rPr/>
            </w:pPr>
            <w:hyperlink w:anchor="SIGNATURES_80104">
              <w:r>
                <w:rPr>
                  <w:rStyle w:val="InternetLink"/>
                  <w:rFonts w:ascii="Times New Roman;Times;serif" w:hAnsi="Times New Roman;Times;serif"/>
                  <w:b w:val="false"/>
                  <w:i w:val="false"/>
                  <w:caps w:val="false"/>
                  <w:smallCaps w:val="false"/>
                  <w:sz w:val="20"/>
                </w:rPr>
                <w:t>SIGNATURES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PARTI_798900"/>
      <w:bookmarkStart w:id="54" w:name="_90a999da_a2d6_41b2_8e14_22795e948766"/>
      <w:bookmarkEnd w:id="53"/>
      <w:bookmarkEnd w:id="54"/>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55" w:name="Item1Business_443580"/>
      <w:bookmarkEnd w:id="55"/>
      <w:r>
        <w:rPr>
          <w:rFonts w:ascii="Times New Roman;Times;serif" w:hAnsi="Times New Roman;Times;serif"/>
          <w:b/>
          <w:sz w:val="20"/>
        </w:rPr>
        <w:t>Item 1.    </w:t>
      </w:r>
      <w:r>
        <w:rPr>
          <w:rFonts w:ascii="Times New Roman;Times;serif" w:hAnsi="Times New Roman;Times;serif"/>
          <w:b/>
          <w:i/>
          <w:sz w:val="20"/>
        </w:rPr>
        <w:t>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used throughout this Annual Report on Form 10-K (“Form 10-K”), the terms “St. Joe,” the “Company,” “we,” “our,” or “us” include The St. Joe Company, its consolidated subsidiaries and consolidated joint ventures unless the context indicates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Description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St. Joe was incorporated in the State of Florida in 1936. We are a diversified real estate development, asset management and operating company. As of December 31, 2025, we owned 165,000 acres of land in Northwest Florida, compared to 167,000 acres and 168,000 acres as of December 31, 2024 and 2023, respectively. A portion of our land is within the Bay-Walton Sector Plan (“Sector Plan”) that entitles or gives legal rights for us to originally develop over 170,000 residential dwelling units, over 22 million square feet of retail, commercial and industrial space and over 3,000 hotel rooms on lands within Florida’s Bay and Walton counties. We also have additional entitlements, or legal rights, to develop acreage outside of the Sector Plan. Approximately 87% of our real estate is located in Florida’s Bay, Gulf, and Walton counties. Approximately 90% of our real estate land holdings are located within fifteen miles of the Gulf of America, formerly known as the Gulf of Mexico (the “Gulf”). For additional information regarding our properties, see Item 2. </w:t>
      </w:r>
      <w:r>
        <w:rPr>
          <w:rFonts w:ascii="Times New Roman;Times;serif" w:hAnsi="Times New Roman;Times;serif"/>
          <w:i/>
          <w:sz w:val="20"/>
        </w:rPr>
        <w:t>Properties</w:t>
      </w:r>
      <w:r>
        <w:rPr>
          <w:rFonts w:ascii="Times New Roman;Times;serif" w:hAnsi="Times New Roman;Times;serif"/>
          <w:sz w:val="20"/>
        </w:rPr>
        <w:t xml:space="preserve"> included in this Form 10-K.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operations span residential, hospitality, and commercial segments, offering a comprehensive range of real estate activities and lifestyle amenities. In our residential segment, we primarily develop and sell homesites across multiple communities, primarily to homebuilders and on a limited basis to retail customers. Through an unconsolidated joint venture (“JV”) homes are being constructed and sold in the Latitude Margaritaville Watersound community, an approximately 3,700-home active adult residential development.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 Our hospitality operations include the exclusive Watersound Club, which offers members access to golf courses, a beach club and other recreational amenities. We own, or jointly own, and operate a portfolio of hotels across multiple brands, from luxury boutique properties to branded hotels. Our hospitality segment also includes food and beverage operations, retail outlets, gulf-front vacation rentals, marinas and other entertainment offerings. In our commercial segment we own, or jointly own, develop and lease property for a variety of uses, including multi-family, senior living, self-storage, mixed-use, medical, office, retail, industrial and various other uses. The commercial segment also sells developed and undeveloped land and manages our timber holdings, which includes growing and selling pulpwood, sawtimber and other products. In addition, we operate a real estate brokerage, title insurance agency and insurance agency business. We have investments in unconsolidated JVs that own and operate two hotels, a senior living community, a fuel station and convenience store, a multi-family management business and a golf cart sales and service facility. We continue to expand our portfolio while maintaining our focus on Northwest Florida’s sustained growth and development.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St. Joe believes its long-term, owner-oriented capital and management allows us to optimize the value of Northwest Florida real estate by developing residential, hospitality, and commercial projects that meet growing market demand. Our core strategies are to develop long-term, scalable residential communities, grow our hospitality offerings and expand our portfolio of income producing commercial properties. This strategy is designed to provide opportunities to build recurring revenues and enterprise value for the foreseeable future. We may partner with or explore the sale of discrete assets, such as our sale of a senior living community in September 2025, in order to optimize resource allocation and maximize value.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Capital is invested to achieve risk-adjusted rates of return and support future business initiatives that create value. New projects are planned for stand-alone profitability and to benefit other enterprise activities. Investments, which include investments in JVs, are funded with cash proceeds from completed projects, existing cash, owned-land, partner capital and financing arrangements. Actual investments may vary from planned capital investments for various reasons. These investments are made with a long-term value creation perspective. We may choose to operate rather than lease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assets, lease rather than sell assets, or sell improved rather than unimproved land that may delay revenue and profits. We continue to maintain low fixed expenses, low corporate debt and high liquidity for sustainability in all environments.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may distribute cash in excess of expected operating needs to shareholders through cash dividends and common stock repurchases, as approved by the Board of Directors (the “Board”). Since reinitiating our dividend program in 2020, we have increased our quarterly dividends each year. In 2025, we paid quarterly cash dividends of $0.14 per share on our common stock in each of the first three quarters, and $0.16 per share in the fourth quarter. While we expect to continue to pay quarterly dividends, the declaration and payment of any future dividends will be at the discretion of our Board. In addition, our Board has approved a stock repurchase program (the “Stock Repurchase Program”), pursuant to which we may repurchase our common stock in open market purchases from time to time, in privately negotiated transactions or otherwise, pursuant to Rule 10b-18 under the Securities Exchange Act of 1934, as amended (the “Exchange Act”). During 2025 and 2024, we repurchased 798,622 and 70,985 shares of our common stock outstanding for an aggregate repurchase price of $40.0 million and $3.4 million, respectively, excluding the excise tax on stock repurchases in excess of issuances. In February 2025, the Board increased the total authorization under the Stock Repurchase Program to $100.0 million. As of December 31, 2025, we had a total authority of $60.0 million available under the program. See Item 5. </w:t>
      </w:r>
      <w:r>
        <w:rPr>
          <w:rFonts w:ascii="Times New Roman;Times;serif" w:hAnsi="Times New Roman;Times;serif"/>
          <w:i/>
          <w:sz w:val="20"/>
        </w:rPr>
        <w:t>Market for the Registrant’s Common Equity, Related Stockholder Matters and Issuer Purchases of Equity Securities</w:t>
      </w:r>
      <w:r>
        <w:rPr>
          <w:rFonts w:ascii="Times New Roman;Times;serif" w:hAnsi="Times New Roman;Times;serif"/>
          <w:sz w:val="20"/>
        </w:rPr>
        <w:t xml:space="preserve"> and Note 14. </w:t>
      </w:r>
      <w:r>
        <w:rPr>
          <w:rFonts w:ascii="Times New Roman;Times;serif" w:hAnsi="Times New Roman;Times;serif"/>
          <w:i/>
          <w:sz w:val="20"/>
        </w:rPr>
        <w:t>Stockholders’ Equity</w:t>
      </w:r>
      <w:r>
        <w:rPr>
          <w:rFonts w:ascii="Times New Roman;Times;serif" w:hAnsi="Times New Roman;Times;serif"/>
          <w:sz w:val="20"/>
        </w:rPr>
        <w:t xml:space="preserve"> included in Item 15 of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Reportable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St. Joe operations are reported in three segments: (1) residential, (2) hospitality and (3) commercial. For financial information about our reportable segments, see Item 7.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as well as Note 18. </w:t>
      </w:r>
      <w:r>
        <w:rPr>
          <w:rFonts w:ascii="Times New Roman;Times;serif" w:hAnsi="Times New Roman;Times;serif"/>
          <w:i/>
          <w:sz w:val="20"/>
        </w:rPr>
        <w:t>Segment Information</w:t>
      </w:r>
      <w:r>
        <w:rPr>
          <w:rFonts w:ascii="Times New Roman;Times;serif" w:hAnsi="Times New Roman;Times;serif"/>
          <w:sz w:val="20"/>
        </w:rPr>
        <w:t xml:space="preserve"> included in Item 15 of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Investments in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our core business strategy, we have created a meaningful portion of our business through JVs. We enter into these arrangements for the purposes of developing real estate and other business activities, which we believe allows us to complement our growth strategy, leverage industry expertise and diversify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These entities produce meaningful revenue. However, in the case of our unconsolidated JVs, the revenue generated by these entities is not included in our revenue. Instead, investments in JVs in which we are not the primary beneficiary, or a voting interest entity where we do not have a majority voting interest or control, but have significant influence are unconsolidated and accounted for by the equity method of accounting. Equity method investments are recorded initially at cost upon acquisition and adjusted subsequently to recognize the investor’s share of earnings, losses and changes in capital of the investee, which are included in investment in unconsolidated joint ventures in the accompanying consolidated balance sheets and equity in income from unconsolidated joint ventures in the accompanying consolidated statements of income.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we have determined that as of December 31, 2025, 2024 and 2023, our unconsolidated JV, LMWS, LLC (the “Latitude Margaritaville Watersound JV”), has met the conditions of a significant subsidiary under Rule 1-02(w) of Regulation S-X. The separate financial statements of the Latitude Margaritaville Watersound JV, as required pursuant to Rule 3-09 of Regulation S-X, are filed as Exhibit 99.1 in Item 15 of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 and Market Variability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operations may be affected by seasonal fluctuations. The revenues and earnings from our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we have no, or significantly less, revenue from residential or commercial real estate sales. We may also choose to operate rather than lease assets, lease rather than sell assets, or sell improved rather than unimproved land that may delay revenue and profits.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revenues are typically higher in the second and third quarters, and vary depending on the timing of holidays and school breaks. Commercial real estate sales tend to be non-recurring. Projects depend on uncertain demand. Extraordinary events such as hurricanes may dramatically change demand and pricing for products and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compete with local, regional and national real estate related companies, some of which may have greater financial, marketing, sales and other resources than us. Competition may adversely affect our ability to attract tenants to lease our commercial, multi-family and senior living properties or to attract purchasers of our residential and commercial real estate. In addition to the strong competition we face in our residential and commercial segments, highly competitive companies participate in the hospitality business. Our ability to remain competitive and to attract new and repeat guests, customers and club members depends on our success in distinguishing the quality and value of our products and services from those offered by others. We compete based on location, price and amenities. The principal methods of competition are price and quality. Labor markets in the industries in which we operate are also competitive. We must attract, train and retain a large number of qualified employees while controlling related labor costs. We face significant competition for these employees from the industries in which we operate as well as from other industries. There can be no assurance we will be able to compete successfully against competitors or that competitive pressures will not have a material adverse effect on our business, results of operations, cash flows and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 Joe operations are subject to federal, state and local government laws and regulations that affect every aspect of our business, including environmental and land use laws relating to, among other things, water, air, solid waste, hazardous substances, zoning, construction permits or entitlements, building codes and the requirements of the Federal Occupational Safety and Health Act and comparable state statutes relating to the health and safety of our employees. Although we believe that we are in material compliance with these requirements, there can be no assurance that we will not incur significant costs, civil and criminal penalties, and liabilities, including those relating to claims for damages to property or natural resources, resulting from our operations. We maintain environmental and safety compliance programs for our facilities and forestry land to monitor compliance with these laws and regulations. Enactment of new laws or regulations, or changes in existing laws or regulations or the interpretation and enforcement of these laws or regulations, might require significant expenditures.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Capital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St. Joe, we believe our employees are our greatest asset. We strive to attract, retain and develop the highest quality talent. As of February 23, 2026, we employed 906 full-time employees and 225 part-time and seasonal employees.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Recruitment and Retention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Success depends upon our ability to attract and retain skilled employees. As such, we are committed to recruiting top talent and offer competitive benefits, wages and a rewarding work environment.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 demonstrated history of investing in our workforce by offering competitive salaries and wages, which we continuously evaluate based on the business environment and labor market. We have consistently made enhancements in wages in order to attract talent to support our growth strategy and enhance the customer experience.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to competitive wages, we offer our employees and eligible family members a comprehensive and valuable benefits program. Our suite of benefits offered to all full-time employees include group health plans, which include medical, dental, vision, life and disability benefits with Company sharing of premiums for certain coverages. We also offer a 401(k) retirement savings plan with Company match, paid vacation and holidays, jury pay, bereavement leave, an employee referral bonus program, tuition reimbursement program and discounted gym memberships. From time to time, we provide team members with health care screenings and vaccinations on our properties. Our employees also enjoy discounts at our Company-owned properties and amenities, as well as other exclusive discounts and special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offers, which may include access to preferred seating and tickets to top attractions, theme parks, shows, sporting events, movie tickets, hotels and more.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well as being a tool for improving our human capital management strategies, we evaluate employee engagement and satisfaction annually. We focus on our employees’ opinions and collect data through various means, including surveys and focus groups. Our executive team reviews feedback from our employees and, based on the response, action plans are developed to focus on areas of opportunity throughout the course of the year. We are pleased to report that our most recent annual engagement results were favorable overall and have shown that our employees are proud to work for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past year, we were again certified as a Great Place to Work®, a national program that recognizes employers who create an outstanding employee experience. Notably, 84% of survey respondents expressed favorable feedback regarding the Company and highlighted favorable ratings in key areas such as equity, collaboration, integrity and other values that continue to guide our culture. The results of focus groups and The Great Place to Work certification reflects our collective efforts to create an exceptional workplace whereby we continuously improve our human capital strategies and find ways to foster engagement and growth for our team members.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Health and Safety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health and safety of our team members is a top priority. We are committed to providing a safe and injury-free workplace. We continually invest in programs designed to improve physical, mental and social well-being, and provide access to a variety of innovative, flexible and convenient health and wellness programs.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Community Engagement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actively engaged in and committed to supporting the communities we serve. Our community engagement efforts seek to bring our core values to life and make a difference in the places where we live and work. We maintain strong connections to these communities, creating a positive impact through outreach, recruitment, advocacy, philanthropy, pro bono service, and volunteerism. In addition, our developments positively impact the communities in which they are located, including by creating jobs in the Northwest Florida region and improving the overall quality of life in the area.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Sustainability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committed to the development of sustainable and efficient operations and business practices that enhance and protect our people, our communities and our planet. Our goal is to generate shareholder value while aligning our business practices to support the interests of our stakeholders and the communities we serve, including the sustainable development of Northwest Florida. Our process of defining sustainability priorities focuses on the simultaneous improvement of the environmental, social and financial position of the Company, and our strong leadership and governance practices that strive to integrate sustainability into our business strategy and corporate culture.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acreage we own is located in Northwest Florida and the majority is managed in our forestry operations under our commercial segment. Many of Northwest Florida’s state parks, state forests and wildlife refuges were created in part with St. Joe land.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guiding principles of our sustainable forest management practices include complying with laws and regulations, developing a long-term sustainable timber harvest plan, and understanding the economic and social impacts on the surrounding region. We take a holistic approach to managing our resources – timber, land, water, soil and wildlife – with the goal of sustainability. We are leading by example and protecting the best of Florida by working closely with environmental agencies, community leaders and leading environmental and conservation organizations. Our sustainable forest management practices take many forms, including eradication of invasive plant species, restoring wetlands, thinning forests, replanting trees and conducting prescribed burns. We carry out prescribed burns annually, which helps restore natural ecosystems, improves wildlife habitats and reduces wildfire hazards. Additionally, we are engaged in the operation of mitigation banks, which pursuant to mitigation plans approved by the applicable state and federal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authorities, produce mitigation credits in Bay County, Florida and Walton County, Florida for the purpose of enabling developers to mitigate environmental impacts.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 information regarding our sustainability efforts is available in the Stewardship section of our website at https://www.joe.com/stewardship. The content of the Stewardship section of our website is not incorporated by reference into this Form 10-K or in any other report or document filed with the U.S. Securities and Exchange Commission (“SEC”), unless expressly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most recent Annual Report on Form 10-K, Quarterly Reports on Form 10-Q (“Form 10-Q”), Current Reports on Form 8-K (“Form 8-K”), and amendments to those reports may be viewed or downloaded electronically, free of charge, from our website at www.joe.com as soon as reasonably practicable after we electronically file such material with, or furnish it to, the SEC. In addition, you may review any materials we file with the SEC on the SEC’s website at www.sec.gov. Our recent press releases are also available to be viewed or downloaded electronically from the Investor Relations section of our website at www.joe.com. St. Joe will provide electronic copies of our SEC filings free of charge upon request. Any information posted on or linked from our website is not incorporated by reference into this Form 10-K.</w:t>
      </w:r>
    </w:p>
    <w:p>
      <w:pPr>
        <w:pStyle w:val="TextBody"/>
        <w:bidi w:val="0"/>
        <w:spacing w:before="0" w:after="240"/>
        <w:ind w:left="0" w:right="0" w:hanging="0"/>
        <w:jc w:val="left"/>
        <w:rPr>
          <w:rFonts w:ascii="Times New Roman;Times;serif" w:hAnsi="Times New Roman;Times;serif"/>
          <w:sz w:val="20"/>
        </w:rPr>
      </w:pPr>
      <w:bookmarkStart w:id="56" w:name="Item1ARiskFactors_67097"/>
      <w:bookmarkStart w:id="57" w:name="_9e9245a2_3dc0_4af1_9811_cf411f2330bc"/>
      <w:bookmarkEnd w:id="56"/>
      <w:bookmarkEnd w:id="57"/>
      <w:r>
        <w:rPr>
          <w:rFonts w:ascii="Times New Roman;Times;serif" w:hAnsi="Times New Roman;Times;serif"/>
          <w:b/>
          <w:sz w:val="20"/>
        </w:rPr>
        <w:t>Item 1A.    </w:t>
      </w:r>
      <w:r>
        <w:rPr>
          <w:rFonts w:ascii="Times New Roman;Times;serif" w:hAnsi="Times New Roman;Times;serif"/>
          <w:b/>
          <w:i/>
          <w:sz w:val="20"/>
        </w:rPr>
        <w:t>Risk Factors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Form 10-K contains “forward-looking statements” within the meaning of Section 27A of the Securities Act of 1933 and Section 21E of the Exchange Act. These statements include, among other things, information about possible or assumed future results of the business and our financial condition, liquidity, results of operations, plans, strategies, prospects and objectives. Such forward-looking statements can generally be identified by our use of forward-looking terminology such as “may,” “will,” “expect,” “intend,” “anticipate,” “estimate,” “believe,” “continue” or other similar expressions concerning matters that are not historical facts. The Company cautions that its forward-looking statements involve risks and uncertainties, and while we believe that our expectations for the future are reasonable in view of currently available information, you are cautioned not to place undue reliance on our forward-looking statements. All business decisions involve assessing known risks. However, some risks may be unknown with changing socio-economic, market conditions and interest rates. Estimates are used to assess, among other things, capital allocation decisions. Actual results or events may differ materially from estimates and those indicated in our forward-looking statements as a result of various important factors. Such factors include, but are not limited to, those discussed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are only as of the date they are made, and the Company undertakes no duty to update its forward-looking statements except as required by law. You are advised, however, to review any further disclosures we make on related subjects in our subsequent Form 10-Q, Form 8-K and other reports filed with the SEC.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carefully consider the risks described below, together with all of the other information in this Form 10-K. The risks described below are not the only risks facing us. Moreover, we operate in a very competitive and rapidly changing environment. New risk factors emerge from time to time and it is not possible for us to predict all such risk factors, nor can we assess the impact of all such risk factors on our business or the extent to which any factor, or combination of factors, may affect our business. Additional risks and uncertainties not currently known to us, or that we currently deem to be immaterial, may also materially and adversely affect our business. If any of these risks actually occur, our business, financial condition, results of operations, cash flows, strategies and prospects may be materially adversely affected and could cause our actual results to differ materially from the results contemplated by the forward-looking statements in this report and in the other public statements we make.</w:t>
      </w:r>
    </w:p>
    <w:p>
      <w:pPr>
        <w:pStyle w:val="TextBody"/>
        <w:bidi w:val="0"/>
        <w:spacing w:before="0" w:after="120"/>
        <w:ind w:left="0" w:right="0" w:hanging="0"/>
        <w:jc w:val="both"/>
        <w:rPr>
          <w:rFonts w:ascii="Times New Roman;Times;serif" w:hAnsi="Times New Roman;Times;serif"/>
          <w:b/>
          <w:caps/>
          <w:sz w:val="20"/>
        </w:rPr>
      </w:pPr>
      <w:r>
        <w:rPr>
          <w:rFonts w:ascii="Times New Roman;Times;serif" w:hAnsi="Times New Roman;Times;serif"/>
          <w:b/>
          <w:caps/>
          <w:sz w:val="20"/>
        </w:rPr>
        <w:t>Strategic and Competitive Risks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We may not be able to successfully implement our business strategy.</w:t>
      </w:r>
      <w:r>
        <w:rPr>
          <w:rFonts w:ascii="Times New Roman;Times;serif" w:hAnsi="Times New Roman;Times;serif"/>
          <w:sz w:val="20"/>
        </w:rPr>
        <w:t xml:space="preserve"> Our business strategy consists of developing our residential real estate and expanding the scope of our hospitality assets and services, our commercial portfolio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producing properties and our other ventures to build recurring revenues and enhance enterprise value, while maintaining sufficient enterprise liquidity. Our strategy also includes operating a portion of our business through JVs. Management may fail in assessing risks related to our strategy, profitably maintaining and growing operations and allocating capital. We may also face risks from unidentified issues not discovered in due diligence in our operations and investments. Management may fail in estimating and most efficiently allocating cash in excess of operational and strategic investment needs, including to shareholders by dividends and the repurchase of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may also fail to accurately forecast financial results, and, as a result, actual results may vary greatly from management estimates. As of December 31, 2025, we had approximately $1,004.9 million of real estate investments, $66.1 million of investment in unconsolidated joint ventures and $41.3 million of property and equipment, net recorded on our books at depreciated cost basis, subject to impairment testing. If market conditions were to deteriorate, our estimate of undiscounted future cash flows may fall below their carrying value and we may be required to take impairments, which would have an adverse effect on our results of operations and financial condition. Existing and planned operations utilize estimates of revenue, costs, profits, growth, and real estate market values.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We face significant competition across our business units.</w:t>
      </w:r>
      <w:r>
        <w:rPr>
          <w:rFonts w:ascii="Times New Roman;Times;serif" w:hAnsi="Times New Roman;Times;serif"/>
          <w:sz w:val="20"/>
        </w:rPr>
        <w:t xml:space="preserve"> We compete with local, regional and national real estate leasing and development companies and homebuilders, some of which may have greater financial, marketing, sales and other resources than we do. Hospitality operations are subject to significant competition from other hospitality providers and lodging alternatives. Our ability to remain competitive and to attract new and repeat guests, customers and club members depends on our success in distinguishing the quality and value of our products and services from those offered by others. Competition from real estate leasing and development companies and homebuilders may adversely affect our ability to attract tenants and lease our commercial, multi-family and senior living properties, attract purchasers and sell residential homesites, homes and commercial real estate and attract and retain experienced real estate sales, leasing and development personnel. Labor markets in the industries in which we operate are also competitive, which have led to increased labor costs in recent years. We must attract, train and retain a large number of qualified employees while controlling related labor costs. In addition, we face competition for tenants from other retail shopping centers and commercial facilities, as well as for our multi-family and senior living communities. There can be no assurance we will be able to compete successfully against current or future competitors or that competitive pressures will not have a material adverse effect on our business, results of operations, cash flows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 decline in general economic conditions, particularly in our primary market locations, could lead to reduced consumer demand for our products and services.</w:t>
      </w:r>
      <w:r>
        <w:rPr>
          <w:rFonts w:ascii="Times New Roman;Times;serif" w:hAnsi="Times New Roman;Times;serif"/>
          <w:sz w:val="20"/>
        </w:rPr>
        <w:t xml:space="preserve"> Demand for our products and services is sensitive to changes in economic conditions over which we have no control, including the level of employment, consumer confidence, consumer income, consumer discretionary spending, consumer preferences, inflation, the availability of financing, changes in fiscal monetary policy and interest rate levels. In addition, the real estate market is subject to downturns, and our business is especially sensitive to economic conditions in Northwest Florida, where our developments and assets are located, and, more broadly, the Southeast region of the United States (“U.S.”), which in the past has produced a high percentage of customers for our products. If market conditions experience volatility or worsen, tenant and other customers’ demand may materially decline. For example, over the past several years, we have faced macroeconomic headwinds caused by, among other things, overall consumer confidence, inflation, elevated interest rates, higher insurance costs for consumers and uncertainty over tariffs, all of which impacted buyer sentiment. While demand across our segments remained strong despite these challenges, if conditions worsen, such conditions could adversely impact our business and our ability to successfully execute our business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Additionally, we and the real estate industry in general may be adversely affected during periods of high inflation, primarily because of higher construction and operating costs. While the rate of inflation has moderated, it has remained persistent in the U.S. due, in part, to supply chain issues, elevated energy prices, labor shortages and trade policies, among other factors. As a result, we cannot predict whether such inflationary conditions will continue or the impact it will have on customer preferences and demand.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Our leasing projects are subject to a variety of risks that could impact returns.</w:t>
      </w:r>
      <w:r>
        <w:rPr>
          <w:rFonts w:ascii="Times New Roman;Times;serif" w:hAnsi="Times New Roman;Times;serif"/>
          <w:sz w:val="20"/>
        </w:rPr>
        <w:t xml:space="preserve"> Our business strategy includes the development and leasing of multi-family properties, management of commercial properties and commercial assets for lease. These commercial developments may not be as successful as estimated due to leasing related risks, including the risk that we may not be able to lease new properties, obtain lease rates that are consistent with our projections or achieve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targeted occupancy levels within expected timeframes as well as the risks generally associated with real estate development. Additionally, development of leasing projects involves the risk associated with the significant time lag between commencement and completion of the project. This time lag subjects us to greater risks relating to, among other things:</w:t>
      </w:r>
    </w:p>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general economy;</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construction or permanent financing on favorable commercial terms, if at all;</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projected rental rates;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pace that we will be able to lease to new tenants; </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than estimated construction costs (including labor and material costs);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completion of projects because of, among other factors, inclement weather, labor disruptions, construction delays or delays in receiving zoning or other regulatory approvals, or man-made or natural disasters.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Failure to lease new properties or obtain lease rates that are consistent with our projections or significant time lags between commencement and completion of a commercial project may lead to lower than anticipated returns, which could adversely impact our ability to successfully execute our business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We face risks stemming from our strategic partnerships.</w:t>
      </w:r>
      <w:r>
        <w:rPr>
          <w:rFonts w:ascii="Times New Roman;Times;serif" w:hAnsi="Times New Roman;Times;serif"/>
          <w:sz w:val="20"/>
        </w:rPr>
        <w:t xml:space="preserve"> We currently maintain, and in the future may seek additional strategic partnerships, including the formation of JVs, to develop real estate or to pursue other business activities, capitalize on the potential of our residential, hospitality and commercial opportunities and maximize the value of our assets. Certain of these JVs may be material to our business. For example, in the years ended December 31, 2025, 2024 and 2023, our equity in income from the unconsolidated Latitude Margaritaville Watersound JV accounted for over 20% of our pre-tax income. This concentration in a single JV means that any adverse changes affecting this project, whether from market conditions, issues with our joint venture partner, or project-specific challenges, could have a disproportionate impact on our overall financial performance, even if our other operations perform as expected.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partners may take actions contrary to our instructions or requests, or contrary to our policies or objectives. We may not have exclusive control over the development, financing, management and other aspects of the partnership, which may prevent us from taking actions that are in our best interest but opposed by our partner. Our partners may experience financial difficulties, become bankrupt or fail to fund their share of capital contributions, which may delay construction or development of property or increase our financial commitment to the partnership. Our partners may take actions that subject us to liabilities in excess of, or other than, those contemplated. We may disagree with our partners about decisions affecting the partnership, which may result in litigation or arbitration that increases our expenses, distracts our officers and directors and disrupts the day-to-day operations of the property or business, which may delay important decisions until the dispute is resolved. Actions by our partners may subject the JV to liabilities or have other adverse consequences, including if the market reputation of a partner deteriorates. If a JV agreement is terminated or dissolved, we may not continue to own or operate the interests or investments of the JV or may need to purchase such interests or investments at a premium to the market price to continue ownership. In addition, we may not have sufficient resources, experience and/or skills to manage our existing JVs or locate additional desirable partners.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Our real estate investments are generally illiquid.</w:t>
      </w:r>
      <w:r>
        <w:rPr>
          <w:rFonts w:ascii="Times New Roman;Times;serif" w:hAnsi="Times New Roman;Times;serif"/>
          <w:sz w:val="20"/>
        </w:rPr>
        <w:t xml:space="preserve"> Real estate and timber holdings are relatively illiquid. It may be difficult for us to sell such assets if the need or desire arises, which may limit our ability to make rapid adjustments to the size and content of our property assets. Illiquid assets typically experience greater price volatility, as a ready market does not exist and therefore can be more difficult to value. In addition, validating third-party pricing for illiquid assets may be more subjective than more liquid assets. As a result, if we are required to liquidate all or a portion of our real estate or timber assets quickly, we may realize significantly less than the value at which we have previously recorded our assets. This impact may also be exacerbated in periods of general economic instability and capital markets volatility.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We may invest in new business endeavors or product lines, which are inherently risky and could disrupt our ongoing business and present risks not originally contemplated.</w:t>
      </w:r>
      <w:r>
        <w:rPr>
          <w:rFonts w:ascii="Times New Roman;Times;serif" w:hAnsi="Times New Roman;Times;serif"/>
          <w:sz w:val="20"/>
        </w:rPr>
        <w:t xml:space="preserve"> In recent years, we have invested, and in the future may invest, in new business endeavors and product lines. New endeavors may involve new risks and uncertainties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may amplify existing risks, including additional competition, distraction of management from current operations, greater-than-expected liabilities and expenses, economic, political, legal and regulatory challenges associated with operating in new businesses or product lines, inadequate return on capital and potential impairment of tangible and intangible assets. New ventures are inherently risky and may not be successful. In addition, we may face difficulty integrating new businesses or product lines, assimilating new facilities and personnel and harmonizing diverse businesses and methods of operation. If any of our business endeavors are unsuccessful and we fail to realize the expected benefits of any new investment or product line or are unable to successfully integrate new businesses or product lines, our business, results of operations, cash flows and financial condition could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We face risks associated with short-term U.S. Treasury Bills.</w:t>
      </w:r>
      <w:r>
        <w:rPr>
          <w:rFonts w:ascii="Times New Roman;Times;serif" w:hAnsi="Times New Roman;Times;serif"/>
          <w:sz w:val="20"/>
        </w:rPr>
        <w:t xml:space="preserve"> We hold significant cash balances that are invested in a variety of short-term U.S. Treasury Bills, currently classified as cash equivalents, that are intended to preserve principal value and maintain a high degree of liquidity. We have exposure to credit risk associated with our short-term U.S. Treasury Bills and these instruments are subject to price fluctuations as a result of changes in the financial market’s assessment of issuer credit quality, changes in prevailing interest rates and other economic factors.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we have historically been exposed, and in the future may again be exposed, to credit risk associated with investments – debt securities (“Securities”), which are also subject to such fluctuations. A downgrade of the U.S. government’s credit rating may also decrease the value of any future investments in Securities. The market value of such potential future investments will be subject to change from period-to-period, especially in light of the political landscape, financial institution disruptions and geopolitical conflicts, instabilities or tensions, which have caused market volatility. Our Securities have historically included, and in the future may again include, investments in U.S. Treasury Bills classified as investments – debt securities. Credit-related impairment losses can negatively affect earnings. Investments in Securities and funds are not insured against loss of principal. Under certain circumstances we may be required to redeem all or part of any future investment, which may result in a loss.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RISKS RELATED TO THE OPERATION OF OUR BUSINESS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We are exposed to risks associated with commercial and residential real estate development and construction.</w:t>
      </w:r>
      <w:r>
        <w:rPr>
          <w:rFonts w:ascii="Times New Roman;Times;serif" w:hAnsi="Times New Roman;Times;serif"/>
          <w:sz w:val="20"/>
        </w:rPr>
        <w:t xml:space="preserve"> Real estate development and construction, including homebuilding activities, entail risks that may adversely impact our results of operations, cash flows and financial condition, including: </w:t>
      </w:r>
    </w:p>
    <w:tbl>
      <w:tblPr>
        <w:tblW w:w="2751" w:type="dxa"/>
        <w:jc w:val="left"/>
        <w:tblInd w:w="0" w:type="dxa"/>
        <w:tblLayout w:type="fixed"/>
        <w:tblCellMar>
          <w:top w:w="28" w:type="dxa"/>
          <w:left w:w="28" w:type="dxa"/>
          <w:bottom w:w="28" w:type="dxa"/>
          <w:right w:w="28" w:type="dxa"/>
        </w:tblCellMar>
      </w:tblPr>
      <w:tblGrid>
        <w:gridCol w:w="124"/>
        <w:gridCol w:w="256"/>
        <w:gridCol w:w="2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market conditions; </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construction delays or cost overruns, which may increase project development costs; </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labor costs and shortages of skilled labor; </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supply chain disruptions and material shortages; </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potentially new and rapidly evolving tariffs or quotas;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claims for construction defects after property has been developed, including claims by purchasers and property owners’ associations, and claims for construction defects arising from third-party contractors; </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discovery of hazardous or toxic substances, or other environmental, culturally-sensitive, or related issues;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weather-related and geological interference, including hurricanes, landslides, earthquakes, floods, drought, wildfires and other events, which may result in delays or increased costs;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inability to obtain required governmental permits and authorizations; </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secure tenants necessary to support commercial, multi-family or senior living projects;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compliance with building codes and other local regulations;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unavailability of raw materials when needed, which may result in project delays, stoppages or interruptions, which may make the project less profitable;</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insufficient infrastructure capacity or availability (e.g., water, sewer and roads) to serve the needs of our projects; </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financial industry may reduce the availability of financing; and</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inability to acquire property, rights of way or easements, which may result in delays or increased costs.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construction and building industry, similar to many other industries, has experienced, and may continue to experience worldwide supply chain disruptions and cost increases due to a multitude of factors, including inflation, elevated interest rates, higher insurance costs for consumers, rapidly evolving trade and tariff policies and disputes, labor shortages and geopolitical conflicts, instabilities and tensions. Materials, parts and labor costs have increased in recent years, sometimes significantly and over a short period of time. In addition, material time delays or increases in construction costs resulting from the aforementioned factors may impact our ability to realize anticipated returns on such projects, impact the timing of revenue recognition, lead to cancellations and otherwise materially adversely affect our business, results of operations, cash flows and financial condition. Nonetheless, should we experience increased cancellations as a result of such macroeconomic factors, our business could be adversely impacted.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with regard to our residential segment, revenues from homesite sales can fluctuate significantly from period to period due to variations in the mix of sales from different communities, as well as other variations in product mix. Given these fluctuations revenues from our residential segment may significantly vary from period to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real estate approvals may be subject to third-party responses. It is not uncommon for delays to occur, which affect the timing of transaction closings and may also impact the terms and conditions of the transaction. Delays related to regulatory approvals may be due to the applicable governmental entity not being open due to the government being shut down or staffed insufficiently due to the government’s budgetary issues. These timing issues may cause our operating results, particularly relating to the impact of our land sales, to vary significantly from quarter-to-quarter and year-to-year.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Mortgage financing issues, including lack of supply of mortgage loans, tightened lending requirements and elevated interest rates, may reduce demand for our products.</w:t>
      </w:r>
      <w:r>
        <w:rPr>
          <w:rFonts w:ascii="Times New Roman;Times;serif" w:hAnsi="Times New Roman;Times;serif"/>
          <w:sz w:val="20"/>
        </w:rPr>
        <w:t xml:space="preserve"> Purchasers of our real estate products may obtain mortgage loans to finance a substantial portion of the purchase price or may need to obtain mortgage loans to finance the construction of homes to be built on homesites purchased from us. Homebuilder customers depend on retail purchasers who rely on mortgage financing. Elevated interest rates have increased the cost of owning a home in recent years and any future increases would further affect purchasing power, which may lower demand for residential real estate. In addition to residential real estate, increased interest rates and restrictions in the availability of credit may also negatively impact sales or development of our commercial properties or other land we offer for sale. While in recent years, elevated interest rates have negatively impacted buyers’ ability to obtain financing and the housing market generally, to date we have not experienced material declines in customer demand for our homesites. However, in the event financing challenges reduce demand from homebuilders to purchase homesites, then our sales, results of operations, cash flows and financial condition may be negatively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Our residential segment is highly dependent on homebuilders and is subject to the risk of homebuilder concentration.</w:t>
      </w:r>
      <w:r>
        <w:rPr>
          <w:rFonts w:ascii="Times New Roman;Times;serif" w:hAnsi="Times New Roman;Times;serif"/>
          <w:sz w:val="20"/>
        </w:rPr>
        <w:t xml:space="preserve"> We are highly dependent on homebuilders to be the primary customers for our homesites and to provide construction services in our residential developments. As of December 31, 2025, we had 18 different homebuilders within our residential communities. The homebuilder customers that have already committed to purchase homesites from us may decide to reduce, delay or cancel their existing commitments to purchase homesites in our developments. From time to time, we have financed, and in the future may finance, real estate sales with mortgage note receivables. If these homebuilders fail to pay their debts to us or delay paying us, it would reduce our anticipated cash flows. Homebuilders also may not view our developments as desirable locations for homebuilding operations, or they may choose to purchase land from other sellers. We also rely on a concentrated number of homebuilders for a significant portion of our residential homesite sales. Any of these events may have an adverse effect on our business, results of operations, cash flows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Our hospitality segment is subject to various risks inherent to the hospitality industry.</w:t>
      </w:r>
      <w:r>
        <w:rPr>
          <w:rFonts w:ascii="Times New Roman;Times;serif" w:hAnsi="Times New Roman;Times;serif"/>
          <w:sz w:val="20"/>
        </w:rPr>
        <w:t xml:space="preserve"> Although hospitality revenue has continued to grow in recent years, the following factors, among others, are common to the hospitality industry, and may reduce the revenues generated by hotel properties, food and beverage operations, golf courses, beach clubs, marinas and other entertainment offerings or the rate at which they are generated: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reduced travel (including from airline disruptions, business reduction or elimination of typical travel in efforts to be conservative in uncertain financial times or adverse economic conditions), which we may be susceptible to given that the travel tourism on which our hospitality segment relies can entail a relatively high cost of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559" w:type="dxa"/>
        <w:jc w:val="left"/>
        <w:tblInd w:w="0" w:type="dxa"/>
        <w:tblLayout w:type="fixed"/>
        <w:tblCellMar>
          <w:top w:w="28" w:type="dxa"/>
          <w:left w:w="28" w:type="dxa"/>
          <w:bottom w:w="28" w:type="dxa"/>
          <w:right w:w="28" w:type="dxa"/>
        </w:tblCellMar>
      </w:tblPr>
      <w:tblGrid>
        <w:gridCol w:w="124"/>
        <w:gridCol w:w="109"/>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participation and is based on discretionary consumer spending; </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labor costs and shortages of skilled labor; </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inclement weather conditions; </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cyclical downturns in the hospitality industry;</w:t>
            </w:r>
          </w:p>
        </w:tc>
      </w:tr>
    </w:tbl>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desirability of geographic regions in which our properties are located; </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competition from other hospitality providers and lodging or entertainment alternatives; </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relationships with and the performance of third-party managers;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operating costs, including increases in the cost of property insurance, utilities and real estate and personal property taxes, due to inflation and other factors that may not be offset by increased prices; and</w:t>
            </w:r>
          </w:p>
        </w:tc>
      </w:tr>
    </w:tbl>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or man-made disasters.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of these factors may increase our costs or limit or reduce the prices we are able to charge for our hospitality products or services, or otherwise affect our ability to maintain existing properties, develop new properties or add amenities to our existing properties.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Our insurance coverage on our properties may be inadequate or our insurance costs may increase and uninsured losses or losses in excess of our insurance coverage could adversely affect our business.</w:t>
      </w:r>
      <w:r>
        <w:rPr>
          <w:rFonts w:ascii="Times New Roman;Times;serif" w:hAnsi="Times New Roman;Times;serif"/>
          <w:sz w:val="20"/>
        </w:rPr>
        <w:t xml:space="preserve"> We maintain insurance on our properties, including property, liability, fire, flood and extended coverage, but capacity constraints in the Florida insurance market may limit availability of desired coverages or materially increase costs. We do not insure our timber assets. Additionally, our insurance for hurricanes has limitations per named storm and is subject to deductibles. We use our discretion when determining amounts, coverage limits and deductibles for insurance. These terms are determined based on retaining an acceptable level of risk. This may result in insurance coverage that, in the event of a substantial loss, would not be sufficient to pay the full current market value or current replacement cost of our lost investment. Inflation, changes in building codes and ordinances, environmental considerations and other factors also may make it unfeasible to use insurance proceeds to replace a facility after it has been damaged or destroyed. Under such circumstances, we may not receive insurance proceeds or the insurance proceeds we receive may not fully cover business interruptions or losses and our earnings, liquidity, or capital resources may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Homeowner property insurance companies doing business in Florida have reacted to previous hurricanes by increasing premiums, requiring higher deductibles, reducing limits, restricting coverage, imposing exclusions, refusing to insure certain property owners, and in some instances, ceasing insurance operations in the state. It is uncertain what effect these actions may have on future property insurance availability and rates in the state. The high costs of property insurance premiums in Florida may deter potential customers from purchasing a homesite in one of our developments or make Northwest Florida less attractive to new employers that can create high quality jobs needed to increase growth in the region, either of which may have a material adverse effect on our business, results of operations, cash flows and financial condition. Florida’s state-owned property insurance company, Citizens Property Insurance Corp., underwrites homeowner property insurance. If there were to be a catastrophic hurricane or series of hurricanes to hit Florida, the exposure of the state government to property insurance claims may place extreme stress on state finances.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insurance policies are generally renewed on an annual basis and, depending on factors such as market conditions, the premiums, terms, policy limits and/or deductibles can vary substantially. We can give no assurance that we will be able to maintain adequate insurance in the future at rates or on other terms we consider commercially reasonable.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offset negative insurance market trends, we may decide to self-insure additional risks. In the event that we decide to self-insure additional risks, if we experience a greater number of self-insured losses than we anticipate, our financial performance could be adversely affected. If we lose our ability to, or decide not to, self-insure these additional risks, our insurance costs could materially increase and we may find it difficult to obtain adequate levels of insurance coverage.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Our commercial segment is subject to risks associated with the financial condition of our commercial tenants.</w:t>
      </w:r>
      <w:r>
        <w:rPr>
          <w:rFonts w:ascii="Times New Roman;Times;serif" w:hAnsi="Times New Roman;Times;serif"/>
          <w:sz w:val="20"/>
        </w:rPr>
        <w:t xml:space="preserve"> If one or more of our tenants, particularly an anchor tenant, declares bankruptcy, defaults or voluntarily vacates from the leased premises, we may be unable to collect rent payments from such tenant, re-lease such space or to re-lease it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comparable or more favorable terms. Additionally, the loss or failure to renew of an anchor tenant may make it more difficult to lease the remainder of the affected properties, which may have a material adverse effect on our business, results of operations, cash flows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Alternatively, increases in consumer spending through e-commerce channels may significantly affect our tenants’ ability to generate sales, which could affect their ability to make payments to us. These economic and market conditions, combined with rising or sustained high levels of inflation and lack of labor availability, may also place a number of our key customers under financial stress, which may adversely affect our occupancy rates and our profitability, which, in turn, may have a material adverse effect on our business, results of operations, cash flows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Our financial results may vary significantly period over period. </w:t>
      </w:r>
      <w:r>
        <w:rPr>
          <w:rFonts w:ascii="Times New Roman;Times;serif" w:hAnsi="Times New Roman;Times;serif"/>
          <w:sz w:val="20"/>
        </w:rPr>
        <w:t>The revenues and earnings from our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we have no, or significantly less, revenue from residential or commercial real estate sales. We may also choose to operate rather than lease assets, lease rather than sell assets, or sell improved rather than unimproved land that may delay revenue and profits.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operations are affected by seasonal fluctuations. Hospitality revenues are typically higher in the second and third quarters, and vary depending on the timing of holidays and school breaks. Commercial real estate sales tend to be non-recurring. Projects depend on uncertain demand. Extraordinary events such as hurricanes may dramatically change demand and pricing for products and services.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are subject to various geographic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Growth of Northwest Florida</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We are focused on developing real estate and expanding operations in Northwest Florida. Our success will be dependent on continued strong migration and population expansion in Northwest Florida. The future economic growth of Northwest Florida will largely depend on the ability and willingness of state and local governments, in combination with the private sector, to plan and complete significant infrastructure improvements in the region, such as new or existing transportation hubs, roads, bridges, rail, pipeline, medical facilities and schools and to attract families and companies offering high-quality and high salary jobs. Our future revenues will also depend on individuals seeking retirement or vacation homes in Northwest Florida. Florida’s population growth may be negatively affected in the future by a variety of factors, including adverse economic conditions, changes in state income tax or federal immigration laws, the occurrence of natural or man-made disasters or the high cost of real estate, insurance and property taxes. If Northwest Florida experiences an extended period of slow growth, or even net out-migration, our business, results of operations, cash flows and financial condition will likely be materially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Hurricanes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Florida is particularly susceptible to the occurrence of hurricanes. Depending on where any particular hurricane makes landfall, our developments in Northwest Florida may experience catastrophic damage. Such damage may materially delay sales or lessen demand for our residential or commercial real estate and lessen demand for our hospitality and leasing operations. If our corporate headquarters facility is damaged or destroyed, we may have difficulty performing certain corporate and operational functions. We maintain property and business interruption insurance, subject to certain deductibles.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Climate Conditions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 xml:space="preserve">The occurrence of other natural disasters and climate conditions in Northwest Florida, such as tornadoes, floods, fires, unusually heavy or prolonged rain, droughts, extreme heat or cold, or other adverse weather events may have a material adverse effect on our ability to develop and sell properties or realize income from our projects. To the extent that such natural disasters and climate conditions occur, our projects could be damaged or destroyed, which may result in losses exceeding our insurance coverage. Natural disasters and climate conditions can also lead to increased competition for subcontracts, which can delay construction activities even after an event has concluded. In addition, our timber assets are subject to damage by fire, insect infestation, disease, prolonged drought, flooding, hurricane and natural disasters, which may adversely affect our timber inventory and forestry business. Furthermore, sea level rise due to climate change may have a material adverse effect on our coastal properties. The occurrence of natural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disasters and the threat of adverse climate changes (or perceived threat from climate change) may also have a long-term negative effect on the attractiveness of Northwest Florida and on our ability to obtain flood or other hazard insurance coverage. Man-made disasters or disruptions, such as oil spills, acts of terrorism, power outages and communications failures may simultaneously disrupt our operations.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We are dependent on third-party service providers for certain services.</w:t>
      </w:r>
      <w:r>
        <w:rPr>
          <w:rFonts w:ascii="Times New Roman;Times;serif" w:hAnsi="Times New Roman;Times;serif"/>
          <w:sz w:val="20"/>
        </w:rPr>
        <w:t xml:space="preserve"> We rely on various third parties to conduct the day-to-day operations of certain residential, hospitality, multi-family, senior living and other commercial properties. Failure of such third parties to adequately perform their contracted services may negatively impact our ability to retain customers. As a result, any such failure may negatively impact our results of operations, cash flows and financial condition.</w:t>
      </w:r>
    </w:p>
    <w:p>
      <w:pPr>
        <w:pStyle w:val="TextBody"/>
        <w:bidi w:val="0"/>
        <w:spacing w:before="0" w:after="120"/>
        <w:ind w:left="0" w:right="0" w:hanging="0"/>
        <w:jc w:val="both"/>
        <w:rPr>
          <w:rFonts w:ascii="Times New Roman;Times;serif" w:hAnsi="Times New Roman;Times;serif"/>
          <w:b/>
          <w:caps/>
          <w:sz w:val="20"/>
        </w:rPr>
      </w:pPr>
      <w:r>
        <w:rPr>
          <w:rFonts w:ascii="Times New Roman;Times;serif" w:hAnsi="Times New Roman;Times;serif"/>
          <w:b/>
          <w:caps/>
          <w:sz w:val="20"/>
        </w:rPr>
        <w:t>Risks RELATED to our existing ownership structure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Our largest shareholder controls approximately 33.8% of our common stock, which may limit our minority shareholders’ ability to influence corporate matters.</w:t>
      </w:r>
      <w:r>
        <w:rPr>
          <w:rFonts w:ascii="Times New Roman;Times;serif" w:hAnsi="Times New Roman;Times;serif"/>
          <w:sz w:val="20"/>
        </w:rPr>
        <w:t xml:space="preserve"> As of December 31, 2025, based on public filings, clients of Fairholme Capital Management, L.L.C. (“FCM”), an investment advisor registered with the SEC, beneficially owned approximately 33.8% of our common stock. FCM and its client, The Fairholme Fund, a series of investments originating from Fairholme Funds, Inc., may be deemed affiliates of ours. Fairholme Holdings, LLC (“Fairholme”), which wholly owns FCM, is in a position to influence the vote of most matters submitted to our shareholders, including any merger, consolidation or sale of all or substantially all of our assets, the nomination of individuals to our Board and any potential change in our control. These factors may discourage, delay or prevent a takeover attempt that shareholders might consider in their best interests or that might result in shareholders receiving a premium for their common stock. Additionally, our articles of incorporation and certain provisions of Florida law contain anti-takeover provisions that may make it more difficult to effect a change in our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Future sales of our common stock by Fairholme, or the perception in the public markets that these sales may occur, may depress our stock price.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LEGAL, REGULATORY, AND LITIGATION RISK</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are subject to various existing government regulations.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Development and Land Use Requirements</w:t>
            </w:r>
            <w:r>
              <w:rPr>
                <w:rFonts w:ascii="Times New Roman;Times;serif" w:hAnsi="Times New Roman;Times;serif"/>
                <w:b w:val="false"/>
                <w:i w:val="false"/>
                <w:caps w:val="false"/>
                <w:smallCaps w:val="false"/>
                <w:sz w:val="20"/>
              </w:rPr>
              <w:t>. Approval to develop real property entails an extensive entitlements process involving multiple and overlapping regulatory jurisdictions and often requiring discretionary action by local governments. This process is often political, uncertain and may require significant exactions in order to secure approvals. Real estate projects in Florida must generally comply with the provisions of the Community Planning Act and local land development regulations. Compliance with the State of Florida planning requirements and local land development regulations is usually lengthy and costly and can be expected to materially affect our real estate development activities. The Community Planning Act requires local governments to adopt comprehensive plans guiding and controlling future real property development in their respective jurisdictions and to evaluate, assess and keep those plans current. Included in all comprehensive plans is a future land use map, which sets forth allowable land use development rights. Some of our land has an “agricultural” or “silviculture” future land use designation and we may be required to seek an amendment to the future land use map to develop real estate projects. Approval of these comprehensive plan map amendments is highly discretionary.</w:t>
            </w:r>
          </w:p>
        </w:tc>
      </w:tr>
    </w:tbl>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 xml:space="preserve">All development orders and permits must be consistent with the comprehensive plan. Each plan must address such topics as future land use and capital improvements and make adequate provision for a multitude of public services including transportation, schools, solid waste disposal, sewerage, potable water supply, drainage, affordable housing, open space, parks and others. The local governments’ comprehensive plans must also establish “levels of service” with respect to certain specified public facilities, including roads, schools and services to residents. In many areas, infrastructure funding has not kept pace with growth, causing facilities to operate below established levels of service. Local governments are prohibited from issuing development orders or permits if the development will reduce the level of service for public facilities below the level of service established in the local government’s comprehensive plan, unless the developer either sufficiently improves the services up front to meet the required level of service or provides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1080" w:right="0" w:hanging="0"/>
        <w:jc w:val="left"/>
        <w:rPr>
          <w:rFonts w:ascii="Times New Roman;Times;serif" w:hAnsi="Times New Roman;Times;serif"/>
          <w:sz w:val="20"/>
        </w:rPr>
      </w:pPr>
      <w:r>
        <w:rPr>
          <w:rFonts w:ascii="Times New Roman;Times;serif" w:hAnsi="Times New Roman;Times;serif"/>
          <w:sz w:val="20"/>
        </w:rPr>
        <w:t>financial assurances that the additional services will be provided as the project progresses. In addition, local governments that fail to keep their plans current may be prohibited by law from amending their plans to allow for new development.</w:t>
      </w:r>
    </w:p>
    <w:p>
      <w:pPr>
        <w:pStyle w:val="TextBody"/>
        <w:bidi w:val="0"/>
        <w:spacing w:before="0" w:after="120"/>
        <w:ind w:left="1080" w:right="0" w:hanging="0"/>
        <w:jc w:val="left"/>
        <w:rPr>
          <w:rFonts w:ascii="Times New Roman;Times;serif" w:hAnsi="Times New Roman;Times;serif"/>
          <w:sz w:val="20"/>
        </w:rPr>
      </w:pPr>
      <w:r>
        <w:rPr>
          <w:rFonts w:ascii="Times New Roman;Times;serif" w:hAnsi="Times New Roman;Times;serif"/>
          <w:sz w:val="20"/>
        </w:rPr>
        <w:t>If any one or more of these factors were to occur, we may be unable to develop our real estate projects successfully or within the expected timeframes. Changes in the Community Planning Act or the interpretation thereof, new enforcement of these laws or the enactment of new laws regarding the development of real property may lead to a decline in our ability to develop and market our communities successfully and to generate positive cash flow from these operations in a timely manner, which may have a materially adverse effect on our ability to service our demand and negatively impact our business, results of operations, cash flows or financial condition.</w:t>
      </w:r>
    </w:p>
    <w:p>
      <w:pPr>
        <w:pStyle w:val="TextBody"/>
        <w:bidi w:val="0"/>
        <w:spacing w:before="0" w:after="120"/>
        <w:ind w:left="1080" w:right="0" w:hanging="0"/>
        <w:jc w:val="left"/>
        <w:rPr>
          <w:rFonts w:ascii="Times New Roman;Times;serif" w:hAnsi="Times New Roman;Times;serif"/>
          <w:sz w:val="20"/>
        </w:rPr>
      </w:pPr>
      <w:r>
        <w:rPr>
          <w:rFonts w:ascii="Times New Roman;Times;serif" w:hAnsi="Times New Roman;Times;serif"/>
          <w:sz w:val="20"/>
        </w:rPr>
        <w:t>Our properties are subject to federal, state and local environmental regulations and restrictions that may impose significant limitations on our development ability. In most cases, approval to develop requires multiple permits, which involve a long, uncertain and costly regulatory process. Our land holdings contain jurisdictional wetlands, some of which may be unsuitable for development or prohibited from development by applicable law. Development approval most often requires mitigation for impacts to wetlands that require land to be conserved at a disproportionate ratio versus the actual wetlands impacted and approved for development. Some of our property is undeveloped land located in areas where development may have to avoid, minimize or mitigate for impacts to the natural habitats of various protected wildlife or plant species. Additionally, some of our property is in coastal areas that usually have a more restrictive permitting burden or must address issues such as coastal high hazard, hurricane evacuation, floodplains and dune protection.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Environmental Regulation</w:t>
            </w:r>
            <w:r>
              <w:rPr>
                <w:rFonts w:ascii="Times New Roman;Times;serif" w:hAnsi="Times New Roman;Times;serif"/>
                <w:b w:val="false"/>
                <w:i w:val="false"/>
                <w:caps w:val="false"/>
                <w:smallCaps w:val="false"/>
                <w:sz w:val="20"/>
              </w:rPr>
              <w:t>. Current or past operations are subject to extensive and evolving federal, state and local environmental laws and other regulations. The provisions and enforcement of these environmental laws and regulations may become more stringent in the future, including as a result of attention from environmental advocacy groups. Violations of these laws and regulations can result in, among other things, civil penalties, remediation expenses, natural resource damages, personal injury damages, potential injunctions, cease and desist orders and criminal penalties. In addition, some of these environmental laws impose strict liability, which means that we may be held liable for any environmental damage on our property regardless of fault.</w:t>
            </w:r>
          </w:p>
        </w:tc>
      </w:tr>
    </w:tbl>
    <w:p>
      <w:pPr>
        <w:pStyle w:val="TextBody"/>
        <w:bidi w:val="0"/>
        <w:spacing w:before="0" w:after="120"/>
        <w:ind w:left="1080" w:right="0" w:hanging="0"/>
        <w:jc w:val="left"/>
        <w:rPr>
          <w:rFonts w:ascii="Times New Roman;Times;serif" w:hAnsi="Times New Roman;Times;serif"/>
          <w:sz w:val="20"/>
        </w:rPr>
      </w:pPr>
      <w:r>
        <w:rPr>
          <w:rFonts w:ascii="Times New Roman;Times;serif" w:hAnsi="Times New Roman;Times;serif"/>
          <w:sz w:val="20"/>
        </w:rPr>
        <w:t>Past and present real property, particularly properties used in connection with our previous transportation and papermill operations, were involved in the storage, use or disposal of hazardous substances that may have contaminated and may in the future contaminate the environment. We may bear liability for this contamination and for the costs of cleaning up a site at which we have disposed of, or to which we have transported, hazardous substances. The presence of hazardous substances on a property may also adversely affect our ability to sell or develop the property or to borrow funds using the property as collateral.</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We may be subject to risks from changes in certain governmental policies.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Mortgage Rates</w:t>
            </w:r>
            <w:r>
              <w:rPr>
                <w:rFonts w:ascii="Times New Roman;Times;serif" w:hAnsi="Times New Roman;Times;serif"/>
                <w:b w:val="false"/>
                <w:i w:val="false"/>
                <w:caps w:val="false"/>
                <w:smallCaps w:val="false"/>
                <w:sz w:val="20"/>
              </w:rPr>
              <w:t>. The availability of mortgage financing is significantly influenced by governmental entities such as the Federal Housing Administration, Veterans Administration and Government National Mortgage Association and government-sponsored enterprises known as Fannie Mae and Freddie Mac. Mortgage rates may also be adversely impacted by elevated interest rates. If borrowing standards are tightened and/or the federal government were to reduce or eliminate these mortgage loan programs (including due to any failure of lawmakers to agree on a budget or appropriation legislation to fund relevant programs or operations) or if mortgage rates increase generally, it would likely make it more difficult for potential purchasers of our products, including our homebuilder customers to obtain acceptable financing, which may have a negative effect on demand in our communities.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Climate Regulation</w:t>
            </w:r>
            <w:r>
              <w:rPr>
                <w:rFonts w:ascii="Times New Roman;Times;serif" w:hAnsi="Times New Roman;Times;serif"/>
                <w:b w:val="false"/>
                <w:i w:val="false"/>
                <w:caps w:val="false"/>
                <w:smallCaps w:val="false"/>
                <w:sz w:val="20"/>
              </w:rPr>
              <w:t xml:space="preserve">. Potential impacts of climate change have previously influenced governmental authorities, consumer behavior patterns and the general business environment of the U.S., including, but not limited to, energy-efficiency measures, water use measures and land-use practices. The implementation of these policies may require us to invest additional capital in our properties or it may restrict the availability of land we are able to develop. These changes, or changes in other environmental laws or their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 thereof, new enforcement of laws, the identification of new facts or the failure of other parties to perform remediation at our current or former facilities may lead to new or greater liabilities that may materially adversely affect our business, results of operations, cash flows or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Accounting Standards.</w:t>
            </w:r>
            <w:r>
              <w:rPr>
                <w:caps w:val="false"/>
                <w:smallCaps w:val="false"/>
              </w:rPr>
              <w:t xml:space="preserve"> </w:t>
            </w:r>
            <w:r>
              <w:rPr>
                <w:rFonts w:ascii="Times New Roman;Times;serif" w:hAnsi="Times New Roman;Times;serif"/>
                <w:b w:val="false"/>
                <w:i w:val="false"/>
                <w:caps w:val="false"/>
                <w:smallCaps w:val="false"/>
                <w:sz w:val="20"/>
              </w:rPr>
              <w:t>Uncertainties posed by various initiatives of accounting standard-setting by the Financial Accounting Standards Board (“FASB”) and the SEC, which create and interpret applicable accounting standards for U.S. companies, may change the financial accounting and reporting standards or their interpretation and application of these standards that govern the preparation of our financial statements. These changes and others may have a material impact on how we record and report our financial condition and results of operations. In some cases, we may be required to apply a new or revised standard retroactively, resulting in potentially material restatements of prior period financial statements.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Changes to U.S. tax laws may materially affect us.</w:t>
      </w:r>
      <w:r>
        <w:rPr>
          <w:rFonts w:ascii="Times New Roman;Times;serif" w:hAnsi="Times New Roman;Times;serif"/>
          <w:sz w:val="20"/>
        </w:rPr>
        <w:t xml:space="preserve"> Tax laws are dynamic and subject to change as new laws are passed and new interpretations of the law are issued or applied. In many cases, the application of existing, newly enacted or amended tax laws may be uncertain and subject to differing interpretations. Future changes in the tax laws, or in the interpretation or enforcement of existing tax laws, could increase our state and federal tax rates and subject our business to audits, inquiries and legal challenges from taxing authorities. As a result of changes in tax laws, we may incur additional costs, including taxes and penalties for historical periods, which may have a material and adverse effect on our business, results of operations, cash flows or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We may be subject to periodic litigation and other regulatory proceedings.</w:t>
      </w:r>
      <w:r>
        <w:rPr>
          <w:rFonts w:ascii="Times New Roman;Times;serif" w:hAnsi="Times New Roman;Times;serif"/>
          <w:color w:val="0070C0"/>
          <w:sz w:val="20"/>
        </w:rPr>
        <w:t xml:space="preserve"> </w:t>
      </w:r>
      <w:r>
        <w:rPr>
          <w:rFonts w:ascii="Times New Roman;Times;serif" w:hAnsi="Times New Roman;Times;serif"/>
          <w:sz w:val="20"/>
        </w:rPr>
        <w:t>We may be involved in lawsuits and regulatory actions relating to business agreements, operations, assets, liabilities, or our position as a public company. An adverse outcome in any of these matters may adversely affect our financial condition, our results of operations or impose additional restrictions or limitations on us. In addition, regardless of the outcome of any litigation or regulatory proceedings, these proceedings may result in substantial costs and may require that we devote substantial resources to defend our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Land use approval processes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may result in denial of the right to develop, or would, by their nature, adversely affect the length of time and the cost required to obtain the necessary approvals. In addition, adverse decisions arising from any litigation would increase the costs and length of time to obtain ultimate approval of a project and may adversely affect the design, scope, plans and profitability of a project.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GENERAL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Risks associated with our human capital.</w:t>
      </w:r>
      <w:r>
        <w:rPr>
          <w:rFonts w:ascii="Times New Roman;Times;serif" w:hAnsi="Times New Roman;Times;serif"/>
          <w:sz w:val="20"/>
        </w:rPr>
        <w:t xml:space="preserve"> Our ability to successfully implement our business strategy depends on our ability to attract and retain skilled employees. The labor markets in the industries in which we operate are competitive. We must attract, train and retain a large number of qualified employees while controlling related labor costs. Tighter labor markets may make it even more difficult for us to hire and retain qualified employees and control labor costs. Our ability to attract qualified employees and control labor costs is subject to numerous external factors, including prevailing wage rates, employee preferences, employment law and regulation, labor relations and immigration policy. Changes in immigration laws and policies could also affect labor market conditions, potentially increasing competition for workers and related labor costs. While we are committed to recruiting top talent by offering, among other things, competitive wages, a significant increase in competition or labor costs increasing from any of the aforementioned factors may have a material adverse impact on our business, results of operations, cash flows and financial condition.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Furthermore, our hospitality operations are highly dependent on a large seasonal workforce. We have historically relied on the J-1 and H-2B visa programs to bring workers to the U.S. to fill seasonal staffing needs and ensure that we have the appropriate workforce in place. Our ability to recruit and retain seasonal hospitality staff may be adversely affected by changes in immigration policy and administration of non-immigrant visa programs. If we are unable to obtain sufficient numbers of seasonal workers, through the J-1 and H-2B programs or otherwise, we may not be able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recruit and hire adequate personnel, and material increases in the cost of securing our workforce may be possible in the future. Increased seasonal wages, an inadequate workforce or increased related labor costs may have a material adverse effect on our business, results of operations, cash flows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Risks associated with cybersecurity.</w:t>
      </w:r>
      <w:r>
        <w:rPr>
          <w:rFonts w:ascii="Times New Roman;Times;serif" w:hAnsi="Times New Roman;Times;serif"/>
          <w:sz w:val="20"/>
        </w:rPr>
        <w:t xml:space="preserve"> We are reliant on computers and digital technology, including certain technology systems from third-party vendors, which we use to operate our business, which are not under our control. We collect digital information on all aspects of operations. Hospitality related businesses, in particular, require the collection and retention of identifiable information of our customers, as such information is entered into, processed, summarized, and reported by the various information systems we use. All of these activities give rise to material cyber risks and potential costs and consequences that cannot be estimated or predicted, and which may not be fully insured by our cyber risk insurance policy. For example, the SEC requires the disclosure of cybersecurity incidents that we determine to be “material,” to be made within four business days of such determination, which can be complex, requiring a number of assumptions based on several factors. It is possible that the SEC may not agree with our determinations, which could result in fines, civil litigation or damage to our reputation.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integrity and protection of our customer, employee and other company data, is critical to us. We make efforts to maintain the security and integrity of these networks and related systems. We have implemented various measures to manage the risk of a security breach or disruption that are based in part on the Payment Card Industry Data Security Standard, the National Institute of Standard and Technology, and the System and Organization Controls, all of which are integrated into our overall enterprise risk management program. There can be no assurance that our security efforts and measures, or those of our third-party vendors, with which we interact, will be effective or that attempted security breaches or disruptions, whether through cyber attacks or cyber intrusions over the Internet, malware, computer viruses, attachments to emails, persons inside our organization or persons with access to systems, energy blackouts, natural disasters, terrorism, war, and other significant disruptions of our networks and related systems, or disruptions would not be successful or damaging. Further, the risk of a security breach or disruption, particularly through cyber attacks or cyber intrusion, including by computer hackers, foreign governments or state-sponsored actors, and cyber terrorists, has generally increased as the number, intensity and sophistication of attempted attacks and intrusions from around the world have increased. In particular, there has been a spike in cybersecurity attacks as businesses have increased reliance on virtual environments and communications systems, which have been subject to increasing third-party vulnerabilities and security risks. Additionally, the emergence of artificial intelligence has provided additional tools for those who perpetrate these attacks, including through social engineering, the development of customized malware, and an enhanced ability to evade detection. Attachments crafted with artificial intelligence tools could directly attack information systems with greater speed and/or efficiency than a human threat actor or create more effective phishing emails. Vulnerabilities may also be introduced from the use of artificial intelligence by us, our customers, suppliers and other business partners and third-party providers. Use of artificial intelligence by our employees, whether authorized or unauthorized, increases the risk that our intellectual property and other proprietary information will be unintentionally disclosed.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 the most well protected information, networks, systems and facilities remain potentially vulnerable because the techniques used in such attempted security breaches evolve and generally are not recognized until launched against a target, and in some cases are designed not to be detected and, in fact, may not be detected. Accordingly, we and our service providers may be unable to anticipate these techniques or to implement adequate security barriers or other preventative measures, and thus it is impossible for us and our service providers to entirely mitigate this risk. Our failure to maintain the security of the data, including via the penetration of our network security and the misappropriation of confidential and personal information, may result in business disruption, increase in costs, damage to our reputation, material legal claims, fines, penalties, regulatory proceedings and other severe financial and business implications.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We are subject to risks related to corporate social responsibility and reputation.</w:t>
      </w:r>
      <w:r>
        <w:rPr>
          <w:rFonts w:ascii="Times New Roman;Times;serif" w:hAnsi="Times New Roman;Times;serif"/>
          <w:sz w:val="20"/>
        </w:rPr>
        <w:t xml:space="preserve"> Our reputation and brands are important to our business. Our reputation and brands affect our ability to attract and retain consumers, financing, and secure development opportunities. There are numerous ways our reputation or brands could be damaged. These include, among others, product safety or quality issues, negative media coverage or scrutiny from political figures or interest groups. Customers are also using social media to provide feedback and information about our Company and products and services in a manner that can be quickly and broadly disseminated. To the extent a customer has a negative experience with, or view of, our Company and shares it over social media, it may adversely impact our brand and reputation.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companies across many industries have faced scrutiny from lawmakers, regulators, investors, customers, employees and other stakeholders related to their sustainability practices, including those related to the environment, climate, human rights and governance transparency. Various jurisdictions are developing climate-related laws or regulations that could cause us to incur additional direct costs for compliance, as well as indirect costs resulting from our customers, suppliers, or additional compliance costs that are passed on to us. Additionally, investor advocacy groups, including sustainability-focused investor advocacy groups, certain institutional investors, investment funds and other influential investors have also been focused on sustainability practices. Legal and regulatory requirements, as well as stakeholder expectations, on sustainability practices and disclosures are subject to change, can be unpredictable, and may be difficult and expensive for us to comply with. Further, there is an increasing number of initiatives in the U.S. that may conflict with other regulatory requirements or various stakeholders’ expectations. We may from time to time also change our approach to sustainability matters due to a broader change in strategy, reduced relevance of such initiatives or changing market conditions. If we fail, or are perceived to be failing, to meet evolving legal and regulatory requirements or the expectations of our stakeholders, we may be subject to enforcement actions, required to pay fines, investors may sell their stock, we may suffer from reputational damage and our business or financial condition could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The design and effectiveness of our disclosure controls and procedures and internal control over financial reporting may not prevent all errors, misstatements, or misrepresentations.</w:t>
      </w:r>
      <w:r>
        <w:rPr>
          <w:rFonts w:ascii="Times New Roman;Times;serif" w:hAnsi="Times New Roman;Times;serif"/>
          <w:sz w:val="20"/>
        </w:rPr>
        <w:t xml:space="preserve"> While management will continue to review the effectiveness of our disclosure controls and procedures and internal control over financial reporting, there can be no guarantee that our internal control over financial reporting will be effective in accomplishing all control objectives at all times. Deficiencies, including any material weakness, in our internal control over financial reporting, which may occur in the future, may result in misstatements of our results of operations, restatements of our financial statements, a decline in our stock price, or otherwise materially adversely affect our business, reputation, results of operations, financial condition, or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Our financing arrangements contain restrictions and limitations.</w:t>
      </w:r>
      <w:r>
        <w:rPr>
          <w:rFonts w:ascii="Times New Roman;Times;serif" w:hAnsi="Times New Roman;Times;serif"/>
          <w:sz w:val="20"/>
        </w:rPr>
        <w:t xml:space="preserve"> Our financing arrangements contain customary representations and warranties, as well as customary affirmative and negative covenants that restrict some of our activities.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 Our ability to comply with the covenants and restrictions contained in our financing arrangements may be affected by economic, financial and industry conditions beyond our control, including credit or capital market disruptions. The breach of any of these covenants or restrictions could result in a default that would permit the applicable lenders to declare all amounts outstanding thereunder to be due and payable, together with accrued and unpaid interest. In any such case, we may be unable to repay the amounts due under such financing arrangements, which could have a material adverse effect on our results of operations, cash flows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may provide a guarantee of the debt in connection with our JVs. In certain instances, these guarantees provide for the full payment and performance of the borrower. See Note 9. </w:t>
      </w:r>
      <w:r>
        <w:rPr>
          <w:rFonts w:ascii="Times New Roman;Times;serif" w:hAnsi="Times New Roman;Times;serif"/>
          <w:i/>
          <w:sz w:val="20"/>
        </w:rPr>
        <w:t>Debt, Net</w:t>
      </w:r>
      <w:r>
        <w:rPr>
          <w:rFonts w:ascii="Times New Roman;Times;serif" w:hAnsi="Times New Roman;Times;serif"/>
          <w:sz w:val="20"/>
        </w:rPr>
        <w:t xml:space="preserve"> and Note 19. </w:t>
      </w:r>
      <w:r>
        <w:rPr>
          <w:rFonts w:ascii="Times New Roman;Times;serif" w:hAnsi="Times New Roman;Times;serif"/>
          <w:i/>
          <w:sz w:val="20"/>
        </w:rPr>
        <w:t>Commitments and Contingencies</w:t>
      </w:r>
      <w:r>
        <w:rPr>
          <w:rFonts w:ascii="Times New Roman;Times;serif" w:hAnsi="Times New Roman;Times;serif"/>
          <w:sz w:val="20"/>
        </w:rPr>
        <w:t xml:space="preserve"> included in Item 15 of this Form 10-K for additional information. If we were to become obligated to perform on any of these guarantees, our results of operations, cash flows and financial condition may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We utilize derivative financial instruments to reduce our exposure to market risks from changes in interest rates on certain loans and refinance outstanding debt prior to or in connection with its maturity</w:t>
      </w:r>
      <w:r>
        <w:rPr>
          <w:rFonts w:ascii="Times New Roman;Times;serif" w:hAnsi="Times New Roman;Times;serif"/>
          <w:i/>
          <w:sz w:val="20"/>
        </w:rPr>
        <w:t>.</w:t>
      </w:r>
      <w:r>
        <w:rPr>
          <w:rFonts w:ascii="Times New Roman;Times;serif" w:hAnsi="Times New Roman;Times;serif"/>
          <w:sz w:val="20"/>
        </w:rPr>
        <w:t xml:space="preserve"> We may enter into interest rate swap instruments to limit our exposure to changes in variable interest rates. While our hedging strategy is designed to minimize the impact of increases in interest rates applicable to some of our variable rate debt, there can be no guarantee that our hedging strategy will be effective, and we may experience credit-related losses in some circumstances.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and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 In addition, we typically refinance our outstanding debt prior to or in connection with its maturity. If we are unable to refinance our debt on favorable terms, our interest expense may increase. A refinancing of our debt could also require us to comply with more onerous covenants and further restrict our business operations. Any of these circumstances could adversely impact our financial position and results of operations.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We cannot assure you that we will not make changes to our existing capital allocation plan, including whether we will continue to pay dividends at the current rate or at all.</w:t>
      </w:r>
      <w:r>
        <w:rPr>
          <w:rFonts w:ascii="Times New Roman;Times;serif" w:hAnsi="Times New Roman;Times;serif"/>
          <w:sz w:val="20"/>
        </w:rPr>
        <w:t xml:space="preserve"> In 2025, we paid cash dividends of $0.14 per share on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common stock in each of the first three quarters, and $0.16 per share in the fourth quarter, and we currently expect to continue to pay quarterly dividends. We also repurchased approximately 1.4% of our outstanding shares during 2025, for an aggregate repurchase price of $40.0 million. As of December 31, 2025, we had the authority to repurchase additional shares up to our remaining authorization limit of $60.0 million. The declaration and payment of any future dividends and future decisions with respect to share purchases will be at the discretion of our Board after taking into account various factors, including without limitation, our financial condition, earnings, capital requirements of our business, and potential growth opportunities, the terms of any credit agreements or indentures to which we may be party at the time, legal requirements, industry practice, market conditions and other factors that our Board deems relevant. Our decisions regarding the allocation of capital among dividends, stock repurchases, development projects, and other uses may not satisfy market expectations or produce the long-term returns we anticipate. Changes in our capital allocation strategy, could adversely affect our stock price and our relationships with investors. Accordingly, there can be no assurance that our dividends or stock repurchases will continue at the same levels, or at all.</w:t>
      </w:r>
    </w:p>
    <w:p>
      <w:pPr>
        <w:pStyle w:val="TextBody"/>
        <w:bidi w:val="0"/>
        <w:spacing w:before="0" w:after="240"/>
        <w:ind w:left="0" w:right="0" w:hanging="0"/>
        <w:jc w:val="left"/>
        <w:rPr>
          <w:rFonts w:ascii="Times New Roman;Times;serif" w:hAnsi="Times New Roman;Times;serif"/>
          <w:b/>
          <w:sz w:val="20"/>
        </w:rPr>
      </w:pPr>
      <w:bookmarkStart w:id="58" w:name="Item1BUnresolvedStaffComments_642101"/>
      <w:bookmarkStart w:id="59" w:name="_5d752c77_2342_4e15_a453_084813958d8a"/>
      <w:bookmarkEnd w:id="58"/>
      <w:bookmarkEnd w:id="59"/>
      <w:r>
        <w:rPr>
          <w:rFonts w:ascii="Times New Roman;Times;serif" w:hAnsi="Times New Roman;Times;serif"/>
          <w:b/>
          <w:sz w:val="20"/>
        </w:rPr>
        <w:t>Item 1B.    </w:t>
      </w:r>
      <w:r>
        <w:rPr>
          <w:rFonts w:ascii="Times New Roman;Times;serif" w:hAnsi="Times New Roman;Times;serif"/>
          <w:b/>
          <w:i/>
          <w:sz w:val="20"/>
        </w:rPr>
        <w:t>Unresolved Staff Comments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0" w:name="Item1CCybersecurity"/>
      <w:bookmarkStart w:id="61" w:name="_f8bd703a_d26e_405e_9619_8247f5b7fa85"/>
      <w:bookmarkEnd w:id="60"/>
      <w:bookmarkEnd w:id="61"/>
      <w:r>
        <w:rPr>
          <w:rFonts w:ascii="Times New Roman;Times;serif" w:hAnsi="Times New Roman;Times;serif"/>
          <w:b/>
          <w:sz w:val="20"/>
        </w:rPr>
        <w:t xml:space="preserve">Item 1C. </w:t>
      </w:r>
      <w:r>
        <w:rPr>
          <w:rFonts w:ascii="Times New Roman;Times;serif" w:hAnsi="Times New Roman;Times;serif"/>
          <w:b/>
          <w:i/>
          <w:sz w:val="20"/>
        </w:rPr>
        <w:t>Cybersecurity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a data security plan designed to provide a documented and formalized information security policy to detect, identify, classify and mitigate cybersecurity and other data security threats. This cybersecurity program is based in part on, and its effectiveness is measured using, the Payment Card Industry Data Security Standard (“PCI DSS”), the National Institute of Standard and Technology (“NIST”), and the System and Organization Controls (“SOC”), all of which are integrated into our overall enterprise risk management program. This integration ensures that cybersecurity considerations are an integral part of our decision-making processes.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In furtherance of detecting, identifying, classifying and mitigating cybersecurity and other data security threats including such threats associated with our use of any third-party vendors. We also: </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assess</w:t>
            </w:r>
            <w:r>
              <w:rPr>
                <w:caps w:val="false"/>
                <w:smallCaps w:val="false"/>
                <w:spacing w:val="-2"/>
              </w:rPr>
              <w:t xml:space="preserve"> </w:t>
            </w:r>
            <w:r>
              <w:rPr>
                <w:rFonts w:ascii="Times New Roman;Times;serif" w:hAnsi="Times New Roman;Times;serif"/>
                <w:b w:val="false"/>
                <w:i w:val="false"/>
                <w:caps w:val="false"/>
                <w:smallCaps w:val="false"/>
                <w:sz w:val="20"/>
              </w:rPr>
              <w:t>baseline</w:t>
            </w:r>
            <w:r>
              <w:rPr>
                <w:caps w:val="false"/>
                <w:smallCaps w:val="false"/>
                <w:spacing w:val="-2"/>
              </w:rPr>
              <w:t xml:space="preserve"> </w:t>
            </w:r>
            <w:r>
              <w:rPr>
                <w:rFonts w:ascii="Times New Roman;Times;serif" w:hAnsi="Times New Roman;Times;serif"/>
                <w:b w:val="false"/>
                <w:i w:val="false"/>
                <w:caps w:val="false"/>
                <w:smallCaps w:val="false"/>
                <w:sz w:val="20"/>
              </w:rPr>
              <w:t>configuration</w:t>
            </w:r>
            <w:r>
              <w:rPr>
                <w:caps w:val="false"/>
                <w:smallCaps w:val="false"/>
                <w:spacing w:val="-2"/>
              </w:rPr>
              <w:t xml:space="preserve"> </w:t>
            </w:r>
            <w:r>
              <w:rPr>
                <w:rFonts w:ascii="Times New Roman;Times;serif" w:hAnsi="Times New Roman;Times;serif"/>
                <w:b w:val="false"/>
                <w:i w:val="false"/>
                <w:caps w:val="false"/>
                <w:smallCaps w:val="false"/>
                <w:sz w:val="20"/>
              </w:rPr>
              <w:t>standards</w:t>
            </w:r>
            <w:r>
              <w:rPr>
                <w:caps w:val="false"/>
                <w:smallCaps w:val="false"/>
                <w:spacing w:val="-2"/>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meet</w:t>
            </w:r>
            <w:r>
              <w:rPr>
                <w:caps w:val="false"/>
                <w:smallCaps w:val="false"/>
                <w:spacing w:val="-2"/>
              </w:rPr>
              <w:t xml:space="preserve"> </w:t>
            </w:r>
            <w:r>
              <w:rPr>
                <w:rFonts w:ascii="Times New Roman;Times;serif" w:hAnsi="Times New Roman;Times;serif"/>
                <w:b w:val="false"/>
                <w:i w:val="false"/>
                <w:caps w:val="false"/>
                <w:smallCaps w:val="false"/>
                <w:sz w:val="20"/>
              </w:rPr>
              <w:t>the</w:t>
            </w:r>
            <w:r>
              <w:rPr>
                <w:caps w:val="false"/>
                <w:smallCaps w:val="false"/>
                <w:spacing w:val="-2"/>
              </w:rPr>
              <w:t xml:space="preserve"> </w:t>
            </w:r>
            <w:r>
              <w:rPr>
                <w:rFonts w:ascii="Times New Roman;Times;serif" w:hAnsi="Times New Roman;Times;serif"/>
                <w:b w:val="false"/>
                <w:i w:val="false"/>
                <w:caps w:val="false"/>
                <w:smallCaps w:val="false"/>
                <w:sz w:val="20"/>
              </w:rPr>
              <w:t>intent</w:t>
            </w:r>
            <w:r>
              <w:rPr>
                <w:caps w:val="false"/>
                <w:smallCaps w:val="false"/>
                <w:spacing w:val="-4"/>
              </w:rPr>
              <w:t xml:space="preserve"> </w:t>
            </w:r>
            <w:r>
              <w:rPr>
                <w:rFonts w:ascii="Times New Roman;Times;serif" w:hAnsi="Times New Roman;Times;serif"/>
                <w:b w:val="false"/>
                <w:i w:val="false"/>
                <w:caps w:val="false"/>
                <w:smallCaps w:val="false"/>
                <w:sz w:val="20"/>
              </w:rPr>
              <w:t>and</w:t>
            </w:r>
            <w:r>
              <w:rPr>
                <w:caps w:val="false"/>
                <w:smallCaps w:val="false"/>
                <w:spacing w:val="-3"/>
              </w:rPr>
              <w:t xml:space="preserve"> </w:t>
            </w:r>
            <w:r>
              <w:rPr>
                <w:rFonts w:ascii="Times New Roman;Times;serif" w:hAnsi="Times New Roman;Times;serif"/>
                <w:b w:val="false"/>
                <w:i w:val="false"/>
                <w:caps w:val="false"/>
                <w:smallCaps w:val="false"/>
                <w:sz w:val="20"/>
              </w:rPr>
              <w:t>effectiveness for</w:t>
            </w:r>
            <w:r>
              <w:rPr>
                <w:caps w:val="false"/>
                <w:smallCaps w:val="false"/>
                <w:spacing w:val="-2"/>
              </w:rPr>
              <w:t xml:space="preserve"> </w:t>
            </w:r>
            <w:r>
              <w:rPr>
                <w:rFonts w:ascii="Times New Roman;Times;serif" w:hAnsi="Times New Roman;Times;serif"/>
                <w:b w:val="false"/>
                <w:i w:val="false"/>
                <w:caps w:val="false"/>
                <w:smallCaps w:val="false"/>
                <w:sz w:val="20"/>
              </w:rPr>
              <w:t>overall safety and security (both logically and physically) of critical system components;</w:t>
            </w:r>
          </w:p>
        </w:tc>
        <w:tc>
          <w:tcPr>
            <w:tcW w:w="154" w:type="dxa"/>
            <w:tcBorders/>
            <w:vAlign w:val="center"/>
          </w:tcPr>
          <w:p>
            <w:pPr>
              <w:pStyle w:val="TableContents"/>
              <w:bidi w:val="0"/>
              <w:spacing w:before="0" w:after="283"/>
              <w:jc w:val="left"/>
              <w:rPr>
                <w:sz w:val="4"/>
                <w:szCs w:val="4"/>
              </w:rPr>
            </w:pPr>
            <w:r>
              <w:rPr>
                <w:sz w:val="4"/>
                <w:szCs w:val="4"/>
              </w:rPr>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track</w:t>
            </w:r>
            <w:r>
              <w:rPr>
                <w:caps w:val="false"/>
                <w:smallCaps w:val="false"/>
                <w:spacing w:val="-1"/>
              </w:rPr>
              <w:t xml:space="preserve"> </w:t>
            </w:r>
            <w:r>
              <w:rPr>
                <w:rFonts w:ascii="Times New Roman;Times;serif" w:hAnsi="Times New Roman;Times;serif"/>
                <w:b w:val="false"/>
                <w:i w:val="false"/>
                <w:caps w:val="false"/>
                <w:smallCaps w:val="false"/>
                <w:sz w:val="20"/>
              </w:rPr>
              <w:t>asset</w:t>
            </w:r>
            <w:r>
              <w:rPr>
                <w:caps w:val="false"/>
                <w:smallCaps w:val="false"/>
                <w:spacing w:val="-1"/>
              </w:rPr>
              <w:t xml:space="preserve"> </w:t>
            </w:r>
            <w:r>
              <w:rPr>
                <w:rFonts w:ascii="Times New Roman;Times;serif" w:hAnsi="Times New Roman;Times;serif"/>
                <w:b w:val="false"/>
                <w:i w:val="false"/>
                <w:caps w:val="false"/>
                <w:smallCaps w:val="false"/>
                <w:sz w:val="20"/>
              </w:rPr>
              <w:t>inventory</w:t>
            </w:r>
            <w:r>
              <w:rPr>
                <w:caps w:val="false"/>
                <w:smallCaps w:val="false"/>
                <w:spacing w:val="-2"/>
              </w:rPr>
              <w:t xml:space="preserve"> </w:t>
            </w:r>
            <w:r>
              <w:rPr>
                <w:rFonts w:ascii="Times New Roman;Times;serif" w:hAnsi="Times New Roman;Times;serif"/>
                <w:b w:val="false"/>
                <w:i w:val="false"/>
                <w:caps w:val="false"/>
                <w:smallCaps w:val="false"/>
                <w:sz w:val="20"/>
              </w:rPr>
              <w:t>for</w:t>
            </w:r>
            <w:r>
              <w:rPr>
                <w:caps w:val="false"/>
                <w:smallCaps w:val="false"/>
                <w:spacing w:val="-1"/>
              </w:rPr>
              <w:t xml:space="preserve"> </w:t>
            </w:r>
            <w:r>
              <w:rPr>
                <w:rFonts w:ascii="Times New Roman;Times;serif" w:hAnsi="Times New Roman;Times;serif"/>
                <w:b w:val="false"/>
                <w:i w:val="false"/>
                <w:caps w:val="false"/>
                <w:smallCaps w:val="false"/>
                <w:sz w:val="20"/>
              </w:rPr>
              <w:t>relevant</w:t>
            </w:r>
            <w:r>
              <w:rPr>
                <w:caps w:val="false"/>
                <w:smallCaps w:val="false"/>
                <w:spacing w:val="-3"/>
              </w:rPr>
              <w:t xml:space="preserve"> </w:t>
            </w:r>
            <w:r>
              <w:rPr>
                <w:rFonts w:ascii="Times New Roman;Times;serif" w:hAnsi="Times New Roman;Times;serif"/>
                <w:b w:val="false"/>
                <w:i w:val="false"/>
                <w:caps w:val="false"/>
                <w:smallCaps w:val="false"/>
                <w:sz w:val="20"/>
              </w:rPr>
              <w:t>system</w:t>
            </w:r>
            <w:r>
              <w:rPr>
                <w:caps w:val="false"/>
                <w:smallCaps w:val="false"/>
                <w:spacing w:val="-1"/>
              </w:rPr>
              <w:t xml:space="preserve"> </w:t>
            </w:r>
            <w:r>
              <w:rPr>
                <w:rFonts w:ascii="Times New Roman;Times;serif" w:hAnsi="Times New Roman;Times;serif"/>
                <w:b w:val="false"/>
                <w:i w:val="false"/>
                <w:caps w:val="false"/>
                <w:smallCaps w:val="false"/>
                <w:sz w:val="20"/>
              </w:rPr>
              <w:t>components</w:t>
            </w:r>
            <w:r>
              <w:rPr>
                <w:rFonts w:ascii="Times New Roman;Times;serif" w:hAnsi="Times New Roman;Times;serif"/>
                <w:b w:val="false"/>
                <w:i w:val="false"/>
                <w:caps w:val="false"/>
                <w:smallCaps w:val="false"/>
                <w:spacing w:val="-2"/>
                <w:sz w:val="20"/>
              </w:rPr>
              <w:t>;</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maintain</w:t>
            </w:r>
            <w:r>
              <w:rPr>
                <w:caps w:val="false"/>
                <w:smallCaps w:val="false"/>
                <w:spacing w:val="-2"/>
              </w:rPr>
              <w:t xml:space="preserve"> </w:t>
            </w:r>
            <w:r>
              <w:rPr>
                <w:rFonts w:ascii="Times New Roman;Times;serif" w:hAnsi="Times New Roman;Times;serif"/>
                <w:b w:val="false"/>
                <w:i w:val="false"/>
                <w:caps w:val="false"/>
                <w:smallCaps w:val="false"/>
                <w:sz w:val="20"/>
              </w:rPr>
              <w:t>network</w:t>
            </w:r>
            <w:r>
              <w:rPr>
                <w:caps w:val="false"/>
                <w:smallCaps w:val="false"/>
                <w:spacing w:val="-1"/>
              </w:rPr>
              <w:t xml:space="preserve"> </w:t>
            </w:r>
            <w:r>
              <w:rPr>
                <w:rFonts w:ascii="Times New Roman;Times;serif" w:hAnsi="Times New Roman;Times;serif"/>
                <w:b w:val="false"/>
                <w:i w:val="false"/>
                <w:caps w:val="false"/>
                <w:smallCaps w:val="false"/>
                <w:sz w:val="20"/>
              </w:rPr>
              <w:t>connection arrangement</w:t>
            </w:r>
            <w:r>
              <w:rPr>
                <w:caps w:val="false"/>
                <w:smallCaps w:val="false"/>
                <w:spacing w:val="-2"/>
              </w:rPr>
              <w:t xml:space="preserve"> </w:t>
            </w:r>
            <w:r>
              <w:rPr>
                <w:rFonts w:ascii="Times New Roman;Times;serif" w:hAnsi="Times New Roman;Times;serif"/>
                <w:b w:val="false"/>
                <w:i w:val="false"/>
                <w:caps w:val="false"/>
                <w:smallCaps w:val="false"/>
                <w:sz w:val="20"/>
              </w:rPr>
              <w:t>documents</w:t>
            </w:r>
            <w:r>
              <w:rPr>
                <w:rFonts w:ascii="Times New Roman;Times;serif" w:hAnsi="Times New Roman;Times;serif"/>
                <w:b w:val="false"/>
                <w:i w:val="false"/>
                <w:caps w:val="false"/>
                <w:smallCaps w:val="false"/>
                <w:spacing w:val="-2"/>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limit</w:t>
            </w:r>
            <w:r>
              <w:rPr>
                <w:caps w:val="false"/>
                <w:smallCaps w:val="false"/>
                <w:spacing w:val="-3"/>
              </w:rPr>
              <w:t xml:space="preserve"> </w:t>
            </w:r>
            <w:r>
              <w:rPr>
                <w:rFonts w:ascii="Times New Roman;Times;serif" w:hAnsi="Times New Roman;Times;serif"/>
                <w:b w:val="false"/>
                <w:i w:val="false"/>
                <w:caps w:val="false"/>
                <w:smallCaps w:val="false"/>
                <w:sz w:val="20"/>
              </w:rPr>
              <w:t>access</w:t>
            </w:r>
            <w:r>
              <w:rPr>
                <w:caps w:val="false"/>
                <w:smallCaps w:val="false"/>
                <w:spacing w:val="-3"/>
              </w:rPr>
              <w:t xml:space="preserve"> </w:t>
            </w:r>
            <w:r>
              <w:rPr>
                <w:rFonts w:ascii="Times New Roman;Times;serif" w:hAnsi="Times New Roman;Times;serif"/>
                <w:b w:val="false"/>
                <w:i w:val="false"/>
                <w:caps w:val="false"/>
                <w:smallCaps w:val="false"/>
                <w:sz w:val="20"/>
              </w:rPr>
              <w:t>rights</w:t>
            </w:r>
            <w:r>
              <w:rPr>
                <w:caps w:val="false"/>
                <w:smallCaps w:val="false"/>
                <w:spacing w:val="-4"/>
              </w:rPr>
              <w:t xml:space="preserve"> </w:t>
            </w:r>
            <w:r>
              <w:rPr>
                <w:rFonts w:ascii="Times New Roman;Times;serif" w:hAnsi="Times New Roman;Times;serif"/>
                <w:b w:val="false"/>
                <w:i w:val="false"/>
                <w:caps w:val="false"/>
                <w:smallCaps w:val="false"/>
                <w:sz w:val="20"/>
              </w:rPr>
              <w:t>to</w:t>
            </w:r>
            <w:r>
              <w:rPr>
                <w:caps w:val="false"/>
                <w:smallCaps w:val="false"/>
                <w:spacing w:val="-3"/>
              </w:rPr>
              <w:t xml:space="preserve"> </w:t>
            </w:r>
            <w:r>
              <w:rPr>
                <w:rFonts w:ascii="Times New Roman;Times;serif" w:hAnsi="Times New Roman;Times;serif"/>
                <w:b w:val="false"/>
                <w:i w:val="false"/>
                <w:caps w:val="false"/>
                <w:smallCaps w:val="false"/>
                <w:sz w:val="20"/>
              </w:rPr>
              <w:t>system</w:t>
            </w:r>
            <w:r>
              <w:rPr>
                <w:caps w:val="false"/>
                <w:smallCaps w:val="false"/>
                <w:spacing w:val="-4"/>
              </w:rPr>
              <w:t xml:space="preserve"> </w:t>
            </w:r>
            <w:r>
              <w:rPr>
                <w:rFonts w:ascii="Times New Roman;Times;serif" w:hAnsi="Times New Roman;Times;serif"/>
                <w:b w:val="false"/>
                <w:i w:val="false"/>
                <w:caps w:val="false"/>
                <w:smallCaps w:val="false"/>
                <w:sz w:val="20"/>
              </w:rPr>
              <w:t>components</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4"/>
              </w:rPr>
              <w:t xml:space="preserve"> </w:t>
            </w:r>
            <w:r>
              <w:rPr>
                <w:rFonts w:ascii="Times New Roman;Times;serif" w:hAnsi="Times New Roman;Times;serif"/>
                <w:b w:val="false"/>
                <w:i w:val="false"/>
                <w:caps w:val="false"/>
                <w:smallCaps w:val="false"/>
                <w:sz w:val="20"/>
              </w:rPr>
              <w:t>authorized</w:t>
            </w:r>
            <w:r>
              <w:rPr>
                <w:caps w:val="false"/>
                <w:smallCaps w:val="false"/>
                <w:spacing w:val="-4"/>
              </w:rPr>
              <w:t xml:space="preserve"> </w:t>
            </w:r>
            <w:r>
              <w:rPr>
                <w:rFonts w:ascii="Times New Roman;Times;serif" w:hAnsi="Times New Roman;Times;serif"/>
                <w:b w:val="false"/>
                <w:i w:val="false"/>
                <w:caps w:val="false"/>
                <w:smallCaps w:val="false"/>
                <w:sz w:val="20"/>
              </w:rPr>
              <w:t>personnel,</w:t>
            </w:r>
            <w:r>
              <w:rPr>
                <w:caps w:val="false"/>
                <w:smallCaps w:val="false"/>
                <w:spacing w:val="-2"/>
              </w:rPr>
              <w:t xml:space="preserve"> </w:t>
            </w:r>
            <w:r>
              <w:rPr>
                <w:rFonts w:ascii="Times New Roman;Times;serif" w:hAnsi="Times New Roman;Times;serif"/>
                <w:b w:val="false"/>
                <w:i w:val="false"/>
                <w:caps w:val="false"/>
                <w:smallCaps w:val="false"/>
                <w:sz w:val="20"/>
              </w:rPr>
              <w:t>with</w:t>
            </w:r>
            <w:r>
              <w:rPr>
                <w:caps w:val="false"/>
                <w:smallCaps w:val="false"/>
                <w:spacing w:val="-3"/>
              </w:rPr>
              <w:t xml:space="preserve"> </w:t>
            </w:r>
            <w:r>
              <w:rPr>
                <w:rFonts w:ascii="Times New Roman;Times;serif" w:hAnsi="Times New Roman;Times;serif"/>
                <w:b w:val="false"/>
                <w:i w:val="false"/>
                <w:caps w:val="false"/>
                <w:smallCaps w:val="false"/>
                <w:sz w:val="20"/>
              </w:rPr>
              <w:t>end-users</w:t>
            </w:r>
            <w:r>
              <w:rPr>
                <w:caps w:val="false"/>
                <w:smallCaps w:val="false"/>
                <w:spacing w:val="-4"/>
              </w:rPr>
              <w:t xml:space="preserve"> </w:t>
            </w:r>
            <w:r>
              <w:rPr>
                <w:rFonts w:ascii="Times New Roman;Times;serif" w:hAnsi="Times New Roman;Times;serif"/>
                <w:b w:val="false"/>
                <w:i w:val="false"/>
                <w:caps w:val="false"/>
                <w:smallCaps w:val="false"/>
                <w:sz w:val="20"/>
              </w:rPr>
              <w:t>being</w:t>
            </w:r>
            <w:r>
              <w:rPr>
                <w:caps w:val="false"/>
                <w:smallCaps w:val="false"/>
                <w:spacing w:val="-4"/>
              </w:rPr>
              <w:t xml:space="preserve"> </w:t>
            </w:r>
            <w:r>
              <w:rPr>
                <w:rFonts w:ascii="Times New Roman;Times;serif" w:hAnsi="Times New Roman;Times;serif"/>
                <w:b w:val="false"/>
                <w:i w:val="false"/>
                <w:caps w:val="false"/>
                <w:smallCaps w:val="false"/>
                <w:sz w:val="20"/>
              </w:rPr>
              <w:t>granted access in accordance with stated access rights;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deploy</w:t>
            </w:r>
            <w:r>
              <w:rPr>
                <w:caps w:val="false"/>
                <w:smallCaps w:val="false"/>
                <w:spacing w:val="-3"/>
              </w:rPr>
              <w:t xml:space="preserve"> </w:t>
            </w:r>
            <w:r>
              <w:rPr>
                <w:rFonts w:ascii="Times New Roman;Times;serif" w:hAnsi="Times New Roman;Times;serif"/>
                <w:b w:val="false"/>
                <w:i w:val="false"/>
                <w:caps w:val="false"/>
                <w:smallCaps w:val="false"/>
                <w:sz w:val="20"/>
              </w:rPr>
              <w:t>anti-virus and managed detection and response (“MDR”)</w:t>
            </w:r>
            <w:r>
              <w:rPr>
                <w:caps w:val="false"/>
                <w:smallCaps w:val="false"/>
                <w:spacing w:val="-3"/>
              </w:rPr>
              <w:t xml:space="preserve"> </w:t>
            </w:r>
            <w:r>
              <w:rPr>
                <w:rFonts w:ascii="Times New Roman;Times;serif" w:hAnsi="Times New Roman;Times;serif"/>
                <w:b w:val="false"/>
                <w:i w:val="false"/>
                <w:caps w:val="false"/>
                <w:smallCaps w:val="false"/>
                <w:sz w:val="20"/>
              </w:rPr>
              <w:t>solutions</w:t>
            </w:r>
            <w:r>
              <w:rPr>
                <w:caps w:val="false"/>
                <w:smallCaps w:val="false"/>
                <w:spacing w:val="-4"/>
              </w:rPr>
              <w:t xml:space="preserve"> </w:t>
            </w:r>
            <w:r>
              <w:rPr>
                <w:rFonts w:ascii="Times New Roman;Times;serif" w:hAnsi="Times New Roman;Times;serif"/>
                <w:b w:val="false"/>
                <w:i w:val="false"/>
                <w:caps w:val="false"/>
                <w:smallCaps w:val="false"/>
                <w:sz w:val="20"/>
              </w:rPr>
              <w:t>on</w:t>
            </w:r>
            <w:r>
              <w:rPr>
                <w:caps w:val="false"/>
                <w:smallCaps w:val="false"/>
                <w:spacing w:val="-2"/>
              </w:rPr>
              <w:t xml:space="preserve"> </w:t>
            </w:r>
            <w:r>
              <w:rPr>
                <w:rFonts w:ascii="Times New Roman;Times;serif" w:hAnsi="Times New Roman;Times;serif"/>
                <w:b w:val="false"/>
                <w:i w:val="false"/>
                <w:caps w:val="false"/>
                <w:smallCaps w:val="false"/>
                <w:sz w:val="20"/>
              </w:rPr>
              <w:t>applicable</w:t>
            </w:r>
            <w:r>
              <w:rPr>
                <w:caps w:val="false"/>
                <w:smallCaps w:val="false"/>
                <w:spacing w:val="-3"/>
              </w:rPr>
              <w:t xml:space="preserve"> </w:t>
            </w:r>
            <w:r>
              <w:rPr>
                <w:rFonts w:ascii="Times New Roman;Times;serif" w:hAnsi="Times New Roman;Times;serif"/>
                <w:b w:val="false"/>
                <w:i w:val="false"/>
                <w:caps w:val="false"/>
                <w:smallCaps w:val="false"/>
                <w:sz w:val="20"/>
              </w:rPr>
              <w:t>system</w:t>
            </w:r>
            <w:r>
              <w:rPr>
                <w:caps w:val="false"/>
                <w:smallCaps w:val="false"/>
                <w:spacing w:val="-3"/>
              </w:rPr>
              <w:t xml:space="preserve"> </w:t>
            </w:r>
            <w:r>
              <w:rPr>
                <w:rFonts w:ascii="Times New Roman;Times;serif" w:hAnsi="Times New Roman;Times;serif"/>
                <w:b w:val="false"/>
                <w:i w:val="false"/>
                <w:caps w:val="false"/>
                <w:smallCaps w:val="false"/>
                <w:sz w:val="20"/>
              </w:rPr>
              <w:t>components, which are enabled for automatic updates and configured for conducting proactive scans;</w:t>
            </w:r>
          </w:p>
        </w:tc>
        <w:tc>
          <w:tcPr>
            <w:tcW w:w="154" w:type="dxa"/>
            <w:tcBorders/>
            <w:vAlign w:val="center"/>
          </w:tcPr>
          <w:p>
            <w:pPr>
              <w:pStyle w:val="TableContents"/>
              <w:bidi w:val="0"/>
              <w:spacing w:before="0" w:after="283"/>
              <w:jc w:val="left"/>
              <w:rPr>
                <w:sz w:val="4"/>
                <w:szCs w:val="4"/>
              </w:rPr>
            </w:pPr>
            <w:r>
              <w:rPr>
                <w:sz w:val="4"/>
                <w:szCs w:val="4"/>
              </w:rPr>
            </w:r>
          </w:p>
        </w:tc>
      </w:tr>
    </w:tbl>
    <w:tbl>
      <w:tblPr>
        <w:tblW w:w="4355" w:type="dxa"/>
        <w:jc w:val="left"/>
        <w:tblInd w:w="0" w:type="dxa"/>
        <w:tblLayout w:type="fixed"/>
        <w:tblCellMar>
          <w:top w:w="28" w:type="dxa"/>
          <w:left w:w="28" w:type="dxa"/>
          <w:bottom w:w="28" w:type="dxa"/>
          <w:right w:w="28" w:type="dxa"/>
        </w:tblCellMar>
      </w:tblPr>
      <w:tblGrid>
        <w:gridCol w:w="124"/>
        <w:gridCol w:w="256"/>
        <w:gridCol w:w="397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provision and</w:t>
            </w:r>
            <w:r>
              <w:rPr>
                <w:caps w:val="false"/>
                <w:smallCaps w:val="false"/>
                <w:spacing w:val="-4"/>
              </w:rPr>
              <w:t xml:space="preserve"> </w:t>
            </w:r>
            <w:r>
              <w:rPr>
                <w:rFonts w:ascii="Times New Roman;Times;serif" w:hAnsi="Times New Roman;Times;serif"/>
                <w:b w:val="false"/>
                <w:i w:val="false"/>
                <w:caps w:val="false"/>
                <w:smallCaps w:val="false"/>
                <w:sz w:val="20"/>
              </w:rPr>
              <w:t>harden</w:t>
            </w:r>
            <w:r>
              <w:rPr>
                <w:caps w:val="false"/>
                <w:smallCaps w:val="false"/>
                <w:spacing w:val="-1"/>
              </w:rPr>
              <w:t xml:space="preserve"> </w:t>
            </w:r>
            <w:r>
              <w:rPr>
                <w:rFonts w:ascii="Times New Roman;Times;serif" w:hAnsi="Times New Roman;Times;serif"/>
                <w:b w:val="false"/>
                <w:i w:val="false"/>
                <w:caps w:val="false"/>
                <w:smallCaps w:val="false"/>
                <w:sz w:val="20"/>
              </w:rPr>
              <w:t>critical</w:t>
            </w:r>
            <w:r>
              <w:rPr>
                <w:caps w:val="false"/>
                <w:smallCaps w:val="false"/>
                <w:spacing w:val="-1"/>
              </w:rPr>
              <w:t xml:space="preserve"> </w:t>
            </w:r>
            <w:r>
              <w:rPr>
                <w:rFonts w:ascii="Times New Roman;Times;serif" w:hAnsi="Times New Roman;Times;serif"/>
                <w:b w:val="false"/>
                <w:i w:val="false"/>
                <w:caps w:val="false"/>
                <w:smallCaps w:val="false"/>
                <w:sz w:val="20"/>
              </w:rPr>
              <w:t xml:space="preserve">system </w:t>
            </w:r>
            <w:r>
              <w:rPr>
                <w:rFonts w:ascii="Times New Roman;Times;serif" w:hAnsi="Times New Roman;Times;serif"/>
                <w:b w:val="false"/>
                <w:i w:val="false"/>
                <w:caps w:val="false"/>
                <w:smallCaps w:val="false"/>
                <w:spacing w:val="-2"/>
                <w:sz w:val="20"/>
              </w:rPr>
              <w:t>resources;</w:t>
            </w:r>
          </w:p>
        </w:tc>
      </w:tr>
    </w:tbl>
    <w:tbl>
      <w:tblPr>
        <w:tblW w:w="9640" w:type="dxa"/>
        <w:jc w:val="left"/>
        <w:tblInd w:w="0" w:type="dxa"/>
        <w:tblLayout w:type="fixed"/>
        <w:tblCellMar>
          <w:top w:w="28" w:type="dxa"/>
          <w:left w:w="28" w:type="dxa"/>
          <w:bottom w:w="28" w:type="dxa"/>
          <w:right w:w="28" w:type="dxa"/>
        </w:tblCellMar>
      </w:tblPr>
      <w:tblGrid>
        <w:gridCol w:w="124"/>
        <w:gridCol w:w="256"/>
        <w:gridCol w:w="910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use</w:t>
            </w:r>
            <w:r>
              <w:rPr>
                <w:caps w:val="false"/>
                <w:smallCaps w:val="false"/>
                <w:spacing w:val="-3"/>
              </w:rPr>
              <w:t xml:space="preserve"> </w:t>
            </w:r>
            <w:r>
              <w:rPr>
                <w:rFonts w:ascii="Times New Roman;Times;serif" w:hAnsi="Times New Roman;Times;serif"/>
                <w:b w:val="false"/>
                <w:i w:val="false"/>
                <w:caps w:val="false"/>
                <w:smallCaps w:val="false"/>
                <w:sz w:val="20"/>
              </w:rPr>
              <w:t>internal</w:t>
            </w:r>
            <w:r>
              <w:rPr>
                <w:caps w:val="false"/>
                <w:smallCaps w:val="false"/>
                <w:spacing w:val="-3"/>
              </w:rPr>
              <w:t xml:space="preserve"> </w:t>
            </w:r>
            <w:r>
              <w:rPr>
                <w:rFonts w:ascii="Times New Roman;Times;serif" w:hAnsi="Times New Roman;Times;serif"/>
                <w:b w:val="false"/>
                <w:i w:val="false"/>
                <w:caps w:val="false"/>
                <w:smallCaps w:val="false"/>
                <w:sz w:val="20"/>
              </w:rPr>
              <w:t>and</w:t>
            </w:r>
            <w:r>
              <w:rPr>
                <w:caps w:val="false"/>
                <w:smallCaps w:val="false"/>
                <w:spacing w:val="-3"/>
              </w:rPr>
              <w:t xml:space="preserve"> </w:t>
            </w:r>
            <w:r>
              <w:rPr>
                <w:rFonts w:ascii="Times New Roman;Times;serif" w:hAnsi="Times New Roman;Times;serif"/>
                <w:b w:val="false"/>
                <w:i w:val="false"/>
                <w:caps w:val="false"/>
                <w:smallCaps w:val="false"/>
                <w:sz w:val="20"/>
              </w:rPr>
              <w:t>external</w:t>
            </w:r>
            <w:r>
              <w:rPr>
                <w:caps w:val="false"/>
                <w:smallCaps w:val="false"/>
                <w:spacing w:val="-5"/>
              </w:rPr>
              <w:t xml:space="preserve"> </w:t>
            </w:r>
            <w:r>
              <w:rPr>
                <w:rFonts w:ascii="Times New Roman;Times;serif" w:hAnsi="Times New Roman;Times;serif"/>
                <w:b w:val="false"/>
                <w:i w:val="false"/>
                <w:caps w:val="false"/>
                <w:smallCaps w:val="false"/>
                <w:sz w:val="20"/>
              </w:rPr>
              <w:t>vulnerability</w:t>
            </w:r>
            <w:r>
              <w:rPr>
                <w:caps w:val="false"/>
                <w:smallCaps w:val="false"/>
                <w:spacing w:val="-2"/>
              </w:rPr>
              <w:t xml:space="preserve"> </w:t>
            </w:r>
            <w:r>
              <w:rPr>
                <w:rFonts w:ascii="Times New Roman;Times;serif" w:hAnsi="Times New Roman;Times;serif"/>
                <w:b w:val="false"/>
                <w:i w:val="false"/>
                <w:caps w:val="false"/>
                <w:smallCaps w:val="false"/>
                <w:sz w:val="20"/>
              </w:rPr>
              <w:t>scanning</w:t>
            </w:r>
            <w:r>
              <w:rPr>
                <w:caps w:val="false"/>
                <w:smallCaps w:val="false"/>
                <w:spacing w:val="-4"/>
              </w:rPr>
              <w:t xml:space="preserve"> </w:t>
            </w:r>
            <w:r>
              <w:rPr>
                <w:rFonts w:ascii="Times New Roman;Times;serif" w:hAnsi="Times New Roman;Times;serif"/>
                <w:b w:val="false"/>
                <w:i w:val="false"/>
                <w:caps w:val="false"/>
                <w:smallCaps w:val="false"/>
                <w:sz w:val="20"/>
              </w:rPr>
              <w:t>procedures,</w:t>
            </w:r>
            <w:r>
              <w:rPr>
                <w:caps w:val="false"/>
                <w:smallCaps w:val="false"/>
                <w:spacing w:val="-3"/>
              </w:rPr>
              <w:t xml:space="preserve"> </w:t>
            </w:r>
            <w:r>
              <w:rPr>
                <w:rFonts w:ascii="Times New Roman;Times;serif" w:hAnsi="Times New Roman;Times;serif"/>
                <w:b w:val="false"/>
                <w:i w:val="false"/>
                <w:caps w:val="false"/>
                <w:smallCaps w:val="false"/>
                <w:sz w:val="20"/>
              </w:rPr>
              <w:t>along</w:t>
            </w:r>
            <w:r>
              <w:rPr>
                <w:caps w:val="false"/>
                <w:smallCaps w:val="false"/>
                <w:spacing w:val="-3"/>
              </w:rPr>
              <w:t xml:space="preserve"> </w:t>
            </w:r>
            <w:r>
              <w:rPr>
                <w:rFonts w:ascii="Times New Roman;Times;serif" w:hAnsi="Times New Roman;Times;serif"/>
                <w:b w:val="false"/>
                <w:i w:val="false"/>
                <w:caps w:val="false"/>
                <w:smallCaps w:val="false"/>
                <w:sz w:val="20"/>
              </w:rPr>
              <w:t>with</w:t>
            </w:r>
            <w:r>
              <w:rPr>
                <w:caps w:val="false"/>
                <w:smallCaps w:val="false"/>
                <w:spacing w:val="-3"/>
              </w:rPr>
              <w:t xml:space="preserve"> </w:t>
            </w:r>
            <w:r>
              <w:rPr>
                <w:rFonts w:ascii="Times New Roman;Times;serif" w:hAnsi="Times New Roman;Times;serif"/>
                <w:b w:val="false"/>
                <w:i w:val="false"/>
                <w:caps w:val="false"/>
                <w:smallCaps w:val="false"/>
                <w:sz w:val="20"/>
              </w:rPr>
              <w:t>network</w:t>
            </w:r>
            <w:r>
              <w:rPr>
                <w:caps w:val="false"/>
                <w:smallCaps w:val="false"/>
                <w:spacing w:val="-3"/>
              </w:rPr>
              <w:t xml:space="preserve"> </w:t>
            </w:r>
            <w:r>
              <w:rPr>
                <w:rFonts w:ascii="Times New Roman;Times;serif" w:hAnsi="Times New Roman;Times;serif"/>
                <w:b w:val="false"/>
                <w:i w:val="false"/>
                <w:caps w:val="false"/>
                <w:smallCaps w:val="false"/>
                <w:sz w:val="20"/>
              </w:rPr>
              <w:t>layer</w:t>
            </w:r>
            <w:r>
              <w:rPr>
                <w:caps w:val="false"/>
                <w:smallCaps w:val="false"/>
                <w:spacing w:val="-3"/>
              </w:rPr>
              <w:t xml:space="preserve"> </w:t>
            </w:r>
            <w:r>
              <w:rPr>
                <w:rFonts w:ascii="Times New Roman;Times;serif" w:hAnsi="Times New Roman;Times;serif"/>
                <w:b w:val="false"/>
                <w:i w:val="false"/>
                <w:caps w:val="false"/>
                <w:smallCaps w:val="false"/>
                <w:sz w:val="20"/>
              </w:rPr>
              <w:t>and</w:t>
            </w:r>
            <w:r>
              <w:rPr>
                <w:caps w:val="false"/>
                <w:smallCaps w:val="false"/>
                <w:spacing w:val="-3"/>
              </w:rPr>
              <w:t xml:space="preserve"> </w:t>
            </w:r>
            <w:r>
              <w:rPr>
                <w:rFonts w:ascii="Times New Roman;Times;serif" w:hAnsi="Times New Roman;Times;serif"/>
                <w:b w:val="false"/>
                <w:i w:val="false"/>
                <w:caps w:val="false"/>
                <w:smallCaps w:val="false"/>
                <w:sz w:val="20"/>
              </w:rPr>
              <w:t>anti-hacking tests;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facilitate</w:t>
            </w:r>
            <w:r>
              <w:rPr>
                <w:caps w:val="false"/>
                <w:smallCaps w:val="false"/>
                <w:spacing w:val="-3"/>
              </w:rPr>
              <w:t xml:space="preserve"> </w:t>
            </w:r>
            <w:r>
              <w:rPr>
                <w:rFonts w:ascii="Times New Roman;Times;serif" w:hAnsi="Times New Roman;Times;serif"/>
                <w:b w:val="false"/>
                <w:i w:val="false"/>
                <w:caps w:val="false"/>
                <w:smallCaps w:val="false"/>
                <w:sz w:val="20"/>
              </w:rPr>
              <w:t>requests</w:t>
            </w:r>
            <w:r>
              <w:rPr>
                <w:caps w:val="false"/>
                <w:smallCaps w:val="false"/>
                <w:spacing w:val="-3"/>
              </w:rPr>
              <w:t xml:space="preserve"> </w:t>
            </w:r>
            <w:r>
              <w:rPr>
                <w:rFonts w:ascii="Times New Roman;Times;serif" w:hAnsi="Times New Roman;Times;serif"/>
                <w:b w:val="false"/>
                <w:i w:val="false"/>
                <w:caps w:val="false"/>
                <w:smallCaps w:val="false"/>
                <w:sz w:val="20"/>
              </w:rPr>
              <w:t>for</w:t>
            </w:r>
            <w:r>
              <w:rPr>
                <w:caps w:val="false"/>
                <w:smallCaps w:val="false"/>
                <w:spacing w:val="-4"/>
              </w:rPr>
              <w:t xml:space="preserve"> </w:t>
            </w:r>
            <w:r>
              <w:rPr>
                <w:rFonts w:ascii="Times New Roman;Times;serif" w:hAnsi="Times New Roman;Times;serif"/>
                <w:b w:val="false"/>
                <w:i w:val="false"/>
                <w:caps w:val="false"/>
                <w:smallCaps w:val="false"/>
                <w:sz w:val="20"/>
              </w:rPr>
              <w:t>validation</w:t>
            </w:r>
            <w:r>
              <w:rPr>
                <w:caps w:val="false"/>
                <w:smallCaps w:val="false"/>
                <w:spacing w:val="-4"/>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baseline</w:t>
            </w:r>
            <w:r>
              <w:rPr>
                <w:caps w:val="false"/>
                <w:smallCaps w:val="false"/>
                <w:spacing w:val="-4"/>
              </w:rPr>
              <w:t xml:space="preserve"> </w:t>
            </w:r>
            <w:r>
              <w:rPr>
                <w:rFonts w:ascii="Times New Roman;Times;serif" w:hAnsi="Times New Roman;Times;serif"/>
                <w:b w:val="false"/>
                <w:i w:val="false"/>
                <w:caps w:val="false"/>
                <w:smallCaps w:val="false"/>
                <w:sz w:val="20"/>
              </w:rPr>
              <w:t>configurations</w:t>
            </w:r>
            <w:r>
              <w:rPr>
                <w:caps w:val="false"/>
                <w:smallCaps w:val="false"/>
                <w:spacing w:val="-5"/>
              </w:rPr>
              <w:t xml:space="preserve"> </w:t>
            </w:r>
            <w:r>
              <w:rPr>
                <w:rFonts w:ascii="Times New Roman;Times;serif" w:hAnsi="Times New Roman;Times;serif"/>
                <w:b w:val="false"/>
                <w:i w:val="false"/>
                <w:caps w:val="false"/>
                <w:smallCaps w:val="false"/>
                <w:sz w:val="20"/>
              </w:rPr>
              <w:t>for</w:t>
            </w:r>
            <w:r>
              <w:rPr>
                <w:caps w:val="false"/>
                <w:smallCaps w:val="false"/>
                <w:spacing w:val="-4"/>
              </w:rPr>
              <w:t xml:space="preserve"> </w:t>
            </w:r>
            <w:r>
              <w:rPr>
                <w:rFonts w:ascii="Times New Roman;Times;serif" w:hAnsi="Times New Roman;Times;serif"/>
                <w:b w:val="false"/>
                <w:i w:val="false"/>
                <w:caps w:val="false"/>
                <w:smallCaps w:val="false"/>
                <w:sz w:val="20"/>
              </w:rPr>
              <w:t>purposes</w:t>
            </w:r>
            <w:r>
              <w:rPr>
                <w:caps w:val="false"/>
                <w:smallCaps w:val="false"/>
                <w:spacing w:val="-4"/>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regulatory</w:t>
            </w:r>
            <w:r>
              <w:rPr>
                <w:caps w:val="false"/>
                <w:smallCaps w:val="false"/>
                <w:spacing w:val="-3"/>
              </w:rPr>
              <w:t xml:space="preserve"> </w:t>
            </w:r>
            <w:r>
              <w:rPr>
                <w:rFonts w:ascii="Times New Roman;Times;serif" w:hAnsi="Times New Roman;Times;serif"/>
                <w:b w:val="false"/>
                <w:i w:val="false"/>
                <w:caps w:val="false"/>
                <w:smallCaps w:val="false"/>
                <w:sz w:val="20"/>
              </w:rPr>
              <w:t>compliance</w:t>
            </w:r>
            <w:r>
              <w:rPr>
                <w:caps w:val="false"/>
                <w:smallCaps w:val="false"/>
                <w:spacing w:val="-3"/>
              </w:rPr>
              <w:t xml:space="preserve"> </w:t>
            </w:r>
            <w:r>
              <w:rPr>
                <w:rFonts w:ascii="Times New Roman;Times;serif" w:hAnsi="Times New Roman;Times;serif"/>
                <w:b w:val="false"/>
                <w:i w:val="false"/>
                <w:caps w:val="false"/>
                <w:smallCaps w:val="false"/>
                <w:sz w:val="20"/>
              </w:rPr>
              <w:t>assessments and audits;</w:t>
            </w:r>
          </w:p>
        </w:tc>
        <w:tc>
          <w:tcPr>
            <w:tcW w:w="154" w:type="dxa"/>
            <w:tcBorders/>
            <w:vAlign w:val="center"/>
          </w:tcPr>
          <w:p>
            <w:pPr>
              <w:pStyle w:val="TableContents"/>
              <w:bidi w:val="0"/>
              <w:spacing w:before="0" w:after="283"/>
              <w:jc w:val="left"/>
              <w:rPr>
                <w:sz w:val="4"/>
                <w:szCs w:val="4"/>
              </w:rPr>
            </w:pPr>
            <w:r>
              <w:rPr>
                <w:sz w:val="4"/>
                <w:szCs w:val="4"/>
              </w:rPr>
            </w:r>
          </w:p>
        </w:tc>
      </w:tr>
    </w:tbl>
    <w:tbl>
      <w:tblPr>
        <w:tblW w:w="4345" w:type="dxa"/>
        <w:jc w:val="left"/>
        <w:tblInd w:w="0" w:type="dxa"/>
        <w:tblLayout w:type="fixed"/>
        <w:tblCellMar>
          <w:top w:w="28" w:type="dxa"/>
          <w:left w:w="28" w:type="dxa"/>
          <w:bottom w:w="28" w:type="dxa"/>
          <w:right w:w="28" w:type="dxa"/>
        </w:tblCellMar>
      </w:tblPr>
      <w:tblGrid>
        <w:gridCol w:w="124"/>
        <w:gridCol w:w="256"/>
        <w:gridCol w:w="381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provide cybersecurity</w:t>
            </w:r>
            <w:r>
              <w:rPr>
                <w:caps w:val="false"/>
                <w:smallCaps w:val="false"/>
                <w:spacing w:val="-3"/>
              </w:rPr>
              <w:t xml:space="preserve"> </w:t>
            </w:r>
            <w:r>
              <w:rPr>
                <w:rFonts w:ascii="Times New Roman;Times;serif" w:hAnsi="Times New Roman;Times;serif"/>
                <w:b w:val="false"/>
                <w:i w:val="false"/>
                <w:caps w:val="false"/>
                <w:smallCaps w:val="false"/>
                <w:sz w:val="20"/>
              </w:rPr>
              <w:t>training</w:t>
            </w:r>
            <w:r>
              <w:rPr>
                <w:caps w:val="false"/>
                <w:smallCaps w:val="false"/>
                <w:spacing w:val="-3"/>
              </w:rPr>
              <w:t xml:space="preserve"> </w:t>
            </w:r>
            <w:r>
              <w:rPr>
                <w:rFonts w:ascii="Times New Roman;Times;serif" w:hAnsi="Times New Roman;Times;serif"/>
                <w:b w:val="false"/>
                <w:i w:val="false"/>
                <w:caps w:val="false"/>
                <w:smallCaps w:val="false"/>
                <w:spacing w:val="-3"/>
                <w:sz w:val="20"/>
              </w:rPr>
              <w:t>for employees;</w:t>
            </w:r>
          </w:p>
        </w:tc>
        <w:tc>
          <w:tcPr>
            <w:tcW w:w="154" w:type="dxa"/>
            <w:tcBorders/>
            <w:vAlign w:val="center"/>
          </w:tcPr>
          <w:p>
            <w:pPr>
              <w:pStyle w:val="TableContents"/>
              <w:bidi w:val="0"/>
              <w:spacing w:before="0" w:after="283"/>
              <w:jc w:val="left"/>
              <w:rPr>
                <w:sz w:val="4"/>
                <w:szCs w:val="4"/>
              </w:rPr>
            </w:pPr>
            <w:r>
              <w:rPr>
                <w:sz w:val="4"/>
                <w:szCs w:val="4"/>
              </w:rPr>
            </w:r>
          </w:p>
        </w:tc>
      </w:tr>
    </w:tbl>
    <w:tbl>
      <w:tblPr>
        <w:tblW w:w="4864" w:type="dxa"/>
        <w:jc w:val="left"/>
        <w:tblInd w:w="0" w:type="dxa"/>
        <w:tblLayout w:type="fixed"/>
        <w:tblCellMar>
          <w:top w:w="28" w:type="dxa"/>
          <w:left w:w="28" w:type="dxa"/>
          <w:bottom w:w="28" w:type="dxa"/>
          <w:right w:w="28" w:type="dxa"/>
        </w:tblCellMar>
      </w:tblPr>
      <w:tblGrid>
        <w:gridCol w:w="124"/>
        <w:gridCol w:w="256"/>
        <w:gridCol w:w="4330"/>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perform Quarterly User Access Reviews (“UAR”);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have established an Artificial Intelligence (“AI”) and Generative AI usage policy to establish guidelines for the acceptable and responsible use of AI and Generative AI tools by employees, contractors, and authorized third parties.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Conducting our business involves the collection, storage, use, disclosure, processing, transfer, and other handling of a wide variety of information, including personally identifiable information, for various purposes in our businesses. Like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other comparable-sized companies that process a wide variety of information, our information technology systems, networks and infrastructure and technology have been, and may in the future be, vulnerable to cybersecurity attacks and other data security threats. As of the date of this Form 10-K, we do not believe any risks from cybersecurity threats have materially affected or are reasonably likely to materially affect us, including our results of operations or financial condition. However, cybersecurity attacks are constantly evolving, may be difficult to detect quickly, and often are not recognized until after they have been launched against a target. For example, the emergence of AI has provided additional tools for those who perpetrate these attacks, including through social engineering, the development of customized malware, and an enhanced ability to evade detection. Despite our security measures, there can be no assurance that we, or the third-party vendors, with which we interact, will not experience a cybersecurity incident in the future that will materially affect us. For more information about these and other cybersecurity risks faced by us, see Part 1. Item 1A.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has ultimate oversight for risks relating to our data security plan. In addition, the Board has delegated primary responsibility to the Audit Committee for assessing and managing data privacy and cybersecurity risks, reviewing data security and cybersecurity policies and processes with respect to data privacy and cybersecurity risk assessment and management, reviewing steps management has taken to monitor and control such risks, and regular inquires with our management team, internal auditors and independent auditors in connection therewith. The Audit Committee also considers the evolution of different cybersecurity threats, including through AI. The Audit Committee is also responsible for overseeing our investigation of, and response to, any cybersecurity attacks or threats.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have a dedicated team of employees overseeing our data security plan and initiatives, led by our Vice President of Information Systems (who has over thirty years’ experience working in cyber and information security related roles with mid-size as well as large companies), that works directly in consultation with internal and external advisors in connection with these efforts. We engage such external advisors to assist with the evaluation of our technology, security, critical risk areas and related controls to improve our ability to identify and detect, protect against, and recover from, cybersecurity incidents and other evolving threats and to appropriately benchmark against industry practices.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developed a procedure by which the Board and management are informed about and monitor the prevention, detection, mitigation and remediation of cybersecurity incidents. Our Incident Response Team, comprised of representatives of different departments within the Company, including the Vice President of Information Systems, works to identify cybersecurity-related incidents, and reports such incidents, along with any pertinent recommendations to update cybersecurity policies and procedures, to our management team. Our management team reports to the Audit Committee, on a quarterly basis and more frequently as needed on such matters. The Audit Committee and management also provide an annual report to the Board on pertinent cybersecurity matters. </w:t>
      </w:r>
    </w:p>
    <w:p>
      <w:pPr>
        <w:pStyle w:val="TextBody"/>
        <w:bidi w:val="0"/>
        <w:spacing w:before="0" w:after="240"/>
        <w:ind w:left="0" w:right="0" w:hanging="0"/>
        <w:jc w:val="left"/>
        <w:rPr>
          <w:rFonts w:ascii="Times New Roman;Times;serif" w:hAnsi="Times New Roman;Times;serif"/>
          <w:b/>
          <w:sz w:val="20"/>
        </w:rPr>
      </w:pPr>
      <w:bookmarkStart w:id="62" w:name="Item2Properties_208396"/>
      <w:bookmarkStart w:id="63" w:name="_e87a7552_b7d0_4e65_b03c_2f7574e42875"/>
      <w:bookmarkEnd w:id="62"/>
      <w:bookmarkEnd w:id="63"/>
      <w:r>
        <w:rPr>
          <w:rFonts w:ascii="Times New Roman;Times;serif" w:hAnsi="Times New Roman;Times;serif"/>
          <w:b/>
          <w:sz w:val="20"/>
        </w:rPr>
        <w:t>Item 2.     </w:t>
      </w:r>
      <w:r>
        <w:rPr>
          <w:rFonts w:ascii="Times New Roman;Times;serif" w:hAnsi="Times New Roman;Times;serif"/>
          <w:b/>
          <w:i/>
          <w:sz w:val="20"/>
        </w:rPr>
        <w:t>Properties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own 165,000 acres in Northwest Florida. A portion of our land is within the Sector Plan that entitles or gives legal rights for us to originally develop over 170,000 residential dwelling units, over 22 million square feet of retail, commercial and industrial space and over 3,000 hotel rooms on lands within Florida’s Bay and Walton counties. We also have additional entitlements, or legal rights, to develop acreage outside of the Sector Plan. Approximately 87% of our real estate is located in Florida’s Bay, Gulf, and Walton counties. Approximately 90% of our real estate land holdings are located within fifteen miles of the Gulf. Undeveloped land is managed as forestry land until designated for development. We anticipate a wide range of residential, hospitality and commercial uses on these land holdings. We have operating assets and projects under development in our residential, hospitality, and commercial segments. For more information on our real estate assets and related encumbrances, see “Item 1. </w:t>
      </w:r>
      <w:r>
        <w:rPr>
          <w:rFonts w:ascii="Times New Roman;Times;serif" w:hAnsi="Times New Roman;Times;serif"/>
          <w:i/>
          <w:sz w:val="20"/>
        </w:rPr>
        <w:t>Business</w:t>
      </w:r>
      <w:r>
        <w:rPr>
          <w:rFonts w:ascii="Times New Roman;Times;serif" w:hAnsi="Times New Roman;Times;serif"/>
          <w:sz w:val="20"/>
        </w:rPr>
        <w:t>” and “</w:t>
      </w:r>
      <w:r>
        <w:rPr>
          <w:rFonts w:ascii="Times New Roman;Times;serif" w:hAnsi="Times New Roman;Times;serif"/>
          <w:i/>
          <w:sz w:val="20"/>
        </w:rPr>
        <w:t>Schedule III (Consolidated) - Real Estate and Accumulated Depreciation</w:t>
      </w:r>
      <w:r>
        <w:rPr>
          <w:rFonts w:ascii="Times New Roman;Times;serif" w:hAnsi="Times New Roman;Times;serif"/>
          <w:sz w:val="20"/>
        </w:rPr>
        <w:t>” included in Item 15 of this Form 10-K for further information. In addition to the properties we own, we have investments in unconsolidated JVs that own properties such as the Latitude Margaritaville Watersound JV that includes the Latitude Margaritaville Watersound community.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our residential segment, we primarily develop communities into homesites for sale to homebuilders and on a limited basis to retail customers. As of December 31, 2025, we had homesites completed and under development, engineering or in conceptual planning in twenty-two separate communities. These include the Bayside at Ward Creek,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Breakfast Point East, Breakwater at Ward Creek, College Station, East Lake Creek, East Lake Powell, Lake Powell, Park Place, Pigeon Creek, Salt Creek at Mexico Beach, Salt Grass at Ward Creek, SouthWood, Teachee, Titus Park, Watersound Camp Creek, Watersound Origins, Watersound Origins West, West Bay Creek, West Laird, WindMark Beach and other Northwest Florida communities.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our hospitality segment, we own the Watersound Beach Club; Camp Creek golf course and amenities; Shark’s Tooth golf course and tennis center; The Third golf course; and Origins golf course, as well as other club amenities that are situated in or near our residential communities. We own the WaterColor Inn, The Pearl Hotel, Camp Creek Inn, Hilton Garden Inn Panama City Airport, Homewood Suites by Hilton Panama City Beach, Home2 Suites by Hilton Santa Rosa Beach, and the Watersound Inn, along with nearby retail and commercial space. With our JV partners, we own The Lodge 30A and the Embassy Suites by Hilton Panama City Beach Resort. We own additional properties in Panama City Beach, Florida that we operate as rental property. We own two marinas. We also own Hotel Indigo Panama City Marina and Harrison’s Kitchen &amp; Bar, both on leased land in downtown Panama City.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our commercial segment, we own, or jointly own, the properties used in our operations and have properties under construction that will be used in our operations, which include multi-family, self-storage, retail, office, industrial and commercial property. These commercial properties are located in Beckrich Office Park, where we are headquartered, North Bay Landing, WindMark Beach, VentureCrossings, Watersound Town Center, Watersound West Bay Center, Florida State University (“FSU”)/Tallahassee Memorial Hospital (“TMH”) Medical Campus and other Northwest Florida locations. In addition, with our JV partners we own Pier Park North, Pier Park Crossings, Pier Park Crossings Phase II, Watersound Origins Crossings and Mexico Beach Crossings.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64" w:name="Item3LegalProceedings_939962"/>
      <w:bookmarkStart w:id="65" w:name="_5d3acc03_a1aa_4e3f_9548_0fd97138b3b2"/>
      <w:bookmarkEnd w:id="64"/>
      <w:bookmarkEnd w:id="65"/>
      <w:r>
        <w:rPr>
          <w:rFonts w:ascii="Times New Roman;Times;serif" w:hAnsi="Times New Roman;Times;serif"/>
          <w:b/>
          <w:sz w:val="20"/>
        </w:rPr>
        <w:t>Item 3.    </w:t>
      </w:r>
      <w:r>
        <w:rPr>
          <w:rFonts w:ascii="Times New Roman;Times;serif" w:hAnsi="Times New Roman;Times;serif"/>
          <w:b/>
          <w:i/>
          <w:sz w:val="20"/>
        </w:rPr>
        <w:t>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information regarding legal proceedings, see Note 19. </w:t>
      </w:r>
      <w:r>
        <w:rPr>
          <w:rFonts w:ascii="Times New Roman;Times;serif" w:hAnsi="Times New Roman;Times;serif"/>
          <w:i/>
          <w:sz w:val="20"/>
        </w:rPr>
        <w:t>Commitments and Contingencies</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hanging="0"/>
        <w:jc w:val="left"/>
        <w:rPr>
          <w:rFonts w:ascii="Times New Roman;Times;serif" w:hAnsi="Times New Roman;Times;serif"/>
          <w:b/>
          <w:sz w:val="20"/>
        </w:rPr>
      </w:pPr>
      <w:bookmarkStart w:id="66" w:name="Item4MineSafetyDisclosures_446924"/>
      <w:bookmarkStart w:id="67" w:name="_3dd2400c_262f_40f3_8e2e_f18231ecfc07"/>
      <w:bookmarkEnd w:id="66"/>
      <w:bookmarkEnd w:id="67"/>
      <w:r>
        <w:rPr>
          <w:rFonts w:ascii="Times New Roman;Times;serif" w:hAnsi="Times New Roman;Times;serif"/>
          <w:b/>
          <w:sz w:val="20"/>
        </w:rPr>
        <w:t>Item 4.    </w:t>
      </w:r>
      <w:r>
        <w:rPr>
          <w:rFonts w:ascii="Times New Roman;Times;serif" w:hAnsi="Times New Roman;Times;serif"/>
          <w:b/>
          <w:i/>
          <w:sz w:val="20"/>
        </w:rPr>
        <w:t>Mine Safety Disclosures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bookmarkStart w:id="68" w:name="PARTII_236767"/>
      <w:bookmarkStart w:id="69" w:name="_2a636cd2_1537_49ff_a0b6_88da2b5a5979"/>
      <w:bookmarkEnd w:id="68"/>
      <w:bookmarkEnd w:id="69"/>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70" w:name="Item5MarketfortheRegistrantsCommonEquity"/>
      <w:bookmarkEnd w:id="70"/>
      <w:r>
        <w:rPr>
          <w:rFonts w:ascii="Times New Roman;Times;serif" w:hAnsi="Times New Roman;Times;serif"/>
          <w:b/>
          <w:sz w:val="20"/>
        </w:rPr>
        <w:t>Item 5.    </w:t>
      </w:r>
      <w:r>
        <w:rPr>
          <w:rFonts w:ascii="Times New Roman;Times;serif" w:hAnsi="Times New Roman;Times;serif"/>
          <w:b/>
          <w:i/>
          <w:sz w:val="20"/>
        </w:rPr>
        <w:t>Market for the Registrant’s Common Equity, Related Stockholder Matters and Issuer Purchases of</w:t>
      </w:r>
      <w:r>
        <w:rPr>
          <w:rFonts w:ascii="Times New Roman;Times;serif" w:hAnsi="Times New Roman;Times;serif"/>
          <w:b/>
          <w:sz w:val="20"/>
        </w:rPr>
        <w:t xml:space="preserve"> </w:t>
      </w:r>
      <w:r>
        <w:rPr>
          <w:rFonts w:ascii="Times New Roman;Times;serif" w:hAnsi="Times New Roman;Times;serif"/>
          <w:b/>
          <w:i/>
          <w:sz w:val="20"/>
        </w:rPr>
        <w:t>Equity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February 23, 2026, we had approximately 569 registered holders of record of our common stock. Our common stock is listed on the New York Stock Exchange (“NYSE”) under the symbol “JOE.”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2025, we paid quarterly cash dividends of $0.14 per share on our common stock in each of the first three quarters, and $0.16 per share in the fourth quarter ($0.58 per share in the aggregate). In 2024, we paid quarterly cash dividends of $0.12 per share on our common stock in the first and second quarters, and $0.14 per share on our common stock in the third and fourth quarters ($0.52 per share in the aggregate). In 2023, we paid quarterly cash dividends of $0.10 per share on our common stock in the first and second quarters, and $0.12 per share on our common stock in the third and fourth quarters ($0.44 per share in the aggregate). While we expect to continue to pay quarterly dividends, the declaration and payment of any future dividends will be at the discretion of our Board after taking into account various factors, including without limitation, our financial condition, earnings, capital requirements of our business, the terms of any credit agreements or indentures, to which we may be a party to at the time, legal requirements, industry practice, and other factors that our Board deems relevant. Past payments of dividends should not be construed as a guarantee of payment or declaration of future dividends in the same amount or at all. See Part I. Item 1A. </w:t>
      </w:r>
      <w:r>
        <w:rPr>
          <w:rFonts w:ascii="Times New Roman;Times;serif" w:hAnsi="Times New Roman;Times;serif"/>
          <w:i/>
          <w:sz w:val="20"/>
        </w:rPr>
        <w:t>Risk Factors – General Risks – We cannot assure you that we will not make changes to our existing capital allocation plan, including whether we will continue to pay dividends at the current rate or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performance graph compares our cumulative shareholder returns for the period from December 31, 2020 through December 31, 2025, assuming $100 was invested on December 31, 2020, in our common stock, in the S&amp;P SmallCap 600 Index, and a custom real estate peer group (the “Custom Real Estate Peer Group”). The Custom Real Estate Peer Group is composed of Alexander &amp; Baldwin Inc. (ALEX), CTO Realty Growth, Inc. (CTO), Five Point Holdings, LLC (FPH), Howard Hughes Holdings, Inc. (HHH), Maui Land &amp; Pineapple Company, Inc. (MLP), Stratus Properties Inc. (STRS) and Tejon Ranch Co. (TRC). Total returns shown assume that dividends are reinvested. Total return for the Custom Real Estate Peer Group is weighted based on the issuers’ respective market capitalization at the beginning of each period for which a return is indicated. The stock price performance shown below is not necessarily indicative of future price performance.</w:t>
      </w:r>
    </w:p>
    <w:p>
      <w:pPr>
        <w:pStyle w:val="TextBody"/>
        <w:bidi w:val="0"/>
        <w:spacing w:before="0" w:after="240"/>
        <w:ind w:left="0" w:right="0" w:hanging="0"/>
        <w:jc w:val="both"/>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6163310" cy="368490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163310" cy="3684905"/>
                    </a:xfrm>
                    <a:prstGeom prst="rect">
                      <a:avLst/>
                    </a:prstGeom>
                  </pic:spPr>
                </pic:pic>
              </a:graphicData>
            </a:graphic>
          </wp:inline>
        </w:drawing>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579"/>
        <w:gridCol w:w="346"/>
        <w:gridCol w:w="300"/>
        <w:gridCol w:w="601"/>
        <w:gridCol w:w="346"/>
        <w:gridCol w:w="216"/>
        <w:gridCol w:w="697"/>
        <w:gridCol w:w="346"/>
        <w:gridCol w:w="216"/>
        <w:gridCol w:w="697"/>
        <w:gridCol w:w="346"/>
        <w:gridCol w:w="216"/>
        <w:gridCol w:w="697"/>
        <w:gridCol w:w="346"/>
        <w:gridCol w:w="216"/>
        <w:gridCol w:w="697"/>
        <w:gridCol w:w="346"/>
        <w:gridCol w:w="211"/>
        <w:gridCol w:w="786"/>
      </w:tblGrid>
      <w:tr>
        <w:trPr/>
        <w:tc>
          <w:tcPr>
            <w:tcW w:w="2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637665" cy="175260"/>
                      <wp:effectExtent l="0" t="0" r="0" b="0"/>
                      <wp:wrapNone/>
                      <wp:docPr id="8" name="Frame7"/>
                      <a:graphic xmlns:a="http://schemas.openxmlformats.org/drawingml/2006/main">
                        <a:graphicData uri="http://schemas.microsoft.com/office/word/2010/wordprocessingShape">
                          <wps:wsp>
                            <wps:cNvSpPr txBox="1"/>
                            <wps:spPr>
                              <a:xfrm>
                                <a:off x="0" y="0"/>
                                <a:ext cx="163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90500" cy="175260"/>
                      <wp:effectExtent l="0" t="0" r="0" b="0"/>
                      <wp:wrapNone/>
                      <wp:docPr id="10" name="Frame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81635" cy="175260"/>
                      <wp:effectExtent l="0" t="0" r="0" b="0"/>
                      <wp:wrapNone/>
                      <wp:docPr id="11" name="Frame1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7160" cy="175260"/>
                      <wp:effectExtent l="0" t="0" r="0" b="0"/>
                      <wp:wrapNone/>
                      <wp:docPr id="13" name="Frame1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42595" cy="175260"/>
                      <wp:effectExtent l="0" t="0" r="0" b="0"/>
                      <wp:wrapNone/>
                      <wp:docPr id="14" name="Frame13"/>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7160" cy="175260"/>
                      <wp:effectExtent l="0" t="0" r="0" b="0"/>
                      <wp:wrapNone/>
                      <wp:docPr id="16" name="Frame1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42595" cy="175260"/>
                      <wp:effectExtent l="0" t="0" r="0" b="0"/>
                      <wp:wrapNone/>
                      <wp:docPr id="17" name="Frame16"/>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7160" cy="175260"/>
                      <wp:effectExtent l="0" t="0" r="0" b="0"/>
                      <wp:wrapNone/>
                      <wp:docPr id="19" name="Frame1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42595" cy="175260"/>
                      <wp:effectExtent l="0" t="0" r="0" b="0"/>
                      <wp:wrapNone/>
                      <wp:docPr id="20" name="Frame19"/>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7160" cy="175260"/>
                      <wp:effectExtent l="0" t="0" r="0" b="0"/>
                      <wp:wrapNone/>
                      <wp:docPr id="22" name="Frame2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42595" cy="175260"/>
                      <wp:effectExtent l="0" t="0" r="0" b="0"/>
                      <wp:wrapNone/>
                      <wp:docPr id="23" name="Frame22"/>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5"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9110" cy="175260"/>
                      <wp:effectExtent l="0" t="0" r="0" b="0"/>
                      <wp:wrapNone/>
                      <wp:docPr id="26" name="Frame2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12/31/2020</w:t>
            </w:r>
          </w:p>
        </w:tc>
        <w:tc>
          <w:tcPr>
            <w:tcW w:w="346" w:type="dxa"/>
            <w:tcBorders/>
            <w:vAlign w:val="center"/>
          </w:tcPr>
          <w:p>
            <w:pPr>
              <w:pStyle w:val="TableContents"/>
              <w:bidi w:val="0"/>
              <w:spacing w:before="0" w:after="1"/>
              <w:ind w:left="0" w:right="0" w:hanging="0"/>
              <w:jc w:val="center"/>
              <w:rPr/>
            </w:pPr>
            <w:r>
              <w:rPr/>
              <w:t>  ​ ​ ​</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12/31/2021</w:t>
            </w:r>
          </w:p>
        </w:tc>
        <w:tc>
          <w:tcPr>
            <w:tcW w:w="346" w:type="dxa"/>
            <w:tcBorders/>
            <w:vAlign w:val="center"/>
          </w:tcPr>
          <w:p>
            <w:pPr>
              <w:pStyle w:val="TableContents"/>
              <w:bidi w:val="0"/>
              <w:spacing w:before="0" w:after="1"/>
              <w:ind w:left="0" w:right="0" w:hanging="0"/>
              <w:jc w:val="center"/>
              <w:rPr/>
            </w:pPr>
            <w:r>
              <w:rPr/>
              <w:t>  ​ ​ ​</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12/31/2022</w:t>
            </w:r>
          </w:p>
        </w:tc>
        <w:tc>
          <w:tcPr>
            <w:tcW w:w="346" w:type="dxa"/>
            <w:tcBorders/>
            <w:vAlign w:val="center"/>
          </w:tcPr>
          <w:p>
            <w:pPr>
              <w:pStyle w:val="TableContents"/>
              <w:bidi w:val="0"/>
              <w:spacing w:before="0" w:after="1"/>
              <w:ind w:left="0" w:right="0" w:hanging="0"/>
              <w:jc w:val="center"/>
              <w:rPr/>
            </w:pPr>
            <w:r>
              <w:rPr/>
              <w:t>  ​ ​ ​</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12/31/2023</w:t>
            </w:r>
          </w:p>
        </w:tc>
        <w:tc>
          <w:tcPr>
            <w:tcW w:w="346" w:type="dxa"/>
            <w:tcBorders/>
            <w:vAlign w:val="center"/>
          </w:tcPr>
          <w:p>
            <w:pPr>
              <w:pStyle w:val="TableContents"/>
              <w:bidi w:val="0"/>
              <w:spacing w:before="0" w:after="1"/>
              <w:ind w:left="0" w:right="0" w:hanging="0"/>
              <w:jc w:val="center"/>
              <w:rPr/>
            </w:pPr>
            <w:r>
              <w:rPr/>
              <w:t>  ​ ​ ​</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12/31/2024</w:t>
            </w:r>
          </w:p>
        </w:tc>
        <w:tc>
          <w:tcPr>
            <w:tcW w:w="346" w:type="dxa"/>
            <w:tcBorders/>
            <w:vAlign w:val="center"/>
          </w:tcPr>
          <w:p>
            <w:pPr>
              <w:pStyle w:val="TableContents"/>
              <w:bidi w:val="0"/>
              <w:spacing w:before="0" w:after="1"/>
              <w:ind w:left="0" w:right="0" w:hanging="0"/>
              <w:jc w:val="center"/>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12/31/2025</w:t>
            </w:r>
          </w:p>
        </w:tc>
      </w:tr>
      <w:tr>
        <w:trPr/>
        <w:tc>
          <w:tcPr>
            <w:tcW w:w="25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 St. Joe Company</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92.49</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145.33</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146.41</w:t>
            </w:r>
          </w:p>
        </w:tc>
      </w:tr>
      <w:tr>
        <w:trPr/>
        <w:tc>
          <w:tcPr>
            <w:tcW w:w="25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S&amp;P SmallCap 600 Index</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126.82</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106.40</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123.48</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142.30</w:t>
            </w:r>
          </w:p>
        </w:tc>
      </w:tr>
      <w:tr>
        <w:trPr/>
        <w:tc>
          <w:tcPr>
            <w:tcW w:w="25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 Real Estate Peer Group</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131.99</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99.97</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111.69</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117.89</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Board has approved the Stock Repurchase Program, pursuant to which we are authorized to repurchase shares of our common stock. The program has no expiration date. In February 2025, the Board increased the total authorization under the Stock Repurchase Program to $100.0 million. As of December 31, 2025, we had a total authority of $60.0 million available for repurchase of shares of our common stock outstanding. We may repurchase our common stock in open market purchases from time to time, in privately negotiated transactions or otherwise, pursuant to Rule 10b-18 under the Exchange Act. The timing and amount of any additional stock to be repurchased will depend upon a variety of factors. Repurchases may be commenced or suspended at any time or from time to time without prior notice. The program will continue until otherwise modified or terminated by our Board at any time in its sole discretion.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on our repurchase of common stock during the three months ended December 31, 2025:</w:t>
      </w:r>
    </w:p>
    <w:tbl>
      <w:tblPr>
        <w:tblW w:w="10084" w:type="dxa"/>
        <w:jc w:val="left"/>
        <w:tblInd w:w="0" w:type="dxa"/>
        <w:tblLayout w:type="fixed"/>
        <w:tblCellMar>
          <w:top w:w="0" w:type="dxa"/>
          <w:left w:w="0" w:type="dxa"/>
          <w:bottom w:w="0" w:type="dxa"/>
          <w:right w:w="0" w:type="dxa"/>
        </w:tblCellMar>
      </w:tblPr>
      <w:tblGrid>
        <w:gridCol w:w="1891"/>
        <w:gridCol w:w="346"/>
        <w:gridCol w:w="1381"/>
        <w:gridCol w:w="346"/>
        <w:gridCol w:w="371"/>
        <w:gridCol w:w="1009"/>
        <w:gridCol w:w="346"/>
        <w:gridCol w:w="1846"/>
        <w:gridCol w:w="346"/>
        <w:gridCol w:w="626"/>
        <w:gridCol w:w="1385"/>
        <w:gridCol w:w="19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00785" cy="175260"/>
                      <wp:effectExtent l="0" t="0" r="0" b="0"/>
                      <wp:wrapNone/>
                      <wp:docPr id="27" name="Frame26"/>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876935" cy="175260"/>
                      <wp:effectExtent l="0" t="0" r="0" b="0"/>
                      <wp:wrapNone/>
                      <wp:docPr id="29" name="Frame28"/>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5585" cy="175260"/>
                      <wp:effectExtent l="0" t="0" r="0" b="0"/>
                      <wp:wrapNone/>
                      <wp:docPr id="31" name="Frame3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0715" cy="175260"/>
                      <wp:effectExtent l="0" t="0" r="0" b="0"/>
                      <wp:wrapNone/>
                      <wp:docPr id="32" name="Frame31"/>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172210" cy="175260"/>
                      <wp:effectExtent l="0" t="0" r="0" b="0"/>
                      <wp:wrapNone/>
                      <wp:docPr id="34" name="Frame3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97510" cy="175260"/>
                      <wp:effectExtent l="0" t="0" r="0" b="0"/>
                      <wp:wrapNone/>
                      <wp:docPr id="36" name="Frame35"/>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879475" cy="175260"/>
                      <wp:effectExtent l="0" t="0" r="0" b="0"/>
                      <wp:wrapNone/>
                      <wp:docPr id="37" name="Frame36"/>
                      <a:graphic xmlns:a="http://schemas.openxmlformats.org/drawingml/2006/main">
                        <a:graphicData uri="http://schemas.microsoft.com/office/word/2010/wordprocessingShape">
                          <wps:wsp>
                            <wps:cNvSpPr txBox="1"/>
                            <wps:spPr>
                              <a:xfrm>
                                <a:off x="0" y="0"/>
                                <a:ext cx="879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1285" cy="175260"/>
                      <wp:effectExtent l="0" t="0" r="0" b="0"/>
                      <wp:wrapNone/>
                      <wp:docPr id="38" name="Frame3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7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 Shares</w:t>
            </w:r>
          </w:p>
        </w:tc>
        <w:tc>
          <w:tcPr>
            <w:tcW w:w="346" w:type="dxa"/>
            <w:tcBorders/>
            <w:vAlign w:val="center"/>
          </w:tcPr>
          <w:p>
            <w:pPr>
              <w:pStyle w:val="TableContents"/>
              <w:bidi w:val="0"/>
              <w:spacing w:before="0" w:after="1"/>
              <w:ind w:left="0" w:right="0" w:hanging="0"/>
              <w:jc w:val="center"/>
              <w:rPr/>
            </w:pPr>
            <w:r>
              <w:rPr/>
              <w:t>  ​ ​ ​</w:t>
            </w:r>
          </w:p>
        </w:tc>
        <w:tc>
          <w:tcPr>
            <w:tcW w:w="20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Maximum Dollar Value of</w:t>
            </w:r>
          </w:p>
        </w:tc>
        <w:tc>
          <w:tcPr>
            <w:tcW w:w="191" w:type="dxa"/>
            <w:tcBorders/>
            <w:vAlign w:val="center"/>
          </w:tcPr>
          <w:p>
            <w:pPr>
              <w:pStyle w:val="TableContents"/>
              <w:bidi w:val="0"/>
              <w:spacing w:before="0" w:after="1"/>
              <w:ind w:left="0" w:right="0" w:hanging="0"/>
              <w:jc w:val="center"/>
              <w:rPr/>
            </w:pPr>
            <w:r>
              <w:rPr/>
              <w:t> </w:t>
            </w:r>
          </w:p>
        </w:tc>
      </w:tr>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7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as Part of</w:t>
            </w:r>
          </w:p>
        </w:tc>
        <w:tc>
          <w:tcPr>
            <w:tcW w:w="346" w:type="dxa"/>
            <w:tcBorders/>
            <w:vAlign w:val="center"/>
          </w:tcPr>
          <w:p>
            <w:pPr>
              <w:pStyle w:val="TableContents"/>
              <w:bidi w:val="0"/>
              <w:spacing w:before="0" w:after="1"/>
              <w:ind w:left="0" w:right="0" w:hanging="0"/>
              <w:jc w:val="center"/>
              <w:rPr/>
            </w:pPr>
            <w:r>
              <w:rPr/>
              <w:t>​</w:t>
            </w:r>
          </w:p>
        </w:tc>
        <w:tc>
          <w:tcPr>
            <w:tcW w:w="20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that May Yet Be</w:t>
            </w:r>
          </w:p>
        </w:tc>
        <w:tc>
          <w:tcPr>
            <w:tcW w:w="191" w:type="dxa"/>
            <w:tcBorders/>
            <w:vAlign w:val="center"/>
          </w:tcPr>
          <w:p>
            <w:pPr>
              <w:pStyle w:val="TableContents"/>
              <w:bidi w:val="0"/>
              <w:spacing w:before="0" w:after="1"/>
              <w:ind w:left="0" w:right="0" w:hanging="0"/>
              <w:jc w:val="center"/>
              <w:rPr/>
            </w:pPr>
            <w:r>
              <w:rPr/>
              <w:t> </w:t>
            </w:r>
          </w:p>
        </w:tc>
      </w:tr>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1"/>
              <w:ind w:left="0" w:right="0" w:hanging="0"/>
              <w:jc w:val="center"/>
              <w:rPr/>
            </w:pPr>
            <w:r>
              <w:rPr/>
              <w:t>​</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Publicly Announced</w:t>
            </w:r>
          </w:p>
        </w:tc>
        <w:tc>
          <w:tcPr>
            <w:tcW w:w="346" w:type="dxa"/>
            <w:tcBorders/>
            <w:vAlign w:val="center"/>
          </w:tcPr>
          <w:p>
            <w:pPr>
              <w:pStyle w:val="TableContents"/>
              <w:bidi w:val="0"/>
              <w:spacing w:before="0" w:after="1"/>
              <w:ind w:left="0" w:right="0" w:hanging="0"/>
              <w:jc w:val="center"/>
              <w:rPr/>
            </w:pPr>
            <w:r>
              <w:rPr/>
              <w:t>​</w:t>
            </w:r>
          </w:p>
        </w:tc>
        <w:tc>
          <w:tcPr>
            <w:tcW w:w="20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Under the</w:t>
            </w:r>
          </w:p>
        </w:tc>
        <w:tc>
          <w:tcPr>
            <w:tcW w:w="191" w:type="dxa"/>
            <w:tcBorders/>
            <w:vAlign w:val="center"/>
          </w:tcPr>
          <w:p>
            <w:pPr>
              <w:pStyle w:val="TableContents"/>
              <w:bidi w:val="0"/>
              <w:spacing w:before="0" w:after="1"/>
              <w:ind w:left="0" w:right="0" w:hanging="0"/>
              <w:jc w:val="center"/>
              <w:rPr/>
            </w:pPr>
            <w:r>
              <w:rPr/>
              <w:t> </w:t>
            </w:r>
          </w:p>
        </w:tc>
      </w:tr>
      <w:tr>
        <w:trPr/>
        <w:tc>
          <w:tcPr>
            <w:tcW w:w="18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1"/>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Paid per Share</w:t>
            </w:r>
            <w:r>
              <w:rPr>
                <w:rFonts w:ascii="Times New Roman;Times;serif" w:hAnsi="Times New Roman;Times;serif"/>
                <w:sz w:val="16"/>
              </w:rPr>
              <w:t xml:space="preserve"> </w:t>
            </w:r>
            <w:r>
              <w:rPr>
                <w:rFonts w:ascii="Times New Roman;Times;serif" w:hAnsi="Times New Roman;Times;serif"/>
                <w:b/>
                <w:sz w:val="12"/>
              </w:rPr>
              <w:t>(a)</w:t>
            </w:r>
          </w:p>
        </w:tc>
        <w:tc>
          <w:tcPr>
            <w:tcW w:w="346" w:type="dxa"/>
            <w:tcBorders/>
            <w:vAlign w:val="center"/>
          </w:tcPr>
          <w:p>
            <w:pPr>
              <w:pStyle w:val="TableContents"/>
              <w:bidi w:val="0"/>
              <w:spacing w:before="0" w:after="1"/>
              <w:ind w:left="0" w:right="0" w:hanging="0"/>
              <w:jc w:val="center"/>
              <w:rPr/>
            </w:pPr>
            <w:r>
              <w:rPr/>
              <w:t>​</w:t>
            </w:r>
          </w:p>
        </w:tc>
        <w:tc>
          <w:tcPr>
            <w:tcW w:w="18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 or Programs</w:t>
            </w:r>
          </w:p>
        </w:tc>
        <w:tc>
          <w:tcPr>
            <w:tcW w:w="346" w:type="dxa"/>
            <w:tcBorders/>
            <w:vAlign w:val="center"/>
          </w:tcPr>
          <w:p>
            <w:pPr>
              <w:pStyle w:val="TableContents"/>
              <w:bidi w:val="0"/>
              <w:spacing w:before="0" w:after="1"/>
              <w:ind w:left="0" w:right="0" w:hanging="0"/>
              <w:jc w:val="center"/>
              <w:rPr/>
            </w:pPr>
            <w:r>
              <w:rPr/>
              <w:t>​</w:t>
            </w:r>
          </w:p>
        </w:tc>
        <w:tc>
          <w:tcPr>
            <w:tcW w:w="2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 or Programs</w:t>
            </w:r>
          </w:p>
        </w:tc>
        <w:tc>
          <w:tcPr>
            <w:tcW w:w="191" w:type="dxa"/>
            <w:tcBorders/>
            <w:vAlign w:val="center"/>
          </w:tcPr>
          <w:p>
            <w:pPr>
              <w:pStyle w:val="TableContents"/>
              <w:bidi w:val="0"/>
              <w:spacing w:before="0" w:after="1"/>
              <w:ind w:left="0" w:right="0" w:hanging="0"/>
              <w:jc w:val="center"/>
              <w:rPr/>
            </w:pPr>
            <w:r>
              <w:rPr/>
              <w:t> </w:t>
            </w:r>
          </w:p>
        </w:tc>
      </w:tr>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7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11" w:type="dxa"/>
            <w:gridSpan w:val="2"/>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191" w:type="dxa"/>
            <w:tcBorders/>
            <w:vAlign w:val="center"/>
          </w:tcPr>
          <w:p>
            <w:pPr>
              <w:pStyle w:val="TableContents"/>
              <w:bidi w:val="0"/>
              <w:spacing w:before="0" w:after="1"/>
              <w:ind w:left="0" w:right="0" w:hanging="0"/>
              <w:jc w:val="center"/>
              <w:rPr/>
            </w:pPr>
            <w:r>
              <w:rPr/>
              <w:t> </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October 1-31,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78,300</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48.55</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78,300</w:t>
            </w:r>
          </w:p>
        </w:tc>
        <w:tc>
          <w:tcPr>
            <w:tcW w:w="346"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November 1-30, 2025</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23,573</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59.40</w:t>
            </w:r>
          </w:p>
        </w:tc>
        <w:tc>
          <w:tcPr>
            <w:tcW w:w="346" w:type="dxa"/>
            <w:tcBorders/>
            <w:vAlign w:val="center"/>
          </w:tcPr>
          <w:p>
            <w:pPr>
              <w:pStyle w:val="TableContents"/>
              <w:bidi w:val="0"/>
              <w:spacing w:before="0" w:after="1"/>
              <w:ind w:left="0" w:right="0" w:hanging="0"/>
              <w:jc w:val="left"/>
              <w:rPr/>
            </w:pPr>
            <w:r>
              <w:rPr/>
              <w:t> </w:t>
            </w:r>
          </w:p>
        </w:tc>
        <w:tc>
          <w:tcPr>
            <w:tcW w:w="1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23,573</w:t>
            </w:r>
          </w:p>
        </w:tc>
        <w:tc>
          <w:tcPr>
            <w:tcW w:w="346"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left"/>
              <w:rPr/>
            </w:pPr>
            <w:r>
              <w:rPr/>
              <w:t> </w:t>
            </w:r>
          </w:p>
        </w:tc>
        <w:tc>
          <w:tcPr>
            <w:tcW w:w="13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191"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1-31,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161,650</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61.31</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161,650</w:t>
            </w:r>
          </w:p>
        </w:tc>
        <w:tc>
          <w:tcPr>
            <w:tcW w:w="346" w:type="dxa"/>
            <w:tcBorders/>
            <w:shd w:fill="CCEEFF" w:val="clear"/>
            <w:vAlign w:val="center"/>
          </w:tcPr>
          <w:p>
            <w:pPr>
              <w:pStyle w:val="TableContents"/>
              <w:bidi w:val="0"/>
              <w:spacing w:before="0" w:after="1"/>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263,523</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57.35</w:t>
            </w:r>
          </w:p>
        </w:tc>
        <w:tc>
          <w:tcPr>
            <w:tcW w:w="346" w:type="dxa"/>
            <w:tcBorders/>
            <w:vAlign w:val="center"/>
          </w:tcPr>
          <w:p>
            <w:pPr>
              <w:pStyle w:val="TableContents"/>
              <w:bidi w:val="0"/>
              <w:spacing w:before="0" w:after="1"/>
              <w:ind w:left="0" w:right="0" w:hanging="0"/>
              <w:jc w:val="left"/>
              <w:rPr/>
            </w:pPr>
            <w:r>
              <w:rPr/>
              <w:t> </w:t>
            </w:r>
          </w:p>
        </w:tc>
        <w:tc>
          <w:tcPr>
            <w:tcW w:w="18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263,523</w:t>
            </w:r>
          </w:p>
        </w:tc>
        <w:tc>
          <w:tcPr>
            <w:tcW w:w="346"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385"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60.0</w:t>
            </w:r>
          </w:p>
        </w:tc>
        <w:tc>
          <w:tcPr>
            <w:tcW w:w="191" w:type="dxa"/>
            <w:tcBorders/>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Excludes excise tax. As part of the Inflation Reduction Act of 2022 (the “IRA”), a 1% excise tax was imposed on stock repurchases in excess of issuances effective January 1, 2023.</w:t>
            </w:r>
          </w:p>
        </w:tc>
      </w:tr>
    </w:tbl>
    <w:p>
      <w:pPr>
        <w:pStyle w:val="TextBody"/>
        <w:bidi w:val="0"/>
        <w:spacing w:before="0" w:after="24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1" w:name="Item6SelectedFinancialData_827690"/>
      <w:bookmarkStart w:id="72" w:name="_c45bd1ef_9931_40e3_83a6_76361c518c46"/>
      <w:bookmarkStart w:id="73" w:name="_Item_6._"/>
      <w:bookmarkEnd w:id="71"/>
      <w:bookmarkEnd w:id="72"/>
      <w:bookmarkEnd w:id="73"/>
      <w:r>
        <w:rPr>
          <w:rFonts w:ascii="Times New Roman;Times;serif" w:hAnsi="Times New Roman;Times;serif"/>
          <w:b/>
          <w:sz w:val="20"/>
        </w:rPr>
        <w:t>Item 6.    </w:t>
      </w:r>
      <w:r>
        <w:rPr>
          <w:rFonts w:ascii="Times New Roman;Times;serif" w:hAnsi="Times New Roman;Times;serif"/>
          <w:b/>
          <w:i/>
          <w:sz w:val="20"/>
        </w:rPr>
        <w:t>Reserved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4" w:name="Item7ManagementsDiscussionandAnalysis_34"/>
      <w:bookmarkStart w:id="75" w:name="_4bc87cbb_b563_4882_a5e9_f17ac7bc126c"/>
      <w:bookmarkEnd w:id="74"/>
      <w:bookmarkEnd w:id="75"/>
      <w:r>
        <w:rPr>
          <w:rFonts w:ascii="Times New Roman;Times;serif" w:hAnsi="Times New Roman;Times;serif"/>
          <w:b/>
          <w:sz w:val="20"/>
        </w:rPr>
        <w:t>Item 7.    </w:t>
      </w:r>
      <w:r>
        <w:rPr>
          <w:rFonts w:ascii="Times New Roman;Times;serif" w:hAnsi="Times New Roman;Times;serif"/>
          <w:b/>
          <w:i/>
          <w:sz w:val="20"/>
        </w:rPr>
        <w:t>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accompanying audited consolidated financial statements and the related notes included in this Form 10-K. The statements in this discussion regarding industry outlook, our expectations regarding our future performance, liquidity and capital resources and other non-historical statements are forward-looking statements. These forward-looking statements are subject to risks and uncertainties, including the risks and uncertainties described in “Risk Factors” in this Form 10-K. Our actual results may differ materially from those contained in or implied by any forward-looking statements. We assume no obligation to revise or publicly release any revision to any forward-looking statements contained in this Form 10-K, unless required by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St. Joe is a diversified real estate development, asset management and operating company with all of its real estate assets and operations in Northwest Florida. We intend to use existing assets for residential, hospitality and commercial ventures. We have significant residential and commercial land-use entitlements. We actively seek higher and better uses for our real estate assets through a range of development activities. As part of our core business strategy, we have created a meaningful portion of our business through JVs. We enter into these arrangements for the purposes of developing real estate and other business activities, which we believe allows us to complement our growth strategy, leverage industry expertise and diversify our business. We may partner with or explore the sale of discrete assets, such as our sale of a senior living community property in September 2025, in order to optimize resource allocation and maximize value.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 We seek to continue to enhance the value of our owned real estate assets by developing residential, hospitality and commercial projects to meet market demand. Approximately 87% of our real estate is located in Florida’s Bay, Gulf, and Walton counties. Approximately 90% of our real estate land holdings are located within fifteen miles of the Gulf.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our present capital structure, liquidity and land provide us with years of opportunities to increase recurring revenue and long-term value for our shareholders. We intend to continue to focus on our core business activity of real estate development, asset management and operations by developing long-term, scalable residential communities, growing our hospitality offerings and expanding our portfolio of income producing commercial properties. We continue to develop a broad range of asset types that we believe will provide acceptable rates of return, grow recurring revenues and support future business. Capital commitments will be funded with cash proceeds from completed projects, existing cash, owned-land, partner capital and financing arrangements. These investments are made with a long-term value creation perspective. Timing of projects may be subject to delays caused by factors beyond our control. We may also choose to operate rather than lease assets, lease rather than sell assets, or sell improved rather than unimproved land that may delay revenue and profits.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real estate investment strategy focuses on projects that meet long-term risk-adjusted return criteria. Our practice is to only incur such expenditures when our analysis indicates that a project will generate a return equal to or greater than the threshold return over its life.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Highlights for the year ended December 31, 2025 compared to the year ended December 31, 2024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 increased by 55.8% to $115.6 million, or $2.00 per share, during 2025, from $74.2 million, or $1.27 per share,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in 2025 increased by 27.4%, to $513.2 million from $402.7 million in 2024. Real estate revenue increased by 63.5% to $234.2 million during 2025. Hospitality revenue increased by 8.1% to a record of $215.4 million during 2025. Leasing revenue increased by 5.5% to a record of $63.6 million during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funded $108.1 million in capital expenditures, paid $33.6 million in cash dividends, repurchased $40.0 million of our common stock and repaid a net amount of $46.6 million of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42424"/>
              </w:rPr>
            </w:pPr>
            <w:r>
              <w:rPr>
                <w:color w:val="242424"/>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Cash and cash equivalents balance increased by $40.8 million to $129.6 million as of December 31, 2025, as compared to $88.8 as of December 31, 2024</w:t>
            </w:r>
            <w:r>
              <w:rPr>
                <w:rFonts w:ascii="Times New Roman;Times;serif" w:hAnsi="Times New Roman;Times;serif"/>
                <w:b w:val="false"/>
                <w:i w:val="false"/>
                <w:caps w:val="false"/>
                <w:smallCaps w:val="false"/>
                <w:color w:val="242424"/>
                <w:sz w:val="20"/>
              </w:rPr>
              <w:t>.</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Market Conditions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macroeconomic factors such as uncertainty over tariffs, inflation, elevated interest rates and higher insurance costs for consumers and overall consumer confidence, among other things, continued to produce economic headwinds and impacted buyer sentiment in many parts of the country, our segments continued to generate positive financial results throughout 2025. We believe this is primarily due to the continued growth of Northwest Florida as a result of net migration, which we attribute to the region’s high quality of life, natural beauty and outstanding amenities.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While elevated interest rates, market conditions in their home states and higher insurance costs have negatively impacted or delayed the ability of some buyers to obtain financing or sell their existing home in their home state, the impact has been partially offset by the net migration into our markets and the number of cash buyers. Market conditions have also not caused an increase in cancellation rates as homebuilders have continued to perform on their contractual obligations with us.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Given our diverse portfolio of residential holdings, the mix of sales and pricing from different communities may impact revenue and margins period over period, as discussed in more detail below. Further discussion of the potential impacts on our business from the current macroeconomic environment are included in Part I. Item 1A.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Reportable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primarily all of our business in the following three reportable segments: 1) residential, 2) hospitality and 3) commercial.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relative contribution of these reportable segments to our consolidated operating revenue:</w:t>
      </w:r>
    </w:p>
    <w:tbl>
      <w:tblPr>
        <w:tblW w:w="6207" w:type="dxa"/>
        <w:jc w:val="left"/>
        <w:tblInd w:w="0" w:type="dxa"/>
        <w:tblLayout w:type="fixed"/>
        <w:tblCellMar>
          <w:top w:w="0" w:type="dxa"/>
          <w:left w:w="0" w:type="dxa"/>
          <w:bottom w:w="0" w:type="dxa"/>
          <w:right w:w="0" w:type="dxa"/>
        </w:tblCellMar>
      </w:tblPr>
      <w:tblGrid>
        <w:gridCol w:w="2821"/>
        <w:gridCol w:w="346"/>
        <w:gridCol w:w="109"/>
        <w:gridCol w:w="571"/>
        <w:gridCol w:w="391"/>
        <w:gridCol w:w="571"/>
        <w:gridCol w:w="391"/>
        <w:gridCol w:w="571"/>
        <w:gridCol w:w="43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791335" cy="175260"/>
                      <wp:effectExtent l="0" t="0" r="0" b="0"/>
                      <wp:wrapNone/>
                      <wp:docPr id="39" name="Frame38"/>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1"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62585" cy="175260"/>
                      <wp:effectExtent l="0" t="0" r="0" b="0"/>
                      <wp:wrapNone/>
                      <wp:docPr id="42" name="Frame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48285" cy="175260"/>
                      <wp:effectExtent l="0" t="0" r="0" b="0"/>
                      <wp:wrapNone/>
                      <wp:docPr id="43" name="Frame4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62585" cy="175260"/>
                      <wp:effectExtent l="0" t="0" r="0" b="0"/>
                      <wp:wrapNone/>
                      <wp:docPr id="44" name="Frame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48285" cy="175260"/>
                      <wp:effectExtent l="0" t="0" r="0" b="0"/>
                      <wp:wrapNone/>
                      <wp:docPr id="45" name="Frame4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62585" cy="175260"/>
                      <wp:effectExtent l="0" t="0" r="0" b="0"/>
                      <wp:wrapNone/>
                      <wp:docPr id="46" name="Frame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76860" cy="175260"/>
                      <wp:effectExtent l="0" t="0" r="0" b="0"/>
                      <wp:wrapNone/>
                      <wp:docPr id="47" name="Frame4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center"/>
              <w:rPr/>
            </w:pPr>
            <w:r>
              <w:rPr/>
              <w:t>​</w:t>
            </w:r>
          </w:p>
        </w:tc>
        <w:tc>
          <w:tcPr>
            <w:tcW w:w="24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436" w:type="dxa"/>
            <w:tcBorders/>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6" w:type="dxa"/>
            <w:tcBorders/>
            <w:vAlign w:val="center"/>
          </w:tcPr>
          <w:p>
            <w:pPr>
              <w:pStyle w:val="TableContents"/>
              <w:bidi w:val="0"/>
              <w:spacing w:before="0" w:after="0"/>
              <w:ind w:left="0" w:right="0" w:hanging="0"/>
              <w:jc w:val="center"/>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Operating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436"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operating revenue</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more information regarding our reportable segments, see Note 18. </w:t>
      </w:r>
      <w:r>
        <w:rPr>
          <w:rFonts w:ascii="TimesNewRomanPS-ItalicMT" w:hAnsi="TimesNewRomanPS-ItalicMT"/>
          <w:i/>
          <w:sz w:val="20"/>
        </w:rPr>
        <w:t xml:space="preserve">Segment Information </w:t>
      </w:r>
      <w:r>
        <w:rPr>
          <w:rFonts w:ascii="Times New Roman;Times;serif" w:hAnsi="Times New Roman;Times;serif"/>
          <w:sz w:val="20"/>
        </w:rPr>
        <w:t>included in Item 15 of this Form 10-K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Residential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residential segment typically plans and develops residential communities of various sizes across a wide range of price points and sells homesites to homebuilders or retail consumers. Our residential segment also evaluates opportunities to enter into JV agreements for specific communities such as Latitude Margaritaville Watersound.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residential segment generates revenue from sales of homesites, homes and other residential land and certain homesite residuals from homebuilder sales that provide us a percentage of the sale price of the completed home if the home price exceeds a negotiated threshold. Revenue is recognized at the point in time when a sale is closed and title and control has been transferred to the buyer. The residential segment also generates revenue from the sale of tap and impact fee credits, marketing fees and other fees on certain transactions. Certain homesite residuals and other revenue related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homebuilder homesite sales are recognized in revenue at the point in time of the closing of the sale. The residential segment incurs cost from direct costs (e.g., development and construction costs), selling costs and other indirect costs. Cost of real estate revenue excludes depreciation, depletion and amortization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residential segment includes the Bayside at Ward Creek, Breakfast Point East, Breakwater at Ward Creek, College Station, Park Place, Salt Creek at Mexico Beach, Salt Grass at Ward Creek, Titus Park, Watersound Camp Creek, Watersound Origins, Watersound Origins West and WindMark Beach communities, which are large scale, multi-phase communities with current development activity, sales activity or future phases. Homesites in these communities are developed based on market demand and sold primarily to homebuilders and on a limited basis to retail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East Lake Creek, East Lake Powell, Lake Powell, Pigeon Creek, Teachee, West Bay Creek and West Laird communities have phases of homesites in preliminary planning or permitting. Homesites in these communities will be developed based on market demand.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SummerCamp Beach community has homesites available for sale and along with the RiverCamps and SouthWood communities, have additional lands for future development.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Latitude Margaritaville Watersound community is a planned 55+ active adult residential community in Bay County, Florida. The community is located near the Intracoastal Waterway with convenient access to the Northwest Florida Beaches International Airport. The community is being developed through our unconsolidated Latitude Margaritaville Watersound JV with our partner Minto Communities USA, a homebuilder and community developer, and is estimated to include approximately 3,700 residential homes, which are being developed in smaller increments of discrete neighborhoods. As of December 31, 2025, the unconsolidated Latitude Margaritaville Watersound JV has completed 2,190 home sale transactions of the total estimated 3,700 homes planned in the community and had 149 homes under contract, which are expected to result in a sales value to the JV of approximately $88.8 million at closing of the homes.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residential homesite pipeline by community/project are as follows:</w:t>
      </w:r>
    </w:p>
    <w:tbl>
      <w:tblPr>
        <w:tblW w:w="9356" w:type="dxa"/>
        <w:jc w:val="left"/>
        <w:tblInd w:w="0" w:type="dxa"/>
        <w:tblLayout w:type="fixed"/>
        <w:tblCellMar>
          <w:top w:w="0" w:type="dxa"/>
          <w:left w:w="0" w:type="dxa"/>
          <w:bottom w:w="0" w:type="dxa"/>
          <w:right w:w="0" w:type="dxa"/>
        </w:tblCellMar>
      </w:tblPr>
      <w:tblGrid>
        <w:gridCol w:w="3016"/>
        <w:gridCol w:w="109"/>
        <w:gridCol w:w="1576"/>
        <w:gridCol w:w="109"/>
        <w:gridCol w:w="1051"/>
        <w:gridCol w:w="109"/>
        <w:gridCol w:w="1096"/>
        <w:gridCol w:w="109"/>
        <w:gridCol w:w="1366"/>
        <w:gridCol w:w="109"/>
        <w:gridCol w:w="70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915160" cy="175260"/>
                      <wp:effectExtent l="0" t="0" r="0" b="0"/>
                      <wp:wrapNone/>
                      <wp:docPr id="48" name="Frame47"/>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49"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000760" cy="175260"/>
                      <wp:effectExtent l="0" t="0" r="0" b="0"/>
                      <wp:wrapNone/>
                      <wp:docPr id="50" name="Frame4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1"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7385" cy="175260"/>
                      <wp:effectExtent l="0" t="0" r="0" b="0"/>
                      <wp:wrapNone/>
                      <wp:docPr id="52" name="Frame5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3"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5960" cy="175260"/>
                      <wp:effectExtent l="0" t="0" r="0" b="0"/>
                      <wp:wrapNone/>
                      <wp:docPr id="54" name="Frame5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5"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867410" cy="175260"/>
                      <wp:effectExtent l="0" t="0" r="0" b="0"/>
                      <wp:wrapNone/>
                      <wp:docPr id="56" name="Frame55"/>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57"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48310" cy="175260"/>
                      <wp:effectExtent l="0" t="0" r="0" b="0"/>
                      <wp:wrapNone/>
                      <wp:docPr id="58" name="Frame5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46" w:type="dxa"/>
            <w:gridSpan w:val="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Residential Homesite Pipeline</w:t>
            </w:r>
            <w:r>
              <w:rPr>
                <w:rFonts w:ascii="Times New Roman;Times;serif" w:hAnsi="Times New Roman;Times;serif"/>
                <w:sz w:val="16"/>
              </w:rPr>
              <w:t xml:space="preserve"> </w:t>
            </w:r>
            <w:r>
              <w:rPr>
                <w:rFonts w:ascii="Times New Roman;Times;serif" w:hAnsi="Times New Roman;Times;serif"/>
                <w:b/>
                <w:sz w:val="12"/>
              </w:rPr>
              <w:t>(a)</w: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Platted or </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w:t>
            </w:r>
          </w:p>
        </w:tc>
        <w:tc>
          <w:tcPr>
            <w:tcW w:w="109"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Entitlements with</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Community/Project</w:t>
            </w:r>
          </w:p>
        </w:tc>
        <w:tc>
          <w:tcPr>
            <w:tcW w:w="109" w:type="dxa"/>
            <w:tcBorders/>
            <w:vAlign w:val="center"/>
          </w:tcPr>
          <w:p>
            <w:pPr>
              <w:pStyle w:val="TableContents"/>
              <w:bidi w:val="0"/>
              <w:spacing w:before="0" w:after="0"/>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109"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Permitting</w:t>
            </w:r>
          </w:p>
        </w:tc>
        <w:tc>
          <w:tcPr>
            <w:tcW w:w="109" w:type="dxa"/>
            <w:tcBorders/>
            <w:vAlign w:val="center"/>
          </w:tcPr>
          <w:p>
            <w:pPr>
              <w:pStyle w:val="TableContents"/>
              <w:bidi w:val="0"/>
              <w:spacing w:before="0" w:after="0"/>
              <w:ind w:left="0" w:right="0" w:hanging="0"/>
              <w:jc w:val="center"/>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Concept Plan</w:t>
            </w:r>
          </w:p>
        </w:tc>
        <w:tc>
          <w:tcPr>
            <w:tcW w:w="109"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Breakfast Point East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College Station</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East Lake Creek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East Lake Powell </w:t>
            </w:r>
            <w:r>
              <w:rPr>
                <w:rFonts w:ascii="Times New Roman;Times;serif" w:hAnsi="Times New Roman;Times;serif"/>
                <w:sz w:val="14"/>
              </w:rPr>
              <w:t>(c)</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Lake Powell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1,352</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Latitude Margaritaville Watersound </w:t>
            </w:r>
            <w:r>
              <w:rPr>
                <w:rFonts w:ascii="Times New Roman;Times;serif" w:hAnsi="Times New Roman;Times;serif"/>
                <w:sz w:val="14"/>
              </w:rPr>
              <w:t>(d) (e)</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908</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1,535</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Salt Creek at Mexico Beach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Park Place</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Pigeon Creek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3,330</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RiverCamps </w:t>
            </w:r>
            <w:r>
              <w:rPr>
                <w:rFonts w:ascii="Times New Roman;Times;serif" w:hAnsi="Times New Roman;Times;serif"/>
                <w:sz w:val="14"/>
              </w:rPr>
              <w:t>(c)</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SouthWood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Leon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SummerCamp Beach </w:t>
            </w:r>
            <w:r>
              <w:rPr>
                <w:rFonts w:ascii="Times New Roman;Times;serif" w:hAnsi="Times New Roman;Times;serif"/>
                <w:sz w:val="14"/>
              </w:rPr>
              <w:t>(b)</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Franklin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Teachee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1,644</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Titus Park</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629</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Bayside at Ward Creek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Breakwater at Ward Creek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Salt Grass at Ward Creek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Camp Creek </w:t>
            </w:r>
            <w:r>
              <w:rPr>
                <w:rFonts w:ascii="Times New Roman;Times;serif" w:hAnsi="Times New Roman;Times;serif"/>
                <w:sz w:val="14"/>
              </w:rPr>
              <w:t>(f)</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Origins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Origins West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2,841</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3,221</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West Bay Creek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5,250</w:t>
            </w:r>
          </w:p>
        </w:tc>
      </w:tr>
      <w:tr>
        <w:trPr/>
        <w:tc>
          <w:tcPr>
            <w:tcW w:w="30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West Laird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1,068</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1,117</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2,185</w:t>
            </w:r>
          </w:p>
        </w:tc>
      </w:tr>
      <w:tr>
        <w:trPr/>
        <w:tc>
          <w:tcPr>
            <w:tcW w:w="30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WindMark Beach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Gulf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Homesites</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2,013</w:t>
            </w:r>
          </w:p>
        </w:tc>
        <w:tc>
          <w:tcPr>
            <w:tcW w:w="109" w:type="dxa"/>
            <w:tcBorders/>
            <w:vAlign w:val="center"/>
          </w:tcPr>
          <w:p>
            <w:pPr>
              <w:pStyle w:val="TableContents"/>
              <w:bidi w:val="0"/>
              <w:spacing w:before="0" w:after="0"/>
              <w:ind w:left="0" w:right="0" w:hanging="0"/>
              <w:jc w:val="righ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3,500</w:t>
            </w:r>
          </w:p>
        </w:tc>
        <w:tc>
          <w:tcPr>
            <w:tcW w:w="109" w:type="dxa"/>
            <w:tcBorders/>
            <w:vAlign w:val="center"/>
          </w:tcPr>
          <w:p>
            <w:pPr>
              <w:pStyle w:val="TableContents"/>
              <w:bidi w:val="0"/>
              <w:spacing w:before="0" w:after="0"/>
              <w:ind w:left="0" w:right="0" w:hanging="0"/>
              <w:jc w:val="right"/>
              <w:rPr/>
            </w:pPr>
            <w:r>
              <w:rPr/>
              <w:t>​</w:t>
            </w:r>
          </w:p>
        </w:tc>
        <w:tc>
          <w:tcPr>
            <w:tcW w:w="13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18,391</w:t>
            </w:r>
          </w:p>
        </w:tc>
        <w:tc>
          <w:tcPr>
            <w:tcW w:w="109" w:type="dxa"/>
            <w:tcBorders/>
            <w:vAlign w:val="center"/>
          </w:tcPr>
          <w:p>
            <w:pPr>
              <w:pStyle w:val="TableContents"/>
              <w:bidi w:val="0"/>
              <w:spacing w:before="0" w:after="0"/>
              <w:ind w:left="0" w:right="0" w:hanging="0"/>
              <w:jc w:val="right"/>
              <w:rPr/>
            </w:pPr>
            <w:r>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23,904</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number of homesites are preliminary and are subject to change. Includes homesites platted or currently in concept planning, engineering, permitting or development. We have significant additional entitlements for future residential homesites on our land holdings.</w:t>
            </w:r>
          </w:p>
        </w:tc>
      </w:tr>
    </w:tbl>
    <w:tbl>
      <w:tblPr>
        <w:tblW w:w="3137" w:type="dxa"/>
        <w:jc w:val="left"/>
        <w:tblInd w:w="0" w:type="dxa"/>
        <w:tblLayout w:type="fixed"/>
        <w:tblCellMar>
          <w:top w:w="0" w:type="dxa"/>
          <w:left w:w="0" w:type="dxa"/>
          <w:bottom w:w="0" w:type="dxa"/>
          <w:right w:w="0" w:type="dxa"/>
        </w:tblCellMar>
      </w:tblPr>
      <w:tblGrid>
        <w:gridCol w:w="331"/>
        <w:gridCol w:w="280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28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Planned Unit Development (“PUD”).</w:t>
            </w:r>
          </w:p>
        </w:tc>
      </w:tr>
    </w:tbl>
    <w:tbl>
      <w:tblPr>
        <w:tblW w:w="2867" w:type="dxa"/>
        <w:jc w:val="left"/>
        <w:tblInd w:w="0" w:type="dxa"/>
        <w:tblLayout w:type="fixed"/>
        <w:tblCellMar>
          <w:top w:w="0" w:type="dxa"/>
          <w:left w:w="0" w:type="dxa"/>
          <w:bottom w:w="0" w:type="dxa"/>
          <w:right w:w="0" w:type="dxa"/>
        </w:tblCellMar>
      </w:tblPr>
      <w:tblGrid>
        <w:gridCol w:w="316"/>
        <w:gridCol w:w="2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2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Development Agreement (“DA”).</w:t>
            </w:r>
          </w:p>
        </w:tc>
      </w:tr>
    </w:tbl>
    <w:tbl>
      <w:tblPr>
        <w:tblW w:w="3272" w:type="dxa"/>
        <w:jc w:val="left"/>
        <w:tblInd w:w="0" w:type="dxa"/>
        <w:tblLayout w:type="fixed"/>
        <w:tblCellMar>
          <w:top w:w="0" w:type="dxa"/>
          <w:left w:w="0" w:type="dxa"/>
          <w:bottom w:w="0" w:type="dxa"/>
          <w:right w:w="0" w:type="dxa"/>
        </w:tblCellMar>
      </w:tblPr>
      <w:tblGrid>
        <w:gridCol w:w="331"/>
        <w:gridCol w:w="29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2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Detailed Specific Area Plan (“DSAP”).</w:t>
            </w:r>
          </w:p>
        </w:tc>
      </w:tr>
    </w:tbl>
    <w:tbl>
      <w:tblPr>
        <w:tblW w:w="7667" w:type="dxa"/>
        <w:jc w:val="left"/>
        <w:tblInd w:w="0" w:type="dxa"/>
        <w:tblLayout w:type="fixed"/>
        <w:tblCellMar>
          <w:top w:w="0" w:type="dxa"/>
          <w:left w:w="0" w:type="dxa"/>
          <w:bottom w:w="0" w:type="dxa"/>
          <w:right w:w="0" w:type="dxa"/>
        </w:tblCellMar>
      </w:tblPr>
      <w:tblGrid>
        <w:gridCol w:w="316"/>
        <w:gridCol w:w="73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7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unconsolidated Latitude Margaritaville Watersound JV builds and sells homes in this community.</w:t>
            </w:r>
          </w:p>
        </w:tc>
      </w:tr>
    </w:tbl>
    <w:tbl>
      <w:tblPr>
        <w:tblW w:w="3467" w:type="dxa"/>
        <w:jc w:val="left"/>
        <w:tblInd w:w="0" w:type="dxa"/>
        <w:tblLayout w:type="fixed"/>
        <w:tblCellMar>
          <w:top w:w="0" w:type="dxa"/>
          <w:left w:w="0" w:type="dxa"/>
          <w:bottom w:w="0" w:type="dxa"/>
          <w:right w:w="0" w:type="dxa"/>
        </w:tblCellMar>
      </w:tblPr>
      <w:tblGrid>
        <w:gridCol w:w="301"/>
        <w:gridCol w:w="3166"/>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3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Development of Regional Impact (“DRI”).</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to the communities listed above, we have a number of other residential project concepts in various stages of planning and evaluation.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we had eighteen different homebuilders within our residential communities. As of December 31, 2025, we had 1,992 residential homesites under contract, which are expected to result in revenue of approximately $143.5 million, plus residuals, at closing of the homesites over the next several years. By comparison, as of December 31, 2024, we had 1,074 residential homesites under contract, which were expected to result in revenue of approximately $102.0 million, plus residuals. The change in homesites under contract is due to homesite transactions during 2025, new contracts, including a long-term contract totaling approximately 650 undeveloped homesites within the SouthWood community, and the amount of remaining homesites in current phases of the residential communities. Homesite prices vary significantly by community and often sell in concentrated transactions that may impact period over period results. As of December 31, 2025, in addition to the 1,992 homesites under contract in other residential communities, our unconsolidated Latitude Margaritaville Watersound JV had 149 homes under contract, which together with the 1,992 homesites are expected to result in a sales value of approximately $232.3 million at closing of the homesites and homes.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Hospitality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hospitality segment features a private membership club (the “Watersound Club”), hotel operations, food and beverage operations, golf courses, beach clubs, retail outlets, gulf-front vacation rentals, marinas and other entertainment offerings. The hospitality segment generates revenue from membership sales, golf courses, lodging at our hotels, short-term vacation rentals, food and beverage operations, merchandise sales, marina operations (including boat slip rentals, boat storage fees and fuel sales), other resort and entertainment activities and beach clubs, which includes food and beverage operations of the WaterColor Beach Club. Hospitality revenue is generally recognized at the point in time services are provided and represent a single performance obligation with a fixed transaction price. Hospitality revenue recognized over time includes non-refundable club membership initiation fees, club membership dues and other membership fees. The hospitality segment incurs costs from the services and goods provided, personnel costs, maintenance of the facilities and holding costs of the assets. From time to time, we may explore the sale of certain hospitality properties, the development of new hospitality properties, as well as new entertainment and management opportunities. Our hospitality segment may also generate revenue from the sale of operating properties. Real estate sales in our hospitality segment incur costs of revenue directly associated with the land, development, construction and selling costs. Cost of hospitality revenue and cost of real estate revenue exclude depreciation, depletion and amortization expense. Some of our JV assets and other assets incur interest and financing expenses related to the loans as described in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Watersound Club provides club members access to our member facilities, which include the Watersound Beach Club, Camp Creek golf course and amenities, Shark’s Tooth golf course and tennis center and The Third golf course, which opened in November 2024. In addition, in June 2024, we opened The Sporting Preserve, a 12-stand sporting clays course. Watersound Club offers different types of club memberships, each with different access rights and associated fee structures. Watersound Club is focused on creating an outstanding membership experience combined with the luxurious aspects of a destination resort. Watersound Beach Club located on Scenic Highway 30A with over one mile of Gulf frontage, has two resort-style pools, two restaurants, three bars, kid’s room and a recreation area. Camp Creek includes an 18-hole golf course, a full club house, health and wellness center, three restaurants, a tennis and pickle ball center, a resort-style pool complex with separate adult pool, a golf teaching academy, pro shop and multi-sport fields. Shark’s Tooth includes an 18-hole golf course, tennis center, a full club house, a pro shop, as well as two food and beverage outlets. The Third includes an 18-hole golf course. Guests of some of our hotels also have access to certain Watersound Club amenities.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Watersound Origins amenities include a resort-style pool, fitness center, pickle ball courts and tennis courts located in the community. Access to these amenities is reserved to Watersound Origins, Watersound Origins West and Watersound Villas on the Fairway members consisting of the communities’ residents. In addition, an executive golf course located in the community is available to residents and for public play.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own and operate the award-winning WaterColor Inn (which includes the Fish Out of Water restaurant) and The Pearl Hotel (which includes the Havana Beach Bar &amp; Grill restaurant); the Camp Creek Inn, the Hilton Garden Inn Panama City Airport, the Homewood Suites by Hilton Panama City Beach, the Hotel Indigo Panama City Marina, the Home2 Suites by Hilton Santa Rosa Beach, the Watersound Inn and two gulf-front vacation rental houses. With our JV partners, we own and operate The Lodge 30A and the Embassy Suites by Hilton Panama City Beach Resort. We also operate the WaterColor Beach Club, which includes food and beverage operations and other hospitality related activities, such as beach chair rentals.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hotel portfolio by property is as follows:</w:t>
      </w:r>
    </w:p>
    <w:tbl>
      <w:tblPr>
        <w:tblW w:w="7286" w:type="dxa"/>
        <w:jc w:val="left"/>
        <w:tblInd w:w="0" w:type="dxa"/>
        <w:tblLayout w:type="fixed"/>
        <w:tblCellMar>
          <w:top w:w="0" w:type="dxa"/>
          <w:left w:w="0" w:type="dxa"/>
          <w:bottom w:w="0" w:type="dxa"/>
          <w:right w:w="0" w:type="dxa"/>
        </w:tblCellMar>
      </w:tblPr>
      <w:tblGrid>
        <w:gridCol w:w="4636"/>
        <w:gridCol w:w="109"/>
        <w:gridCol w:w="1531"/>
        <w:gridCol w:w="109"/>
        <w:gridCol w:w="901"/>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943860" cy="175260"/>
                      <wp:effectExtent l="0" t="0" r="0" b="0"/>
                      <wp:wrapNone/>
                      <wp:docPr id="59" name="Frame58"/>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0"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972185" cy="175260"/>
                      <wp:effectExtent l="0" t="0" r="0" b="0"/>
                      <wp:wrapNone/>
                      <wp:docPr id="61" name="Frame60"/>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2"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72135" cy="175260"/>
                      <wp:effectExtent l="0" t="0" r="0" b="0"/>
                      <wp:wrapNone/>
                      <wp:docPr id="63" name="Frame6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Hotel </w:t>
            </w:r>
          </w:p>
        </w:tc>
        <w:tc>
          <w:tcPr>
            <w:tcW w:w="109" w:type="dxa"/>
            <w:tcBorders/>
            <w:vAlign w:val="center"/>
          </w:tcPr>
          <w:p>
            <w:pPr>
              <w:pStyle w:val="TableContents"/>
              <w:bidi w:val="0"/>
              <w:spacing w:before="0" w:after="1"/>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Location</w:t>
            </w:r>
          </w:p>
        </w:tc>
        <w:tc>
          <w:tcPr>
            <w:tcW w:w="109"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Rooms</w:t>
            </w:r>
            <w:r>
              <w:rPr>
                <w:rFonts w:ascii="Times New Roman;Times;serif" w:hAnsi="Times New Roman;Times;serif"/>
                <w:sz w:val="18"/>
              </w:rPr>
              <w:t xml:space="preserve"> </w:t>
            </w:r>
            <w:r>
              <w:rPr>
                <w:rFonts w:ascii="Times New Roman;Times;serif" w:hAnsi="Times New Roman;Times;serif"/>
                <w:b/>
                <w:sz w:val="14"/>
              </w:rPr>
              <w:t>(a)</w:t>
            </w:r>
          </w:p>
        </w:tc>
      </w:tr>
      <w:tr>
        <w:trPr/>
        <w:tc>
          <w:tcPr>
            <w:tcW w:w="46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Camp Creek Inn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1"/>
              <w:ind w:left="0" w:right="0" w:hanging="0"/>
              <w:jc w:val="left"/>
              <w:rPr/>
            </w:pPr>
            <w:r>
              <w:rPr/>
              <w:t>​</w:t>
            </w:r>
          </w:p>
        </w:tc>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WaterColor Inn</w:t>
            </w:r>
          </w:p>
        </w:tc>
        <w:tc>
          <w:tcPr>
            <w:tcW w:w="109"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vAlign w:val="center"/>
          </w:tcPr>
          <w:p>
            <w:pPr>
              <w:pStyle w:val="TableContents"/>
              <w:bidi w:val="0"/>
              <w:spacing w:before="0" w:after="1"/>
              <w:ind w:left="0" w:right="0" w:hanging="0"/>
              <w:jc w:val="righ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The Pearl Hotel</w:t>
            </w:r>
          </w:p>
        </w:tc>
        <w:tc>
          <w:tcPr>
            <w:tcW w:w="109" w:type="dxa"/>
            <w:tcBorders/>
            <w:shd w:fill="CCEEFF" w:val="clear"/>
            <w:vAlign w:val="center"/>
          </w:tcPr>
          <w:p>
            <w:pPr>
              <w:pStyle w:val="TableContents"/>
              <w:bidi w:val="0"/>
              <w:spacing w:before="0" w:after="1"/>
              <w:ind w:left="0" w:right="0" w:hanging="0"/>
              <w:jc w:val="left"/>
              <w:rPr/>
            </w:pPr>
            <w:r>
              <w:rPr/>
              <w:t>​</w:t>
            </w:r>
          </w:p>
        </w:tc>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Watersound Inn</w:t>
            </w:r>
          </w:p>
        </w:tc>
        <w:tc>
          <w:tcPr>
            <w:tcW w:w="109"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vAlign w:val="center"/>
          </w:tcPr>
          <w:p>
            <w:pPr>
              <w:pStyle w:val="TableContents"/>
              <w:bidi w:val="0"/>
              <w:spacing w:before="0" w:after="1"/>
              <w:ind w:left="0" w:right="0" w:hanging="0"/>
              <w:jc w:val="righ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46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The Lodge 30A </w:t>
            </w:r>
            <w:r>
              <w:rPr>
                <w:rFonts w:ascii="Times New Roman;Times;serif" w:hAnsi="Times New Roman;Times;serif"/>
                <w:sz w:val="14"/>
              </w:rPr>
              <w:t>(c) (d)</w:t>
            </w:r>
          </w:p>
        </w:tc>
        <w:tc>
          <w:tcPr>
            <w:tcW w:w="109" w:type="dxa"/>
            <w:tcBorders/>
            <w:shd w:fill="CCEEFF" w:val="clear"/>
            <w:vAlign w:val="center"/>
          </w:tcPr>
          <w:p>
            <w:pPr>
              <w:pStyle w:val="TableContents"/>
              <w:bidi w:val="0"/>
              <w:spacing w:before="0" w:after="1"/>
              <w:ind w:left="0" w:right="0" w:hanging="0"/>
              <w:jc w:val="left"/>
              <w:rPr/>
            </w:pPr>
            <w:r>
              <w:rPr/>
              <w:t>​</w:t>
            </w:r>
          </w:p>
        </w:tc>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w:t>
            </w:r>
          </w:p>
        </w:tc>
      </w:tr>
      <w:tr>
        <w:trPr/>
        <w:tc>
          <w:tcPr>
            <w:tcW w:w="463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Home2 Suites by Hilton Santa Rosa Beach </w:t>
            </w:r>
            <w:r>
              <w:rPr>
                <w:rFonts w:ascii="Times New Roman;Times;serif" w:hAnsi="Times New Roman;Times;serif"/>
                <w:sz w:val="14"/>
              </w:rPr>
              <w:t>(b)</w:t>
            </w:r>
          </w:p>
        </w:tc>
        <w:tc>
          <w:tcPr>
            <w:tcW w:w="109"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vAlign w:val="center"/>
          </w:tcPr>
          <w:p>
            <w:pPr>
              <w:pStyle w:val="TableContents"/>
              <w:bidi w:val="0"/>
              <w:spacing w:before="0" w:after="1"/>
              <w:ind w:left="0" w:right="0" w:hanging="0"/>
              <w:jc w:val="righ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46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Embassy Suites by Hilton Panama City Beach Resort </w:t>
            </w:r>
            <w:r>
              <w:rPr>
                <w:rFonts w:ascii="Times New Roman;Times;serif" w:hAnsi="Times New Roman;Times;serif"/>
                <w:sz w:val="14"/>
              </w:rPr>
              <w:t>(d) (e)</w:t>
            </w:r>
          </w:p>
        </w:tc>
        <w:tc>
          <w:tcPr>
            <w:tcW w:w="109" w:type="dxa"/>
            <w:tcBorders/>
            <w:shd w:fill="CCEEFF" w:val="clear"/>
            <w:vAlign w:val="center"/>
          </w:tcPr>
          <w:p>
            <w:pPr>
              <w:pStyle w:val="TableContents"/>
              <w:bidi w:val="0"/>
              <w:spacing w:before="0" w:after="1"/>
              <w:ind w:left="0" w:right="0" w:hanging="0"/>
              <w:jc w:val="left"/>
              <w:rPr/>
            </w:pPr>
            <w:r>
              <w:rPr/>
              <w:t>​</w:t>
            </w:r>
          </w:p>
        </w:tc>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Hilton Garden Inn Panama City Airport</w:t>
            </w:r>
          </w:p>
        </w:tc>
        <w:tc>
          <w:tcPr>
            <w:tcW w:w="109"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1"/>
              <w:ind w:left="0" w:right="0" w:hanging="0"/>
              <w:jc w:val="righ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Homewood Suites by Hilton Panama City Beach</w:t>
            </w:r>
          </w:p>
        </w:tc>
        <w:tc>
          <w:tcPr>
            <w:tcW w:w="109" w:type="dxa"/>
            <w:tcBorders/>
            <w:shd w:fill="CCEEFF" w:val="clear"/>
            <w:vAlign w:val="center"/>
          </w:tcPr>
          <w:p>
            <w:pPr>
              <w:pStyle w:val="TableContents"/>
              <w:bidi w:val="0"/>
              <w:spacing w:before="0" w:after="1"/>
              <w:ind w:left="0" w:right="0" w:hanging="0"/>
              <w:jc w:val="left"/>
              <w:rPr/>
            </w:pPr>
            <w:r>
              <w:rPr/>
              <w:t>​</w:t>
            </w:r>
          </w:p>
        </w:tc>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463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Hotel Indigo Panama City Marina </w:t>
            </w:r>
            <w:r>
              <w:rPr>
                <w:rFonts w:ascii="Times New Roman;Times;serif" w:hAnsi="Times New Roman;Times;serif"/>
                <w:sz w:val="14"/>
              </w:rPr>
              <w:t>(b)</w:t>
            </w:r>
          </w:p>
        </w:tc>
        <w:tc>
          <w:tcPr>
            <w:tcW w:w="109"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1"/>
              <w:ind w:left="0" w:right="0" w:hanging="0"/>
              <w:jc w:val="righ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46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TownePlace Suites by Marriott Panama City Beach Pier Park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1"/>
              <w:ind w:left="0" w:right="0" w:hanging="0"/>
              <w:jc w:val="left"/>
              <w:rPr/>
            </w:pPr>
            <w:r>
              <w:rPr/>
              <w:t>​</w:t>
            </w:r>
          </w:p>
        </w:tc>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463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Residence Inn Panama City Beach Pier Park </w:t>
            </w:r>
            <w:r>
              <w:rPr>
                <w:rFonts w:ascii="Times New Roman;Times;serif" w:hAnsi="Times New Roman;Times;serif"/>
                <w:sz w:val="14"/>
              </w:rPr>
              <w:t>(g)</w:t>
            </w:r>
          </w:p>
        </w:tc>
        <w:tc>
          <w:tcPr>
            <w:tcW w:w="109"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1"/>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rooms</w:t>
            </w:r>
          </w:p>
        </w:tc>
        <w:tc>
          <w:tcPr>
            <w:tcW w:w="109" w:type="dxa"/>
            <w:tcBorders/>
            <w:shd w:fill="CCEEFF" w:val="clear"/>
            <w:vAlign w:val="center"/>
          </w:tcPr>
          <w:p>
            <w:pPr>
              <w:pStyle w:val="TableContents"/>
              <w:bidi w:val="0"/>
              <w:spacing w:before="0" w:after="1"/>
              <w:ind w:left="0" w:right="0" w:hanging="0"/>
              <w:jc w:val="left"/>
              <w:rPr/>
            </w:pPr>
            <w:r>
              <w:rPr/>
              <w:t>​</w:t>
            </w:r>
          </w:p>
        </w:tc>
        <w:tc>
          <w:tcPr>
            <w:tcW w:w="15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1,298</w:t>
            </w:r>
          </w:p>
        </w:tc>
      </w:tr>
    </w:tbl>
    <w:tbl>
      <w:tblPr>
        <w:tblW w:w="9467" w:type="dxa"/>
        <w:jc w:val="left"/>
        <w:tblInd w:w="0" w:type="dxa"/>
        <w:tblLayout w:type="fixed"/>
        <w:tblCellMar>
          <w:top w:w="0" w:type="dxa"/>
          <w:left w:w="0" w:type="dxa"/>
          <w:bottom w:w="0" w:type="dxa"/>
          <w:right w:w="0" w:type="dxa"/>
        </w:tblCellMar>
      </w:tblPr>
      <w:tblGrid>
        <w:gridCol w:w="316"/>
        <w:gridCol w:w="91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hotels currently in operation. We have significant additional entitlements for future hotel projects on our land holdings.</w:t>
            </w:r>
          </w:p>
        </w:tc>
      </w:tr>
    </w:tbl>
    <w:tbl>
      <w:tblPr>
        <w:tblW w:w="2702" w:type="dxa"/>
        <w:jc w:val="left"/>
        <w:tblInd w:w="0" w:type="dxa"/>
        <w:tblLayout w:type="fixed"/>
        <w:tblCellMar>
          <w:top w:w="0" w:type="dxa"/>
          <w:left w:w="0" w:type="dxa"/>
          <w:bottom w:w="0" w:type="dxa"/>
          <w:right w:w="0" w:type="dxa"/>
        </w:tblCellMar>
      </w:tblPr>
      <w:tblGrid>
        <w:gridCol w:w="331"/>
        <w:gridCol w:w="237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2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June 2023.</w:t>
            </w:r>
          </w:p>
        </w:tc>
      </w:tr>
    </w:tbl>
    <w:tbl>
      <w:tblPr>
        <w:tblW w:w="3002" w:type="dxa"/>
        <w:jc w:val="left"/>
        <w:tblInd w:w="0" w:type="dxa"/>
        <w:tblLayout w:type="fixed"/>
        <w:tblCellMar>
          <w:top w:w="0" w:type="dxa"/>
          <w:left w:w="0" w:type="dxa"/>
          <w:bottom w:w="0" w:type="dxa"/>
          <w:right w:w="0" w:type="dxa"/>
        </w:tblCellMar>
      </w:tblPr>
      <w:tblGrid>
        <w:gridCol w:w="316"/>
        <w:gridCol w:w="268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February 2023.</w:t>
            </w:r>
          </w:p>
        </w:tc>
      </w:tr>
    </w:tbl>
    <w:tbl>
      <w:tblPr>
        <w:tblW w:w="9917" w:type="dxa"/>
        <w:jc w:val="left"/>
        <w:tblInd w:w="0" w:type="dxa"/>
        <w:tblLayout w:type="fixed"/>
        <w:tblCellMar>
          <w:top w:w="0" w:type="dxa"/>
          <w:left w:w="0" w:type="dxa"/>
          <w:bottom w:w="0" w:type="dxa"/>
          <w:right w:w="0" w:type="dxa"/>
        </w:tblCellMar>
      </w:tblPr>
      <w:tblGrid>
        <w:gridCol w:w="331"/>
        <w:gridCol w:w="958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5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Property is related to a consolidated JV.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tbl>
      <w:tblPr>
        <w:tblW w:w="2732" w:type="dxa"/>
        <w:jc w:val="left"/>
        <w:tblInd w:w="0" w:type="dxa"/>
        <w:tblLayout w:type="fixed"/>
        <w:tblCellMar>
          <w:top w:w="0" w:type="dxa"/>
          <w:left w:w="0" w:type="dxa"/>
          <w:bottom w:w="0" w:type="dxa"/>
          <w:right w:w="0" w:type="dxa"/>
        </w:tblCellMar>
      </w:tblPr>
      <w:tblGrid>
        <w:gridCol w:w="316"/>
        <w:gridCol w:w="24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2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April 2023.</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993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The hotel is operated by our JV partner. Pier Park TPS, LLC, (the “Pier Park TPS JV”) is unconsolidated and is accounted for using the equity method, which is included within our commercial segment.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w:t>
            </w:r>
          </w:p>
        </w:tc>
        <w:tc>
          <w:tcPr>
            <w:tcW w:w="99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The hotel, which opened in April 2024, is operated by our JV partner. Pier Park RI, LLC, (the “Pier Park RI JV”) is unconsolidated and is accounted for using the equity method, which is included within our commercial segment.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own and operate two marinas, the Point South Marina Bay Point in Bay County, Florida and Point South Marina Port St. Joe in Gulf County, Florida. We are planning new marinas along the Intracoastal Waterway.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also own and operate retail stores, two standalone restaurants and other entertainment assets.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to the properties listed above, we have a number of hospitality projects in various stages of planning.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Commercial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commercial segment includes leasing of commercial property, multi-family, self-storage and other assets, as well as senior living prior to the sale of the SJWCSL, LLC’s (“Watercrest JV”) senior living community property in September 2025.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 The commercial segment also oversees the planning, development, entitlement, management and sale of our commercial and forestry land holdings for a variety of uses, including a broad range of retail, office, hotel, senior living, multi-family, self-storage and industrial properties. We believe the diversity of our commercial segment complements the growth of our residential and hospitality segments. We provide development opportunities for national, regional and local retailers and other strategic partners in Northwest Florida. We own and manage retail shopping centers and develop commercial parcels. We are currently developing the Watersound Town Center in Walton County, Florida and Watersound West Bay Center in Bay County, Florida. These lifestyle centers are complementary to the Watersound Origins, Watersound Origins West and Latitude Margaritaville Watersound residential communities. In conjunction with FSU and TMH, we are in the process of developing an 87-acre medical campus in Panama City Beach, Florida, the first building of which opened in July 2024. We have large land holdings near the Pier Park retail center, adjacent to the Northwest Florida Beaches International Airport, near or within business districts in the region and along major roadways. We lease land for various other uses. The commercial segment manages our timber holdings in Northwest Florida, which includes growing and selling pulpwood, sawtimber and other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commercial segment generates leasing revenue and incurs leasing expenses primarily from maintenance and management of our properties, personnel costs and asset holding costs. Our commercial segment generates revenue from the sale of developed and undeveloped land, timber holdings or land with limited development and/or entitlements and the sale of commercial operating properties. Real estate sales in our commercial segment incur costs of revenue directly associated with the land, development, construction, timber and selling costs. Our commercial segment generates timber revenue primarily from open market sales of timber on site without the associated delivery costs. Cost of leasing revenue and cost of real estate revenue exclude depreciation, depletion and amortization expense. Some of our JV assets and other assets incur interest and financing expenses related to loans as described in Note 9. </w:t>
      </w:r>
      <w:r>
        <w:rPr>
          <w:rFonts w:ascii="TimesNewRomanPS-ItalicMT" w:hAnsi="TimesNewRomanPS-ItalicMT"/>
          <w:i/>
          <w:sz w:val="20"/>
        </w:rPr>
        <w:t>Debt,</w:t>
      </w:r>
      <w:r>
        <w:rPr>
          <w:rFonts w:ascii="Times New Roman;Times;serif" w:hAnsi="Times New Roman;Times;serif"/>
          <w:sz w:val="20"/>
        </w:rPr>
        <w:t xml:space="preserve"> </w:t>
      </w:r>
      <w:r>
        <w:rPr>
          <w:rFonts w:ascii="TimesNewRomanPS-ItalicMT" w:hAnsi="TimesNewRomanPS-ItalicMT"/>
          <w:i/>
          <w:sz w:val="20"/>
        </w:rPr>
        <w:t>Net</w:t>
      </w:r>
      <w:r>
        <w:rPr>
          <w:rFonts w:ascii="Times New Roman;Times;serif" w:hAnsi="Times New Roman;Times;serif"/>
          <w:sz w:val="20"/>
        </w:rPr>
        <w:t xml:space="preserve"> included in Item 15 of this Form 10-K.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Total units and percentage leased for multi-family and senior living communities by location are as follows:</w:t>
      </w:r>
    </w:p>
    <w:tbl>
      <w:tblPr>
        <w:tblW w:w="10433" w:type="dxa"/>
        <w:jc w:val="left"/>
        <w:tblInd w:w="0" w:type="dxa"/>
        <w:tblLayout w:type="fixed"/>
        <w:tblCellMar>
          <w:top w:w="0" w:type="dxa"/>
          <w:left w:w="0" w:type="dxa"/>
          <w:bottom w:w="0" w:type="dxa"/>
          <w:right w:w="0" w:type="dxa"/>
        </w:tblCellMar>
      </w:tblPr>
      <w:tblGrid>
        <w:gridCol w:w="946"/>
        <w:gridCol w:w="109"/>
        <w:gridCol w:w="661"/>
        <w:gridCol w:w="226"/>
        <w:gridCol w:w="586"/>
        <w:gridCol w:w="226"/>
        <w:gridCol w:w="736"/>
        <w:gridCol w:w="109"/>
        <w:gridCol w:w="526"/>
        <w:gridCol w:w="109"/>
        <w:gridCol w:w="751"/>
        <w:gridCol w:w="241"/>
        <w:gridCol w:w="109"/>
        <w:gridCol w:w="736"/>
        <w:gridCol w:w="109"/>
        <w:gridCol w:w="526"/>
        <w:gridCol w:w="109"/>
        <w:gridCol w:w="751"/>
        <w:gridCol w:w="241"/>
        <w:gridCol w:w="109"/>
        <w:gridCol w:w="736"/>
        <w:gridCol w:w="109"/>
        <w:gridCol w:w="526"/>
        <w:gridCol w:w="109"/>
        <w:gridCol w:w="751"/>
        <w:gridCol w:w="286"/>
      </w:tblGrid>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2025</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2024</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2023</w:t>
            </w:r>
          </w:p>
        </w:tc>
        <w:tc>
          <w:tcPr>
            <w:tcW w:w="286"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Percentage</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Percentage</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Percentage</w:t>
            </w:r>
          </w:p>
        </w:tc>
        <w:tc>
          <w:tcPr>
            <w:tcW w:w="286"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286"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226"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Units </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Units</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Units </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Units</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Units </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Units</w:t>
            </w:r>
          </w:p>
        </w:tc>
        <w:tc>
          <w:tcPr>
            <w:tcW w:w="286"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Location</w:t>
            </w:r>
          </w:p>
        </w:tc>
        <w:tc>
          <w:tcPr>
            <w:tcW w:w="22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Planned</w:t>
            </w:r>
            <w:r>
              <w:rPr>
                <w:rFonts w:ascii="Times New Roman;Times;serif" w:hAnsi="Times New Roman;Times;serif"/>
                <w:sz w:val="14"/>
              </w:rPr>
              <w:t xml:space="preserve"> </w:t>
            </w:r>
            <w:r>
              <w:rPr>
                <w:rFonts w:ascii="Times New Roman;Times;serif" w:hAnsi="Times New Roman;Times;serif"/>
                <w:b/>
                <w:sz w:val="11"/>
              </w:rPr>
              <w:t>(a)</w:t>
            </w:r>
          </w:p>
        </w:tc>
        <w:tc>
          <w:tcPr>
            <w:tcW w:w="226"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109"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109"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109"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286" w:type="dxa"/>
            <w:tcBorders/>
            <w:vAlign w:val="center"/>
          </w:tcPr>
          <w:p>
            <w:pPr>
              <w:pStyle w:val="TableContents"/>
              <w:bidi w:val="0"/>
              <w:spacing w:before="0" w:after="0"/>
              <w:ind w:left="0" w:right="0" w:hanging="0"/>
              <w:jc w:val="left"/>
              <w:rPr/>
            </w:pPr>
            <w:r>
              <w:rPr/>
              <w:t>​</w:t>
            </w:r>
          </w:p>
        </w:tc>
      </w:tr>
      <w:tr>
        <w:trPr/>
        <w:tc>
          <w:tcPr>
            <w:tcW w:w="1716"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Multi-family</w:t>
            </w:r>
          </w:p>
        </w:tc>
        <w:tc>
          <w:tcPr>
            <w:tcW w:w="22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Pier Park Crossings </w:t>
            </w:r>
            <w:r>
              <w:rPr>
                <w:rFonts w:ascii="Times New Roman;Times;serif" w:hAnsi="Times New Roman;Times;serif"/>
                <w:sz w:val="12"/>
              </w:rPr>
              <w:t>(b)</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2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9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Pier Park Crossings Phase II </w:t>
            </w:r>
            <w:r>
              <w:rPr>
                <w:rFonts w:ascii="Times New Roman;Times;serif" w:hAnsi="Times New Roman;Times;serif"/>
                <w:sz w:val="12"/>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94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Watersound Origins Crossings </w:t>
            </w:r>
            <w:r>
              <w:rPr>
                <w:rFonts w:ascii="Times New Roman;Times;serif" w:hAnsi="Times New Roman;Times;serif"/>
                <w:sz w:val="12"/>
              </w:rPr>
              <w:t>(b)</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2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9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North Bay Landing </w:t>
            </w:r>
            <w:r>
              <w:rPr>
                <w:rFonts w:ascii="Times New Roman;Times;serif" w:hAnsi="Times New Roman;Times;serif"/>
                <w:sz w:val="12"/>
              </w:rPr>
              <w:t>(c)</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94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Mexico Beach Crossings </w:t>
            </w:r>
            <w:r>
              <w:rPr>
                <w:rFonts w:ascii="Times New Roman;Times;serif" w:hAnsi="Times New Roman;Times;serif"/>
                <w:sz w:val="12"/>
              </w:rPr>
              <w:t>(b)</w:t>
            </w:r>
            <w:r>
              <w:rPr>
                <w:rFonts w:ascii="Times New Roman;Times;serif" w:hAnsi="Times New Roman;Times;serif"/>
                <w:sz w:val="16"/>
              </w:rPr>
              <w:t xml:space="preserve"> </w:t>
            </w:r>
            <w:r>
              <w:rPr>
                <w:rFonts w:ascii="Times New Roman;Times;serif" w:hAnsi="Times New Roman;Times;serif"/>
                <w:sz w:val="12"/>
              </w:rPr>
              <w:t>(d)</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c>
          <w:tcPr>
            <w:tcW w:w="2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9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Watersound Villas on the Fairway </w:t>
            </w:r>
            <w:r>
              <w:rPr>
                <w:rFonts w:ascii="Times New Roman;Times;serif" w:hAnsi="Times New Roman;Times;serif"/>
                <w:sz w:val="12"/>
              </w:rPr>
              <w:t>(e)</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94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WindMark Beach </w:t>
            </w:r>
            <w:r>
              <w:rPr>
                <w:rFonts w:ascii="Times New Roman;Times;serif" w:hAnsi="Times New Roman;Times;serif"/>
                <w:sz w:val="12"/>
              </w:rPr>
              <w:t>(f)</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Gulf County, FL</w:t>
            </w:r>
          </w:p>
        </w:tc>
        <w:tc>
          <w:tcPr>
            <w:tcW w:w="22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2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109" w:type="dxa"/>
            <w:tcBorders/>
            <w:vAlign w:val="center"/>
          </w:tcPr>
          <w:p>
            <w:pPr>
              <w:pStyle w:val="TableContents"/>
              <w:bidi w:val="0"/>
              <w:spacing w:before="0" w:after="0"/>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109" w:type="dxa"/>
            <w:tcBorders/>
            <w:vAlign w:val="center"/>
          </w:tcPr>
          <w:p>
            <w:pPr>
              <w:pStyle w:val="TableContents"/>
              <w:bidi w:val="0"/>
              <w:spacing w:before="0" w:after="0"/>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109" w:type="dxa"/>
            <w:tcBorders/>
            <w:vAlign w:val="center"/>
          </w:tcPr>
          <w:p>
            <w:pPr>
              <w:pStyle w:val="TableContents"/>
              <w:bidi w:val="0"/>
              <w:spacing w:before="0" w:after="0"/>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716" w:type="dxa"/>
            <w:gridSpan w:val="3"/>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Total multi-family units</w:t>
            </w:r>
            <w:r>
              <w:rPr>
                <w:rFonts w:ascii="Times New Roman;Times;serif" w:hAnsi="Times New Roman;Times;serif"/>
                <w:sz w:val="16"/>
              </w:rPr>
              <w:t xml:space="preserve"> </w:t>
            </w:r>
            <w:r>
              <w:rPr>
                <w:rFonts w:ascii="Times New Roman;Times;serif" w:hAnsi="Times New Roman;Times;serif"/>
                <w:b/>
                <w:sz w:val="12"/>
              </w:rPr>
              <w:t>(g)</w:t>
            </w:r>
          </w:p>
        </w:tc>
        <w:tc>
          <w:tcPr>
            <w:tcW w:w="22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1,104</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1,104</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988</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1,128</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961</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1,128</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893</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716"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Senior living communities</w:t>
            </w:r>
          </w:p>
        </w:tc>
        <w:tc>
          <w:tcPr>
            <w:tcW w:w="2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Watercrest </w:t>
            </w:r>
            <w:r>
              <w:rPr>
                <w:rFonts w:ascii="Times New Roman;Times;serif" w:hAnsi="Times New Roman;Times;serif"/>
                <w:sz w:val="12"/>
              </w:rPr>
              <w:t>(b) (h)</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2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9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Watersound Fountains </w:t>
            </w:r>
            <w:r>
              <w:rPr>
                <w:rFonts w:ascii="Times New Roman;Times;serif" w:hAnsi="Times New Roman;Times;serif"/>
                <w:sz w:val="12"/>
              </w:rPr>
              <w:t>(i)</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2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716" w:type="dxa"/>
            <w:gridSpan w:val="3"/>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senior living units</w:t>
            </w:r>
          </w:p>
        </w:tc>
        <w:tc>
          <w:tcPr>
            <w:tcW w:w="22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148</w:t>
            </w:r>
          </w:p>
        </w:tc>
        <w:tc>
          <w:tcPr>
            <w:tcW w:w="2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148</w:t>
            </w:r>
          </w:p>
        </w:tc>
        <w:tc>
          <w:tcPr>
            <w:tcW w:w="109"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255</w:t>
            </w:r>
          </w:p>
        </w:tc>
        <w:tc>
          <w:tcPr>
            <w:tcW w:w="109"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142</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w:t>
            </w:r>
          </w:p>
        </w:tc>
        <w:tc>
          <w:tcPr>
            <w:tcW w:w="109"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716"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units</w:t>
            </w:r>
          </w:p>
        </w:tc>
        <w:tc>
          <w:tcPr>
            <w:tcW w:w="226"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1,252</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1,252</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1,057</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84</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1,383</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1,103</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1,235</w:t>
            </w:r>
          </w:p>
        </w:tc>
        <w:tc>
          <w:tcPr>
            <w:tcW w:w="109" w:type="dxa"/>
            <w:tcBorders/>
            <w:shd w:fill="CCEEFF" w:val="clear"/>
            <w:vAlign w:val="center"/>
          </w:tcPr>
          <w:p>
            <w:pPr>
              <w:pStyle w:val="TableContents"/>
              <w:bidi w:val="0"/>
              <w:spacing w:before="0" w:after="0"/>
              <w:ind w:left="0" w:right="0" w:hanging="0"/>
              <w:jc w:val="righ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999</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81</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tbl>
      <w:tblPr>
        <w:tblW w:w="5807" w:type="dxa"/>
        <w:jc w:val="left"/>
        <w:tblInd w:w="0" w:type="dxa"/>
        <w:tblLayout w:type="fixed"/>
        <w:tblCellMar>
          <w:top w:w="0" w:type="dxa"/>
          <w:left w:w="0" w:type="dxa"/>
          <w:bottom w:w="0" w:type="dxa"/>
          <w:right w:w="0" w:type="dxa"/>
        </w:tblCellMar>
      </w:tblPr>
      <w:tblGrid>
        <w:gridCol w:w="316"/>
        <w:gridCol w:w="549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4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have additional multi-family communities in various stages of planning.</w:t>
            </w:r>
          </w:p>
        </w:tc>
      </w:tr>
    </w:tbl>
    <w:tbl>
      <w:tblPr>
        <w:tblW w:w="9917" w:type="dxa"/>
        <w:jc w:val="left"/>
        <w:tblInd w:w="0" w:type="dxa"/>
        <w:tblLayout w:type="fixed"/>
        <w:tblCellMar>
          <w:top w:w="0" w:type="dxa"/>
          <w:left w:w="0" w:type="dxa"/>
          <w:bottom w:w="0" w:type="dxa"/>
          <w:right w:w="0" w:type="dxa"/>
        </w:tblCellMar>
      </w:tblPr>
      <w:tblGrid>
        <w:gridCol w:w="331"/>
        <w:gridCol w:w="958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5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Property is related to a consolidated JV.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tbl>
      <w:tblPr>
        <w:tblW w:w="4637" w:type="dxa"/>
        <w:jc w:val="left"/>
        <w:tblInd w:w="0" w:type="dxa"/>
        <w:tblLayout w:type="fixed"/>
        <w:tblCellMar>
          <w:top w:w="0" w:type="dxa"/>
          <w:left w:w="0" w:type="dxa"/>
          <w:bottom w:w="0" w:type="dxa"/>
          <w:right w:w="0" w:type="dxa"/>
        </w:tblCellMar>
      </w:tblPr>
      <w:tblGrid>
        <w:gridCol w:w="316"/>
        <w:gridCol w:w="432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4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Construction was completed in the second quarter of 2023.</w:t>
            </w:r>
          </w:p>
        </w:tc>
      </w:tr>
    </w:tbl>
    <w:tbl>
      <w:tblPr>
        <w:tblW w:w="4592" w:type="dxa"/>
        <w:jc w:val="left"/>
        <w:tblInd w:w="0" w:type="dxa"/>
        <w:tblLayout w:type="fixed"/>
        <w:tblCellMar>
          <w:top w:w="0" w:type="dxa"/>
          <w:left w:w="0" w:type="dxa"/>
          <w:bottom w:w="0" w:type="dxa"/>
          <w:right w:w="0" w:type="dxa"/>
        </w:tblCellMar>
      </w:tblPr>
      <w:tblGrid>
        <w:gridCol w:w="331"/>
        <w:gridCol w:w="426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4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Construction was completed in the fourth quarter of 2023.</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Construction was completed in the first quarter of 2023. In January 2025, the community was platted as individual units, which created the ability to sell them individually. We are no longer entering into new leases. During 2025, we sold 24 townhomes, included within our residential segment.</w:t>
            </w:r>
          </w:p>
        </w:tc>
      </w:tr>
    </w:tbl>
    <w:tbl>
      <w:tblPr>
        <w:tblW w:w="6812" w:type="dxa"/>
        <w:jc w:val="left"/>
        <w:tblInd w:w="0" w:type="dxa"/>
        <w:tblLayout w:type="fixed"/>
        <w:tblCellMar>
          <w:top w:w="0" w:type="dxa"/>
          <w:left w:w="0" w:type="dxa"/>
          <w:bottom w:w="0" w:type="dxa"/>
          <w:right w:w="0" w:type="dxa"/>
        </w:tblCellMar>
      </w:tblPr>
      <w:tblGrid>
        <w:gridCol w:w="301"/>
        <w:gridCol w:w="6511"/>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6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Renovation of 19 units for long-term rental use was completed in the second half of 2023.</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All multi-family communities are managed by our unconsolidated JV, Watersound Management, LLC (the “Watersound Management JV”). The Watersound Management JV is unconsolidated and is accounted for using the equity method.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w:t>
            </w:r>
          </w:p>
        </w:tc>
        <w:tc>
          <w:tcPr>
            <w:tcW w:w="98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 September 2025, the Watercrest JV sold its senior living community property to a third party and ceased operating activities.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w:t>
            </w:r>
          </w:p>
        </w:tc>
        <w:tc>
          <w:tcPr>
            <w:tcW w:w="99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community opened in March 2024. The senior living community is operated by our JV partner. WOSL, LLC,</w:t>
            </w:r>
            <w:r>
              <w:rPr>
                <w:caps w:val="false"/>
                <w:smallCaps w:val="false"/>
              </w:rPr>
              <w:t xml:space="preserve"> </w:t>
            </w:r>
            <w:r>
              <w:rPr>
                <w:rFonts w:ascii="Times New Roman;Times;serif" w:hAnsi="Times New Roman;Times;serif"/>
                <w:b w:val="false"/>
                <w:i w:val="false"/>
                <w:caps w:val="false"/>
                <w:smallCaps w:val="false"/>
                <w:sz w:val="18"/>
              </w:rPr>
              <w:t xml:space="preserve">(the “Watersound Fountains Independent Living JV”) is unconsolidated and is accounted for using the equity method.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leasing portfolio consists of approximately 1,174,000 square feet of leasable space for mixed-use, retail, industrial, office, self-storage and medical uses. Through separate unconsolidated JVs, other commercial properties that are operated by our JV partners include a 124-room TownePlace Suites by Marriott (Pier Park TPS JV), a 121-room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Residence Inn (Pier Park RI JV), a Busy Bee branded fuel station and convenience store, which includes a Starbucks, (SJBB, LLC, the “Busy Bee JV”) and a golf cart sales and service facility (SJECC, LLC, the “Electric Cart Watersound JV”), all located in Bay County, Florida.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total net leasable square feet and percentage leased of leasing properties are as follows:</w:t>
      </w:r>
    </w:p>
    <w:tbl>
      <w:tblPr>
        <w:tblW w:w="10205" w:type="dxa"/>
        <w:jc w:val="left"/>
        <w:tblInd w:w="0" w:type="dxa"/>
        <w:tblLayout w:type="fixed"/>
        <w:tblCellMar>
          <w:top w:w="0" w:type="dxa"/>
          <w:left w:w="0" w:type="dxa"/>
          <w:bottom w:w="0" w:type="dxa"/>
          <w:right w:w="0" w:type="dxa"/>
        </w:tblCellMar>
      </w:tblPr>
      <w:tblGrid>
        <w:gridCol w:w="1440"/>
        <w:gridCol w:w="346"/>
        <w:gridCol w:w="895"/>
        <w:gridCol w:w="346"/>
        <w:gridCol w:w="826"/>
        <w:gridCol w:w="346"/>
        <w:gridCol w:w="781"/>
        <w:gridCol w:w="362"/>
        <w:gridCol w:w="109"/>
        <w:gridCol w:w="826"/>
        <w:gridCol w:w="346"/>
        <w:gridCol w:w="781"/>
        <w:gridCol w:w="362"/>
        <w:gridCol w:w="109"/>
        <w:gridCol w:w="826"/>
        <w:gridCol w:w="346"/>
        <w:gridCol w:w="781"/>
        <w:gridCol w:w="377"/>
      </w:tblGrid>
      <w:tr>
        <w:trPr/>
        <w:tc>
          <w:tcPr>
            <w:tcW w:w="1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14400" cy="175260"/>
                      <wp:effectExtent l="0" t="0" r="0" b="0"/>
                      <wp:wrapNone/>
                      <wp:docPr id="64" name="Frame6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68325" cy="175260"/>
                      <wp:effectExtent l="0" t="0" r="0" b="0"/>
                      <wp:wrapNone/>
                      <wp:docPr id="66" name="Frame65"/>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7"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24510" cy="175260"/>
                      <wp:effectExtent l="0" t="0" r="0" b="0"/>
                      <wp:wrapNone/>
                      <wp:docPr id="68" name="Frame6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0" name="Frame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9870" cy="175260"/>
                      <wp:effectExtent l="0" t="0" r="0" b="0"/>
                      <wp:wrapNone/>
                      <wp:docPr id="71" name="Frame7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2"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24510" cy="175260"/>
                      <wp:effectExtent l="0" t="0" r="0" b="0"/>
                      <wp:wrapNone/>
                      <wp:docPr id="73" name="Frame7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5935" cy="175260"/>
                      <wp:effectExtent l="0" t="0" r="0" b="0"/>
                      <wp:wrapNone/>
                      <wp:docPr id="75" name="Frame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29870" cy="175260"/>
                      <wp:effectExtent l="0" t="0" r="0" b="0"/>
                      <wp:wrapNone/>
                      <wp:docPr id="76" name="Frame7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77"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24510" cy="175260"/>
                      <wp:effectExtent l="0" t="0" r="0" b="0"/>
                      <wp:wrapNone/>
                      <wp:docPr id="78" name="Frame7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0"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39395" cy="175260"/>
                      <wp:effectExtent l="0" t="0" r="0" b="0"/>
                      <wp:wrapNone/>
                      <wp:docPr id="81" name="Frame80"/>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6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6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77" w:type="dxa"/>
            <w:tcBorders/>
            <w:vAlign w:val="center"/>
          </w:tcPr>
          <w:p>
            <w:pPr>
              <w:pStyle w:val="TableContents"/>
              <w:bidi w:val="0"/>
              <w:spacing w:before="0" w:after="1"/>
              <w:ind w:left="0" w:right="0" w:hanging="0"/>
              <w:jc w:val="center"/>
              <w:rPr/>
            </w:pPr>
            <w:r>
              <w:rPr/>
              <w:t> </w:t>
            </w:r>
          </w:p>
        </w:tc>
      </w:tr>
      <w:tr>
        <w:trPr/>
        <w:tc>
          <w:tcPr>
            <w:tcW w:w="1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62"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6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77" w:type="dxa"/>
            <w:tcBorders/>
            <w:vAlign w:val="center"/>
          </w:tcPr>
          <w:p>
            <w:pPr>
              <w:pStyle w:val="TableContents"/>
              <w:bidi w:val="0"/>
              <w:spacing w:before="0" w:after="1"/>
              <w:ind w:left="0" w:right="0" w:hanging="0"/>
              <w:jc w:val="center"/>
              <w:rPr/>
            </w:pPr>
            <w:r>
              <w:rPr/>
              <w:t> </w:t>
            </w:r>
          </w:p>
        </w:tc>
      </w:tr>
      <w:tr>
        <w:trPr/>
        <w:tc>
          <w:tcPr>
            <w:tcW w:w="1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Leasable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Leasable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Leasable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77" w:type="dxa"/>
            <w:tcBorders/>
            <w:vAlign w:val="center"/>
          </w:tcPr>
          <w:p>
            <w:pPr>
              <w:pStyle w:val="TableContents"/>
              <w:bidi w:val="0"/>
              <w:spacing w:before="0" w:after="1"/>
              <w:ind w:left="0" w:right="0" w:hanging="0"/>
              <w:jc w:val="center"/>
              <w:rPr/>
            </w:pPr>
            <w:r>
              <w:rPr/>
              <w:t> </w:t>
            </w:r>
          </w:p>
        </w:tc>
      </w:tr>
      <w:tr>
        <w:trPr/>
        <w:tc>
          <w:tcPr>
            <w:tcW w:w="1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Square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Percentage</w:t>
            </w:r>
          </w:p>
        </w:tc>
        <w:tc>
          <w:tcPr>
            <w:tcW w:w="36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Square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Percentage</w:t>
            </w:r>
          </w:p>
        </w:tc>
        <w:tc>
          <w:tcPr>
            <w:tcW w:w="36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Square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Percentage</w:t>
            </w:r>
          </w:p>
        </w:tc>
        <w:tc>
          <w:tcPr>
            <w:tcW w:w="377" w:type="dxa"/>
            <w:tcBorders/>
            <w:vAlign w:val="center"/>
          </w:tcPr>
          <w:p>
            <w:pPr>
              <w:pStyle w:val="TableContents"/>
              <w:bidi w:val="0"/>
              <w:spacing w:before="0" w:after="1"/>
              <w:ind w:left="0" w:right="0" w:hanging="0"/>
              <w:jc w:val="center"/>
              <w:rPr/>
            </w:pPr>
            <w:r>
              <w:rPr/>
              <w:t> </w:t>
            </w:r>
          </w:p>
        </w:tc>
      </w:tr>
      <w:tr>
        <w:trPr/>
        <w:tc>
          <w:tcPr>
            <w:tcW w:w="1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9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Location</w:t>
            </w:r>
          </w:p>
        </w:tc>
        <w:tc>
          <w:tcPr>
            <w:tcW w:w="34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Feet*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Leased</w:t>
            </w:r>
          </w:p>
        </w:tc>
        <w:tc>
          <w:tcPr>
            <w:tcW w:w="36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Feet*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Leased</w:t>
            </w:r>
          </w:p>
        </w:tc>
        <w:tc>
          <w:tcPr>
            <w:tcW w:w="36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Feet*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Leased</w:t>
            </w:r>
          </w:p>
        </w:tc>
        <w:tc>
          <w:tcPr>
            <w:tcW w:w="377" w:type="dxa"/>
            <w:tcBorders/>
            <w:vAlign w:val="center"/>
          </w:tcPr>
          <w:p>
            <w:pPr>
              <w:pStyle w:val="TableContents"/>
              <w:bidi w:val="0"/>
              <w:spacing w:before="0" w:after="1"/>
              <w:ind w:left="0" w:right="0" w:hanging="0"/>
              <w:jc w:val="center"/>
              <w:rPr/>
            </w:pPr>
            <w:r>
              <w:rPr/>
              <w:t> </w:t>
            </w:r>
          </w:p>
        </w:tc>
      </w:tr>
      <w:tr>
        <w:trPr/>
        <w:tc>
          <w:tcPr>
            <w:tcW w:w="14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Pier Park North</w:t>
            </w:r>
            <w:r>
              <w:rPr>
                <w:rFonts w:ascii="Times New Roman;Times;serif" w:hAnsi="Times New Roman;Times;serif"/>
                <w:sz w:val="16"/>
              </w:rPr>
              <w:t xml:space="preserve"> </w:t>
            </w:r>
            <w:r>
              <w:rPr>
                <w:rFonts w:ascii="Times New Roman;Times;serif" w:hAnsi="Times New Roman;Times;serif"/>
                <w:sz w:val="13"/>
              </w:rPr>
              <w:t>(a)</w:t>
            </w:r>
          </w:p>
        </w:tc>
        <w:tc>
          <w:tcPr>
            <w:tcW w:w="346"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320,310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  </w:t>
            </w:r>
            <w:r>
              <w:rPr>
                <w:rFonts w:ascii="Times New Roman;Times;serif" w:hAnsi="Times New Roman;Times;serif"/>
                <w:sz w:val="16"/>
              </w:rPr>
              <w:t xml:space="preserve">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320,310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  </w:t>
            </w:r>
            <w:r>
              <w:rPr>
                <w:rFonts w:ascii="Times New Roman;Times;serif" w:hAnsi="Times New Roman;Times;serif"/>
                <w:sz w:val="16"/>
              </w:rPr>
              <w:t xml:space="preserve">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320,310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VentureCrossings</w:t>
            </w:r>
          </w:p>
        </w:tc>
        <w:tc>
          <w:tcPr>
            <w:tcW w:w="346"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303,605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303,605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303,605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98</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Watersound Town Center</w:t>
            </w:r>
            <w:r>
              <w:rPr>
                <w:rFonts w:ascii="Times New Roman;Times;serif" w:hAnsi="Times New Roman;Times;serif"/>
                <w:sz w:val="16"/>
              </w:rPr>
              <w:t xml:space="preserve"> </w:t>
            </w:r>
            <w:r>
              <w:rPr>
                <w:rFonts w:ascii="Times New Roman;Times;serif" w:hAnsi="Times New Roman;Times;serif"/>
                <w:sz w:val="13"/>
              </w:rPr>
              <w:t>(b) (c)</w:t>
            </w:r>
          </w:p>
        </w:tc>
        <w:tc>
          <w:tcPr>
            <w:tcW w:w="346"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149,210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98</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155,962</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86</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137,921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83</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Beckrich Office Park</w:t>
            </w:r>
            <w:r>
              <w:rPr>
                <w:rFonts w:ascii="Times New Roman;Times;serif" w:hAnsi="Times New Roman;Times;serif"/>
                <w:sz w:val="16"/>
              </w:rPr>
              <w:t xml:space="preserve"> </w:t>
            </w:r>
            <w:r>
              <w:rPr>
                <w:rFonts w:ascii="Times New Roman;Times;serif" w:hAnsi="Times New Roman;Times;serif"/>
                <w:sz w:val="13"/>
              </w:rPr>
              <w:t>(c) (d)</w:t>
            </w:r>
          </w:p>
        </w:tc>
        <w:tc>
          <w:tcPr>
            <w:tcW w:w="346"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80,675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87</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78,322</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78,322</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93</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FSU/TMH Medical Campus</w:t>
            </w:r>
            <w:r>
              <w:rPr>
                <w:rFonts w:ascii="Times New Roman;Times;serif" w:hAnsi="Times New Roman;Times;serif"/>
                <w:sz w:val="16"/>
              </w:rPr>
              <w:t xml:space="preserve"> </w:t>
            </w:r>
            <w:r>
              <w:rPr>
                <w:rFonts w:ascii="Times New Roman;Times;serif" w:hAnsi="Times New Roman;Times;serif"/>
                <w:sz w:val="13"/>
              </w:rPr>
              <w:t>(e)</w:t>
            </w:r>
          </w:p>
        </w:tc>
        <w:tc>
          <w:tcPr>
            <w:tcW w:w="346"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78,670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78,670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N/A</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Watersound Self-Storage</w:t>
            </w:r>
          </w:p>
        </w:tc>
        <w:tc>
          <w:tcPr>
            <w:tcW w:w="346"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67,694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93</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67,694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67,694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92</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WindMark Beach Town Center</w:t>
            </w:r>
            <w:r>
              <w:rPr>
                <w:rFonts w:ascii="Times New Roman;Times;serif" w:hAnsi="Times New Roman;Times;serif"/>
                <w:sz w:val="16"/>
              </w:rPr>
              <w:t xml:space="preserve"> </w:t>
            </w:r>
            <w:r>
              <w:rPr>
                <w:rFonts w:ascii="Times New Roman;Times;serif" w:hAnsi="Times New Roman;Times;serif"/>
                <w:sz w:val="13"/>
              </w:rPr>
              <w:t>(c) (f)</w:t>
            </w:r>
          </w:p>
        </w:tc>
        <w:tc>
          <w:tcPr>
            <w:tcW w:w="346"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Gulf County, FL</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44,748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44,748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44,748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Cedar Grove Commerce Park</w:t>
            </w:r>
          </w:p>
        </w:tc>
        <w:tc>
          <w:tcPr>
            <w:tcW w:w="346"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19,389</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19,389</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19,389</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WaterColor Town Center</w:t>
            </w:r>
            <w:r>
              <w:rPr>
                <w:rFonts w:ascii="Times New Roman;Times;serif" w:hAnsi="Times New Roman;Times;serif"/>
                <w:sz w:val="16"/>
              </w:rPr>
              <w:t xml:space="preserve"> </w:t>
            </w:r>
            <w:r>
              <w:rPr>
                <w:rFonts w:ascii="Times New Roman;Times;serif" w:hAnsi="Times New Roman;Times;serif"/>
                <w:sz w:val="13"/>
              </w:rPr>
              <w:t>(c) (g)</w:t>
            </w:r>
          </w:p>
        </w:tc>
        <w:tc>
          <w:tcPr>
            <w:tcW w:w="346"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17,560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96</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22,199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75</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22,199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Port St. Joe Commercial</w:t>
            </w:r>
          </w:p>
        </w:tc>
        <w:tc>
          <w:tcPr>
            <w:tcW w:w="346"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Gulf County, FL</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16,964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16,964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16,964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Beach Commerce Park</w:t>
            </w:r>
            <w:r>
              <w:rPr>
                <w:rFonts w:ascii="Times New Roman;Times;serif" w:hAnsi="Times New Roman;Times;serif"/>
                <w:sz w:val="16"/>
              </w:rPr>
              <w:t xml:space="preserve"> </w:t>
            </w:r>
            <w:r>
              <w:rPr>
                <w:rFonts w:ascii="Times New Roman;Times;serif" w:hAnsi="Times New Roman;Times;serif"/>
                <w:sz w:val="13"/>
              </w:rPr>
              <w:t>(c)</w:t>
            </w:r>
          </w:p>
        </w:tc>
        <w:tc>
          <w:tcPr>
            <w:tcW w:w="346"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14,800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14,800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14,800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South Walton Commerce Park</w:t>
            </w:r>
          </w:p>
        </w:tc>
        <w:tc>
          <w:tcPr>
            <w:tcW w:w="346"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11,570</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11,570</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11,570</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Watersound Gatehouse</w:t>
            </w:r>
            <w:r>
              <w:rPr>
                <w:rFonts w:ascii="Times New Roman;Times;serif" w:hAnsi="Times New Roman;Times;serif"/>
                <w:sz w:val="16"/>
              </w:rPr>
              <w:t xml:space="preserve"> </w:t>
            </w:r>
            <w:r>
              <w:rPr>
                <w:rFonts w:ascii="Times New Roman;Times;serif" w:hAnsi="Times New Roman;Times;serif"/>
                <w:sz w:val="13"/>
              </w:rPr>
              <w:t>(c)</w:t>
            </w:r>
          </w:p>
        </w:tc>
        <w:tc>
          <w:tcPr>
            <w:tcW w:w="346"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10,271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87</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10,271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87</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10,271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Other</w:t>
            </w:r>
            <w:r>
              <w:rPr>
                <w:rFonts w:ascii="Times New Roman;Times;serif" w:hAnsi="Times New Roman;Times;serif"/>
                <w:sz w:val="16"/>
              </w:rPr>
              <w:t xml:space="preserve"> </w:t>
            </w:r>
            <w:r>
              <w:rPr>
                <w:rFonts w:ascii="Times New Roman;Times;serif" w:hAnsi="Times New Roman;Times;serif"/>
                <w:sz w:val="13"/>
              </w:rPr>
              <w:t>(h)</w:t>
            </w:r>
          </w:p>
        </w:tc>
        <w:tc>
          <w:tcPr>
            <w:tcW w:w="346"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Gulf and Walton Counties, FL</w:t>
            </w:r>
          </w:p>
        </w:tc>
        <w:tc>
          <w:tcPr>
            <w:tcW w:w="3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38,574</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37,590</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6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34,224</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144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1,174,040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96</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1,182,094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95</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1,082,017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95</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8"/>
              </w:rPr>
            </w:pPr>
            <w:r>
              <w:rPr>
                <w:rFonts w:ascii="Symbol" w:hAnsi="Symbol"/>
                <w:sz w:val="18"/>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Leasable Square Feet is designated as the current square feet available for lease as specified in the applicable lease agreements plus management’s estimate of space available for lease based on construction drawings.</w:t>
            </w:r>
          </w:p>
        </w:tc>
      </w:tr>
    </w:tbl>
    <w:tbl>
      <w:tblPr>
        <w:tblW w:w="9902" w:type="dxa"/>
        <w:jc w:val="left"/>
        <w:tblInd w:w="0" w:type="dxa"/>
        <w:tblLayout w:type="fixed"/>
        <w:tblCellMar>
          <w:top w:w="0" w:type="dxa"/>
          <w:left w:w="0" w:type="dxa"/>
          <w:bottom w:w="0" w:type="dxa"/>
          <w:right w:w="0" w:type="dxa"/>
        </w:tblCellMar>
      </w:tblPr>
      <w:tblGrid>
        <w:gridCol w:w="316"/>
        <w:gridCol w:w="958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5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Property is related to a consolidated JV.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 additional building was completed in the second quarter of 2024 and construction of additional leasing space was completed in 2023. As of December 31, 2025, we occupied 6,752 square feet for our real estate brokerage, title insurance agency and insurance agency businesses, which is excluded from net leasable square feet. Included in net leasable square feet as of December 31, 2025, 2024 and 2023, is 1,200 square feet leased to an unconsolidated JV. Included in net leasable square feet as of December 31, 2024, is 6,752 square feet within our residential segment. Included in net leasable square feet as of December 31, 2024 and 2023, is 2,137 square feet leased to a consolidated JV.</w:t>
            </w:r>
          </w:p>
        </w:tc>
      </w:tr>
    </w:tbl>
    <w:tbl>
      <w:tblPr>
        <w:tblW w:w="7772" w:type="dxa"/>
        <w:jc w:val="left"/>
        <w:tblInd w:w="0" w:type="dxa"/>
        <w:tblLayout w:type="fixed"/>
        <w:tblCellMar>
          <w:top w:w="0" w:type="dxa"/>
          <w:left w:w="0" w:type="dxa"/>
          <w:bottom w:w="0" w:type="dxa"/>
          <w:right w:w="0" w:type="dxa"/>
        </w:tblCellMar>
      </w:tblPr>
      <w:tblGrid>
        <w:gridCol w:w="316"/>
        <w:gridCol w:w="745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addition to net leasable square feet, there is also space that we occupy or that serves as common area.</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occupied approximately 22,556 square feet as of December 31, 2025 and 24,000 square feet as of each December 31, 2024 and 2023 as our headquarters, which is excluded from net leasable square feet. Included in net leasable square feet as of December 31, 2024 and 2023, is 1,500 square feet leased to a consolidated JV.</w:t>
            </w:r>
          </w:p>
        </w:tc>
      </w:tr>
    </w:tbl>
    <w:tbl>
      <w:tblPr>
        <w:tblW w:w="5402" w:type="dxa"/>
        <w:jc w:val="left"/>
        <w:tblInd w:w="0" w:type="dxa"/>
        <w:tblLayout w:type="fixed"/>
        <w:tblCellMar>
          <w:top w:w="0" w:type="dxa"/>
          <w:left w:w="0" w:type="dxa"/>
          <w:bottom w:w="0" w:type="dxa"/>
          <w:right w:w="0" w:type="dxa"/>
        </w:tblCellMar>
      </w:tblPr>
      <w:tblGrid>
        <w:gridCol w:w="316"/>
        <w:gridCol w:w="508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50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A medical office building was completed in the third quarter of 2024.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net leasable square feet as of December 31, 2025 is 5,658 square feet and 13,808 square feet as of each December 31, 2024 and 2023, of unfinished space.</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 of December 31, 2025, we occupied 4,639 square feet for our real estate brokerage business, which is excluded from net leasable square feet. As of December 31, 2024, a portion of vacant space was being held as a future office for our new real estate brokerage business.</w:t>
            </w:r>
          </w:p>
        </w:tc>
      </w:tr>
    </w:tbl>
    <w:tbl>
      <w:tblPr>
        <w:tblW w:w="6527" w:type="dxa"/>
        <w:jc w:val="left"/>
        <w:tblInd w:w="0" w:type="dxa"/>
        <w:tblLayout w:type="fixed"/>
        <w:tblCellMar>
          <w:top w:w="0" w:type="dxa"/>
          <w:left w:w="0" w:type="dxa"/>
          <w:bottom w:w="0" w:type="dxa"/>
          <w:right w:w="0" w:type="dxa"/>
        </w:tblCellMar>
      </w:tblPr>
      <w:tblGrid>
        <w:gridCol w:w="331"/>
        <w:gridCol w:w="619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w:t>
            </w:r>
          </w:p>
        </w:tc>
        <w:tc>
          <w:tcPr>
            <w:tcW w:w="6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Includes various other properties, each with less than 10,000 net leasable square feet. </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commercial projects under development and construction as detailed in the table below. In addition to these properties, we have other commercial buildings and sites in various stages of planning and development.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783"/>
        <w:gridCol w:w="109"/>
        <w:gridCol w:w="1227"/>
        <w:gridCol w:w="109"/>
        <w:gridCol w:w="1479"/>
        <w:gridCol w:w="109"/>
        <w:gridCol w:w="1965"/>
        <w:gridCol w:w="109"/>
        <w:gridCol w:w="1873"/>
        <w:gridCol w:w="109"/>
        <w:gridCol w:w="1333"/>
      </w:tblGrid>
      <w:tr>
        <w:trPr/>
        <w:tc>
          <w:tcPr>
            <w:tcW w:w="1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132205" cy="175260"/>
                      <wp:effectExtent l="0" t="0" r="0" b="0"/>
                      <wp:wrapNone/>
                      <wp:docPr id="82" name="Frame81"/>
                      <a:graphic xmlns:a="http://schemas.openxmlformats.org/drawingml/2006/main">
                        <a:graphicData uri="http://schemas.microsoft.com/office/word/2010/wordprocessingShape">
                          <wps:wsp>
                            <wps:cNvSpPr txBox="1"/>
                            <wps:spPr>
                              <a:xfrm>
                                <a:off x="0" y="0"/>
                                <a:ext cx="1132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3"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79145" cy="175260"/>
                      <wp:effectExtent l="0" t="0" r="0" b="0"/>
                      <wp:wrapNone/>
                      <wp:docPr id="84" name="Frame83"/>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5"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39165" cy="175260"/>
                      <wp:effectExtent l="0" t="0" r="0" b="0"/>
                      <wp:wrapNone/>
                      <wp:docPr id="86" name="Frame85"/>
                      <a:graphic xmlns:a="http://schemas.openxmlformats.org/drawingml/2006/main">
                        <a:graphicData uri="http://schemas.microsoft.com/office/word/2010/wordprocessingShape">
                          <wps:wsp>
                            <wps:cNvSpPr txBox="1"/>
                            <wps:spPr>
                              <a:xfrm>
                                <a:off x="0" y="0"/>
                                <a:ext cx="939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87"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7775" cy="175260"/>
                      <wp:effectExtent l="0" t="0" r="0" b="0"/>
                      <wp:wrapNone/>
                      <wp:docPr id="88" name="Frame87"/>
                      <a:graphic xmlns:a="http://schemas.openxmlformats.org/drawingml/2006/main">
                        <a:graphicData uri="http://schemas.microsoft.com/office/word/2010/wordprocessingShape">
                          <wps:wsp>
                            <wps:cNvSpPr txBox="1"/>
                            <wps:spPr>
                              <a:xfrm>
                                <a:off x="0" y="0"/>
                                <a:ext cx="1247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89"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189355" cy="175260"/>
                      <wp:effectExtent l="0" t="0" r="0" b="0"/>
                      <wp:wrapNone/>
                      <wp:docPr id="90" name="Frame89"/>
                      <a:graphic xmlns:a="http://schemas.openxmlformats.org/drawingml/2006/main">
                        <a:graphicData uri="http://schemas.microsoft.com/office/word/2010/wordprocessingShape">
                          <wps:wsp>
                            <wps:cNvSpPr txBox="1"/>
                            <wps:spPr>
                              <a:xfrm>
                                <a:off x="0" y="0"/>
                                <a:ext cx="1189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846455" cy="175260"/>
                      <wp:effectExtent l="0" t="0" r="0" b="0"/>
                      <wp:wrapNone/>
                      <wp:docPr id="92" name="Frame91"/>
                      <a:graphic xmlns:a="http://schemas.openxmlformats.org/drawingml/2006/main">
                        <a:graphicData uri="http://schemas.microsoft.com/office/word/2010/wordprocessingShape">
                          <wps:wsp>
                            <wps:cNvSpPr txBox="1"/>
                            <wps:spPr>
                              <a:xfrm>
                                <a:off x="0" y="0"/>
                                <a:ext cx="846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7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78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2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109" w:type="dxa"/>
            <w:tcBorders/>
            <w:vAlign w:val="center"/>
          </w:tcPr>
          <w:p>
            <w:pPr>
              <w:pStyle w:val="TableContents"/>
              <w:bidi w:val="0"/>
              <w:spacing w:before="0" w:after="1"/>
              <w:ind w:left="0" w:right="0" w:hanging="0"/>
              <w:jc w:val="center"/>
              <w:rPr/>
            </w:pPr>
            <w:r>
              <w:rPr/>
              <w:t>​</w:t>
            </w:r>
          </w:p>
        </w:tc>
        <w:tc>
          <w:tcPr>
            <w:tcW w:w="14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Completed Square Feet</w:t>
            </w:r>
          </w:p>
        </w:tc>
        <w:tc>
          <w:tcPr>
            <w:tcW w:w="109" w:type="dxa"/>
            <w:tcBorders/>
            <w:vAlign w:val="center"/>
          </w:tcPr>
          <w:p>
            <w:pPr>
              <w:pStyle w:val="TableContents"/>
              <w:bidi w:val="0"/>
              <w:spacing w:before="0" w:after="1"/>
              <w:ind w:left="0" w:right="0" w:hanging="0"/>
              <w:jc w:val="center"/>
              <w:rPr/>
            </w:pPr>
            <w:r>
              <w:rPr/>
              <w:t>​</w:t>
            </w:r>
          </w:p>
        </w:tc>
        <w:tc>
          <w:tcPr>
            <w:tcW w:w="19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Square Feet Under Construction</w:t>
            </w:r>
          </w:p>
        </w:tc>
        <w:tc>
          <w:tcPr>
            <w:tcW w:w="109" w:type="dxa"/>
            <w:tcBorders/>
            <w:vAlign w:val="center"/>
          </w:tcPr>
          <w:p>
            <w:pPr>
              <w:pStyle w:val="TableContents"/>
              <w:bidi w:val="0"/>
              <w:spacing w:before="0" w:after="1"/>
              <w:ind w:left="0" w:right="0" w:hanging="0"/>
              <w:jc w:val="center"/>
              <w:rPr/>
            </w:pPr>
            <w:r>
              <w:rPr/>
              <w:t>​</w:t>
            </w:r>
          </w:p>
        </w:tc>
        <w:tc>
          <w:tcPr>
            <w:tcW w:w="18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Planned Square Feet</w:t>
            </w:r>
          </w:p>
        </w:tc>
        <w:tc>
          <w:tcPr>
            <w:tcW w:w="109" w:type="dxa"/>
            <w:tcBorders/>
            <w:vAlign w:val="center"/>
          </w:tcPr>
          <w:p>
            <w:pPr>
              <w:pStyle w:val="TableContents"/>
              <w:bidi w:val="0"/>
              <w:spacing w:before="0" w:after="1"/>
              <w:ind w:left="0" w:right="0" w:hanging="0"/>
              <w:jc w:val="center"/>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Square Feet*</w:t>
            </w:r>
          </w:p>
        </w:tc>
      </w:tr>
      <w:tr>
        <w:trPr/>
        <w:tc>
          <w:tcPr>
            <w:tcW w:w="178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Watersound Town Center </w:t>
            </w:r>
            <w:r>
              <w:rPr>
                <w:rFonts w:ascii="Times New Roman;Times;serif" w:hAnsi="Times New Roman;Times;serif"/>
                <w:sz w:val="14"/>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1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shd w:fill="CCEEFF" w:val="clear"/>
            <w:vAlign w:val="center"/>
          </w:tcPr>
          <w:p>
            <w:pPr>
              <w:pStyle w:val="TableContents"/>
              <w:bidi w:val="0"/>
              <w:spacing w:before="0" w:after="1"/>
              <w:ind w:left="0" w:right="0" w:hanging="0"/>
              <w:jc w:val="left"/>
              <w:rPr/>
            </w:pPr>
            <w:r>
              <w:rPr/>
              <w:t>​</w:t>
            </w:r>
          </w:p>
        </w:tc>
        <w:tc>
          <w:tcPr>
            <w:tcW w:w="14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155,962</w:t>
            </w:r>
          </w:p>
        </w:tc>
        <w:tc>
          <w:tcPr>
            <w:tcW w:w="109" w:type="dxa"/>
            <w:tcBorders/>
            <w:shd w:fill="CCEEFF" w:val="clear"/>
            <w:vAlign w:val="center"/>
          </w:tcPr>
          <w:p>
            <w:pPr>
              <w:pStyle w:val="TableContents"/>
              <w:bidi w:val="0"/>
              <w:spacing w:before="0" w:after="1"/>
              <w:ind w:left="0" w:right="0" w:hanging="0"/>
              <w:jc w:val="left"/>
              <w:rPr/>
            </w:pPr>
            <w:r>
              <w:rPr/>
              <w:t>​</w:t>
            </w:r>
          </w:p>
        </w:tc>
        <w:tc>
          <w:tcPr>
            <w:tcW w:w="1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12,925</w:t>
            </w:r>
          </w:p>
        </w:tc>
        <w:tc>
          <w:tcPr>
            <w:tcW w:w="109" w:type="dxa"/>
            <w:tcBorders/>
            <w:shd w:fill="CCEEFF" w:val="clear"/>
            <w:vAlign w:val="center"/>
          </w:tcPr>
          <w:p>
            <w:pPr>
              <w:pStyle w:val="TableContents"/>
              <w:bidi w:val="0"/>
              <w:spacing w:before="0" w:after="1"/>
              <w:ind w:left="0" w:right="0" w:hanging="0"/>
              <w:jc w:val="left"/>
              <w:rPr/>
            </w:pPr>
            <w:r>
              <w:rPr/>
              <w:t>​</w:t>
            </w:r>
          </w:p>
        </w:tc>
        <w:tc>
          <w:tcPr>
            <w:tcW w:w="18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231,113</w:t>
            </w:r>
          </w:p>
        </w:tc>
        <w:tc>
          <w:tcPr>
            <w:tcW w:w="109" w:type="dxa"/>
            <w:tcBorders/>
            <w:shd w:fill="CCEEFF" w:val="clear"/>
            <w:vAlign w:val="center"/>
          </w:tcPr>
          <w:p>
            <w:pPr>
              <w:pStyle w:val="TableContents"/>
              <w:bidi w:val="0"/>
              <w:spacing w:before="0" w:after="1"/>
              <w:ind w:left="0" w:right="0" w:hanging="0"/>
              <w:jc w:val="righ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400,000</w:t>
            </w:r>
          </w:p>
        </w:tc>
      </w:tr>
      <w:tr>
        <w:trPr/>
        <w:tc>
          <w:tcPr>
            <w:tcW w:w="17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Watersound West Bay Center</w:t>
            </w:r>
          </w:p>
        </w:tc>
        <w:tc>
          <w:tcPr>
            <w:tcW w:w="109" w:type="dxa"/>
            <w:tcBorders/>
            <w:vAlign w:val="center"/>
          </w:tcPr>
          <w:p>
            <w:pPr>
              <w:pStyle w:val="TableContents"/>
              <w:bidi w:val="0"/>
              <w:spacing w:before="0" w:after="1"/>
              <w:ind w:left="0" w:right="0" w:hanging="0"/>
              <w:jc w:val="left"/>
              <w:rPr/>
            </w:pPr>
            <w:r>
              <w:rPr/>
              <w:t>​</w:t>
            </w:r>
          </w:p>
        </w:tc>
        <w:tc>
          <w:tcPr>
            <w:tcW w:w="122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1"/>
              <w:ind w:left="0" w:right="0" w:hanging="0"/>
              <w:jc w:val="left"/>
              <w:rPr/>
            </w:pPr>
            <w:r>
              <w:rPr/>
              <w:t>​</w:t>
            </w:r>
          </w:p>
        </w:tc>
        <w:tc>
          <w:tcPr>
            <w:tcW w:w="14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3,366</w:t>
            </w:r>
          </w:p>
        </w:tc>
        <w:tc>
          <w:tcPr>
            <w:tcW w:w="109" w:type="dxa"/>
            <w:tcBorders/>
            <w:vAlign w:val="center"/>
          </w:tcPr>
          <w:p>
            <w:pPr>
              <w:pStyle w:val="TableContents"/>
              <w:bidi w:val="0"/>
              <w:spacing w:before="0" w:after="1"/>
              <w:ind w:left="0" w:right="0" w:hanging="0"/>
              <w:jc w:val="left"/>
              <w:rPr/>
            </w:pPr>
            <w:r>
              <w:rPr/>
              <w:t>​</w:t>
            </w:r>
          </w:p>
        </w:tc>
        <w:tc>
          <w:tcPr>
            <w:tcW w:w="19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81,628</w:t>
            </w:r>
          </w:p>
        </w:tc>
        <w:tc>
          <w:tcPr>
            <w:tcW w:w="109" w:type="dxa"/>
            <w:tcBorders/>
            <w:vAlign w:val="center"/>
          </w:tcPr>
          <w:p>
            <w:pPr>
              <w:pStyle w:val="TableContents"/>
              <w:bidi w:val="0"/>
              <w:spacing w:before="0" w:after="1"/>
              <w:ind w:left="0" w:right="0" w:hanging="0"/>
              <w:jc w:val="left"/>
              <w:rPr/>
            </w:pPr>
            <w:r>
              <w:rPr/>
              <w:t>​</w:t>
            </w:r>
          </w:p>
        </w:tc>
        <w:tc>
          <w:tcPr>
            <w:tcW w:w="18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415,006</w:t>
            </w:r>
          </w:p>
        </w:tc>
        <w:tc>
          <w:tcPr>
            <w:tcW w:w="109" w:type="dxa"/>
            <w:tcBorders/>
            <w:vAlign w:val="center"/>
          </w:tcPr>
          <w:p>
            <w:pPr>
              <w:pStyle w:val="TableContents"/>
              <w:bidi w:val="0"/>
              <w:spacing w:before="0" w:after="1"/>
              <w:ind w:left="0" w:right="0" w:hanging="0"/>
              <w:jc w:val="right"/>
              <w:rPr/>
            </w:pPr>
            <w:r>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500,000</w:t>
            </w:r>
          </w:p>
        </w:tc>
      </w:tr>
      <w:tr>
        <w:trPr/>
        <w:tc>
          <w:tcPr>
            <w:tcW w:w="17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FSU/TMH Medical Campus</w:t>
            </w:r>
          </w:p>
        </w:tc>
        <w:tc>
          <w:tcPr>
            <w:tcW w:w="109" w:type="dxa"/>
            <w:tcBorders/>
            <w:shd w:fill="CCEEFF" w:val="clear"/>
            <w:vAlign w:val="center"/>
          </w:tcPr>
          <w:p>
            <w:pPr>
              <w:pStyle w:val="TableContents"/>
              <w:bidi w:val="0"/>
              <w:spacing w:before="0" w:after="1"/>
              <w:ind w:left="0" w:right="0" w:hanging="0"/>
              <w:jc w:val="left"/>
              <w:rPr/>
            </w:pPr>
            <w:r>
              <w:rPr/>
              <w:t>​</w:t>
            </w:r>
          </w:p>
        </w:tc>
        <w:tc>
          <w:tcPr>
            <w:tcW w:w="1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1"/>
              <w:ind w:left="0" w:right="0" w:hanging="0"/>
              <w:jc w:val="left"/>
              <w:rPr/>
            </w:pPr>
            <w:r>
              <w:rPr/>
              <w:t>​</w:t>
            </w:r>
          </w:p>
        </w:tc>
        <w:tc>
          <w:tcPr>
            <w:tcW w:w="14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78,670</w:t>
            </w:r>
          </w:p>
        </w:tc>
        <w:tc>
          <w:tcPr>
            <w:tcW w:w="109" w:type="dxa"/>
            <w:tcBorders/>
            <w:shd w:fill="CCEEFF" w:val="clear"/>
            <w:vAlign w:val="center"/>
          </w:tcPr>
          <w:p>
            <w:pPr>
              <w:pStyle w:val="TableContents"/>
              <w:bidi w:val="0"/>
              <w:spacing w:before="0" w:after="1"/>
              <w:ind w:left="0" w:right="0" w:hanging="0"/>
              <w:jc w:val="left"/>
              <w:rPr/>
            </w:pPr>
            <w:r>
              <w:rPr/>
              <w:t>​</w:t>
            </w:r>
          </w:p>
        </w:tc>
        <w:tc>
          <w:tcPr>
            <w:tcW w:w="1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241,330</w:t>
            </w:r>
          </w:p>
        </w:tc>
        <w:tc>
          <w:tcPr>
            <w:tcW w:w="109" w:type="dxa"/>
            <w:tcBorders/>
            <w:shd w:fill="CCEEFF" w:val="clear"/>
            <w:vAlign w:val="center"/>
          </w:tcPr>
          <w:p>
            <w:pPr>
              <w:pStyle w:val="TableContents"/>
              <w:bidi w:val="0"/>
              <w:spacing w:before="0" w:after="1"/>
              <w:ind w:left="0" w:right="0" w:hanging="0"/>
              <w:jc w:val="right"/>
              <w:rPr/>
            </w:pPr>
            <w:r>
              <w:rPr/>
              <w:t>​</w:t>
            </w:r>
          </w:p>
        </w:tc>
        <w:tc>
          <w:tcPr>
            <w:tcW w:w="13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320,000</w:t>
            </w:r>
          </w:p>
        </w:tc>
      </w:tr>
      <w:tr>
        <w:trPr/>
        <w:tc>
          <w:tcPr>
            <w:tcW w:w="17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237,998</w:t>
            </w:r>
          </w:p>
        </w:tc>
        <w:tc>
          <w:tcPr>
            <w:tcW w:w="109" w:type="dxa"/>
            <w:tcBorders/>
            <w:vAlign w:val="center"/>
          </w:tcPr>
          <w:p>
            <w:pPr>
              <w:pStyle w:val="TableContents"/>
              <w:bidi w:val="0"/>
              <w:spacing w:before="0" w:after="1"/>
              <w:ind w:left="0" w:right="0" w:hanging="0"/>
              <w:jc w:val="left"/>
              <w:rPr/>
            </w:pPr>
            <w:r>
              <w:rPr/>
              <w:t>​</w:t>
            </w:r>
          </w:p>
        </w:tc>
        <w:tc>
          <w:tcPr>
            <w:tcW w:w="19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94,553</w:t>
            </w:r>
          </w:p>
        </w:tc>
        <w:tc>
          <w:tcPr>
            <w:tcW w:w="109" w:type="dxa"/>
            <w:tcBorders/>
            <w:vAlign w:val="center"/>
          </w:tcPr>
          <w:p>
            <w:pPr>
              <w:pStyle w:val="TableContents"/>
              <w:bidi w:val="0"/>
              <w:spacing w:before="0" w:after="1"/>
              <w:ind w:left="0" w:right="0" w:hanging="0"/>
              <w:jc w:val="left"/>
              <w:rPr/>
            </w:pPr>
            <w:r>
              <w:rPr/>
              <w:t>​</w:t>
            </w:r>
          </w:p>
        </w:tc>
        <w:tc>
          <w:tcPr>
            <w:tcW w:w="18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887,449</w:t>
            </w:r>
          </w:p>
        </w:tc>
        <w:tc>
          <w:tcPr>
            <w:tcW w:w="109" w:type="dxa"/>
            <w:tcBorders/>
            <w:vAlign w:val="center"/>
          </w:tcPr>
          <w:p>
            <w:pPr>
              <w:pStyle w:val="TableContents"/>
              <w:bidi w:val="0"/>
              <w:spacing w:before="0" w:after="1"/>
              <w:ind w:left="0" w:right="0" w:hanging="0"/>
              <w:jc w:val="right"/>
              <w:rPr/>
            </w:pPr>
            <w:r>
              <w:rPr/>
              <w:t>​</w:t>
            </w:r>
          </w:p>
        </w:tc>
        <w:tc>
          <w:tcPr>
            <w:tcW w:w="13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1,220,000</w:t>
            </w:r>
          </w:p>
        </w:tc>
      </w:tr>
    </w:tbl>
    <w:tbl>
      <w:tblPr>
        <w:tblW w:w="5552" w:type="dxa"/>
        <w:jc w:val="left"/>
        <w:tblInd w:w="0" w:type="dxa"/>
        <w:tblLayout w:type="fixed"/>
        <w:tblCellMar>
          <w:top w:w="0" w:type="dxa"/>
          <w:left w:w="0" w:type="dxa"/>
          <w:bottom w:w="0" w:type="dxa"/>
          <w:right w:w="0" w:type="dxa"/>
        </w:tblCellMar>
      </w:tblPr>
      <w:tblGrid>
        <w:gridCol w:w="211"/>
        <w:gridCol w:w="5341"/>
      </w:tblGrid>
      <w:tr>
        <w:trPr/>
        <w:tc>
          <w:tcPr>
            <w:tcW w:w="211" w:type="dxa"/>
            <w:tcBorders/>
            <w:vAlign w:val="center"/>
          </w:tcPr>
          <w:p>
            <w:pPr>
              <w:pStyle w:val="TableContents"/>
              <w:bidi w:val="0"/>
              <w:spacing w:before="0" w:after="283"/>
              <w:jc w:val="left"/>
              <w:rPr>
                <w:rFonts w:ascii="Symbol" w:hAnsi="Symbol"/>
                <w:sz w:val="18"/>
              </w:rPr>
            </w:pPr>
            <w:r>
              <w:rPr>
                <w:rFonts w:ascii="Symbol" w:hAnsi="Symbol"/>
                <w:sz w:val="18"/>
              </w:rPr>
              <w:t>*</w:t>
            </w:r>
          </w:p>
        </w:tc>
        <w:tc>
          <w:tcPr>
            <w:tcW w:w="5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 square feet are based on current estimates and are subject to change.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occupy 6,752 square feet of the completed space for our real estate brokerage, title insurance agency and insurance agency businesses.</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Consolidated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a comparison of the results of our operations:</w:t>
      </w:r>
    </w:p>
    <w:tbl>
      <w:tblPr>
        <w:tblW w:w="7700" w:type="dxa"/>
        <w:jc w:val="left"/>
        <w:tblInd w:w="0" w:type="dxa"/>
        <w:tblLayout w:type="fixed"/>
        <w:tblCellMar>
          <w:top w:w="0" w:type="dxa"/>
          <w:left w:w="0" w:type="dxa"/>
          <w:bottom w:w="0" w:type="dxa"/>
          <w:right w:w="0" w:type="dxa"/>
        </w:tblCellMar>
      </w:tblPr>
      <w:tblGrid>
        <w:gridCol w:w="4426"/>
        <w:gridCol w:w="146"/>
        <w:gridCol w:w="211"/>
        <w:gridCol w:w="586"/>
        <w:gridCol w:w="346"/>
        <w:gridCol w:w="211"/>
        <w:gridCol w:w="586"/>
        <w:gridCol w:w="346"/>
        <w:gridCol w:w="211"/>
        <w:gridCol w:w="631"/>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810510" cy="175260"/>
                      <wp:effectExtent l="0" t="0" r="0" b="0"/>
                      <wp:wrapNone/>
                      <wp:docPr id="93" name="Frame92"/>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92710" cy="175260"/>
                      <wp:effectExtent l="0" t="0" r="0" b="0"/>
                      <wp:wrapNone/>
                      <wp:docPr id="94" name="Frame9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5"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72110" cy="175260"/>
                      <wp:effectExtent l="0" t="0" r="0" b="0"/>
                      <wp:wrapNone/>
                      <wp:docPr id="96" name="Frame9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98"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72110" cy="175260"/>
                      <wp:effectExtent l="0" t="0" r="0" b="0"/>
                      <wp:wrapNone/>
                      <wp:docPr id="99" name="Frame9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0"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1"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00685" cy="175260"/>
                      <wp:effectExtent l="0" t="0" r="0" b="0"/>
                      <wp:wrapNone/>
                      <wp:docPr id="102" name="Frame10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r>
      <w:tr>
        <w:trPr/>
        <w:tc>
          <w:tcPr>
            <w:tcW w:w="44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1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4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70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128"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389.2</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r>
      <w:tr>
        <w:trPr/>
        <w:tc>
          <w:tcPr>
            <w:tcW w:w="4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revenue </w:t>
            </w:r>
            <w:r>
              <w:rPr>
                <w:rFonts w:ascii="Times New Roman;Times;serif" w:hAnsi="Times New Roman;Times;serif"/>
                <w:sz w:val="15"/>
              </w:rPr>
              <w:t>(a)</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r>
      <w:tr>
        <w:trPr/>
        <w:tc>
          <w:tcPr>
            <w:tcW w:w="44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hospitality revenue </w:t>
            </w:r>
            <w:r>
              <w:rPr>
                <w:rFonts w:ascii="Times New Roman;Times;serif" w:hAnsi="Times New Roman;Times;serif"/>
                <w:sz w:val="15"/>
              </w:rPr>
              <w:t>(a)</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r>
      <w:tr>
        <w:trPr/>
        <w:tc>
          <w:tcPr>
            <w:tcW w:w="4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leasing revenue </w:t>
            </w:r>
            <w:r>
              <w:rPr>
                <w:rFonts w:ascii="Times New Roman;Times;serif" w:hAnsi="Times New Roman;Times;serif"/>
                <w:sz w:val="15"/>
              </w:rPr>
              <w:t>(a)</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44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and other operating expenses </w:t>
            </w:r>
            <w:r>
              <w:rPr>
                <w:rFonts w:ascii="Times New Roman;Times;serif" w:hAnsi="Times New Roman;Times;serif"/>
                <w:sz w:val="15"/>
              </w:rPr>
              <w:t>(a)</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90.7</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from unconsolidated joint ventures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74.0</w:t>
            </w:r>
          </w:p>
        </w:tc>
      </w:tr>
    </w:tbl>
    <w:tbl>
      <w:tblPr>
        <w:tblW w:w="5867" w:type="dxa"/>
        <w:jc w:val="left"/>
        <w:tblInd w:w="0" w:type="dxa"/>
        <w:tblLayout w:type="fixed"/>
        <w:tblCellMar>
          <w:top w:w="0" w:type="dxa"/>
          <w:left w:w="0" w:type="dxa"/>
          <w:bottom w:w="0" w:type="dxa"/>
          <w:right w:w="0" w:type="dxa"/>
        </w:tblCellMar>
      </w:tblPr>
      <w:tblGrid>
        <w:gridCol w:w="316"/>
        <w:gridCol w:w="5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Results of operations in this Form 10-K generally discusses 2025 and 2024 items and comparisons. For a detailed discussion of results of operations and comparisons for 2024 and 2023, see Item 7.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included in our Form 10</w:t>
        <w:noBreakHyphen/>
        <w:t>K for the year ended December 31, 2024 filed with the SEC on February 26,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 Estate Revenue and Gross Profit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a comparison of our total consolidated real estate revenue and gross profit:</w:t>
      </w:r>
    </w:p>
    <w:tbl>
      <w:tblPr>
        <w:tblW w:w="10032" w:type="dxa"/>
        <w:jc w:val="left"/>
        <w:tblInd w:w="0" w:type="dxa"/>
        <w:tblLayout w:type="fixed"/>
        <w:tblCellMar>
          <w:top w:w="0" w:type="dxa"/>
          <w:left w:w="0" w:type="dxa"/>
          <w:bottom w:w="0" w:type="dxa"/>
          <w:right w:w="0" w:type="dxa"/>
        </w:tblCellMar>
      </w:tblPr>
      <w:tblGrid>
        <w:gridCol w:w="3661"/>
        <w:gridCol w:w="146"/>
        <w:gridCol w:w="211"/>
        <w:gridCol w:w="571"/>
        <w:gridCol w:w="346"/>
        <w:gridCol w:w="571"/>
        <w:gridCol w:w="391"/>
        <w:gridCol w:w="211"/>
        <w:gridCol w:w="571"/>
        <w:gridCol w:w="346"/>
        <w:gridCol w:w="571"/>
        <w:gridCol w:w="391"/>
        <w:gridCol w:w="211"/>
        <w:gridCol w:w="571"/>
        <w:gridCol w:w="346"/>
        <w:gridCol w:w="571"/>
        <w:gridCol w:w="34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324735" cy="175260"/>
                      <wp:effectExtent l="0" t="0" r="0" b="0"/>
                      <wp:wrapNone/>
                      <wp:docPr id="103" name="Frame102"/>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2710" cy="175260"/>
                      <wp:effectExtent l="0" t="0" r="0" b="0"/>
                      <wp:wrapNone/>
                      <wp:docPr id="104" name="Frame10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5"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2585" cy="175260"/>
                      <wp:effectExtent l="0" t="0" r="0" b="0"/>
                      <wp:wrapNone/>
                      <wp:docPr id="106" name="Frame1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62585" cy="175260"/>
                      <wp:effectExtent l="0" t="0" r="0" b="0"/>
                      <wp:wrapNone/>
                      <wp:docPr id="108" name="Frame1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48285" cy="175260"/>
                      <wp:effectExtent l="0" t="0" r="0" b="0"/>
                      <wp:wrapNone/>
                      <wp:docPr id="109" name="Frame10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0"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62585" cy="175260"/>
                      <wp:effectExtent l="0" t="0" r="0" b="0"/>
                      <wp:wrapNone/>
                      <wp:docPr id="111" name="Frame1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2"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62585" cy="175260"/>
                      <wp:effectExtent l="0" t="0" r="0" b="0"/>
                      <wp:wrapNone/>
                      <wp:docPr id="113" name="Frame1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48285" cy="175260"/>
                      <wp:effectExtent l="0" t="0" r="0" b="0"/>
                      <wp:wrapNone/>
                      <wp:docPr id="114" name="Frame11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2585" cy="175260"/>
                      <wp:effectExtent l="0" t="0" r="0" b="0"/>
                      <wp:wrapNone/>
                      <wp:docPr id="116" name="Frame1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62585" cy="175260"/>
                      <wp:effectExtent l="0" t="0" r="0" b="0"/>
                      <wp:wrapNone/>
                      <wp:docPr id="118" name="Frame1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36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91"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91"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46" w:type="dxa"/>
            <w:tcBorders/>
            <w:vAlign w:val="center"/>
          </w:tcPr>
          <w:p>
            <w:pPr>
              <w:pStyle w:val="TableContents"/>
              <w:bidi w:val="0"/>
              <w:spacing w:before="0" w:after="1"/>
              <w:ind w:left="0" w:right="0" w:hanging="0"/>
              <w:jc w:val="center"/>
              <w:rPr/>
            </w:pPr>
            <w:r>
              <w:rPr/>
              <w:t>​</w:t>
            </w:r>
          </w:p>
        </w:tc>
      </w:tr>
      <w:tr>
        <w:trPr/>
        <w:tc>
          <w:tcPr>
            <w:tcW w:w="10032"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36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5879" w:type="dxa"/>
            <w:gridSpan w:val="14"/>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46" w:type="dxa"/>
            <w:tcBorders/>
            <w:vAlign w:val="center"/>
          </w:tcPr>
          <w:p>
            <w:pPr>
              <w:pStyle w:val="TableContents"/>
              <w:bidi w:val="0"/>
              <w:spacing w:before="0" w:after="1"/>
              <w:ind w:left="0" w:right="0" w:hanging="0"/>
              <w:jc w:val="center"/>
              <w:rPr/>
            </w:pPr>
            <w:r>
              <w:rPr/>
              <w:t> </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 real estate revenue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forestry real estate revenue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Real estate revenue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234.2</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143.2</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186.0</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66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 real estate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forestry real estate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118.9</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72.9</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6992" w:type="dxa"/>
        <w:jc w:val="left"/>
        <w:tblInd w:w="0" w:type="dxa"/>
        <w:tblLayout w:type="fixed"/>
        <w:tblCellMar>
          <w:top w:w="0" w:type="dxa"/>
          <w:left w:w="0" w:type="dxa"/>
          <w:bottom w:w="0" w:type="dxa"/>
          <w:right w:w="0" w:type="dxa"/>
        </w:tblCellMar>
      </w:tblPr>
      <w:tblGrid>
        <w:gridCol w:w="316"/>
        <w:gridCol w:w="667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6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Calculated percentage of total real estate revenue and the respective gross margin percentage.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Residential Real Estate Revenue and Gross Profit. </w:t>
      </w:r>
      <w:r>
        <w:rPr>
          <w:rFonts w:ascii="Times New Roman;Times;serif" w:hAnsi="Times New Roman;Times;serif"/>
          <w:sz w:val="20"/>
        </w:rPr>
        <w:t>During 2025, residential real estate revenue increased $48.2 million, or 41.3%, to $165.0 million, as compared to $116.8 million in 2024. During 2025, residential real estate gross profit increased $26.7 million, to $81.5 million (or gross margin of 49.4%), as compared to $54.8 million, (or gross margin of 46.9%) in 2024. During 2025, we sold 911 homesites, 25 homes and had an unimproved residential land sale of $0.9 million, compared to 912 homesites and no homes or unimproved residential land sales during 2024. During 2025 and 2024 the average base revenue, excluding homesite residuals, per homesite sold was approximately $137,000 and $108,000, respectively, due to the mix of sales from different communities. Homesite sales during 2024 also include the sale of 82 entitled but undeveloped homesites sold within the SouthWood community, compared to none in the current period. The revenue, gross profit and margin for each period was impacted by the difference in pricing among the communities, the difference in the cost of the development and the volume of sales within each of the communities. The number of homesites sold varied in each period due to the timing of homebuilder contractual closing obligations in our residential communities.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Commercial and Forestry Real Estate Revenue and Gross Profit. </w:t>
      </w:r>
      <w:r>
        <w:rPr>
          <w:rFonts w:ascii="Times New Roman;Times;serif" w:hAnsi="Times New Roman;Times;serif"/>
          <w:sz w:val="20"/>
        </w:rPr>
        <w:t xml:space="preserve">During 2025, we had sixteen commercial, hospitality and forestry real estate sales totaling approximately 351 acres for $57.1 million, resulting in a gross profit of $32.3 million (or gross margin of 56.6%). The commercial, hospitality and forestry real estate sales during 2025, included the sale of the Watercrest JV’s senior living community property for $41.0 million, resulting in a gross margin of approximately 47.2% and a commercial property used in hospitality operations for $1.4 million resulting in a gross margin of approximately 42.9%. See Note 4. </w:t>
      </w:r>
      <w:r>
        <w:rPr>
          <w:rFonts w:ascii="Times New Roman;Times;serif" w:hAnsi="Times New Roman;Times;serif"/>
          <w:i/>
          <w:sz w:val="20"/>
        </w:rPr>
        <w:t xml:space="preserve">Joint Ventures </w:t>
      </w:r>
      <w:r>
        <w:rPr>
          <w:rFonts w:ascii="Times New Roman;Times;serif" w:hAnsi="Times New Roman;Times;serif"/>
          <w:sz w:val="20"/>
        </w:rPr>
        <w:t>included in Item 15 of this Form 10-K for additional information. During 2024, we had eleven commercial and forestry real estate sales totaling approximately 634 acres for $18.0 million, resulting in a gross profit of $13.1 million (or gross margin of 72.8%).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commercial and forestry real estate can vary significantly from period-to-period depending on the proximity to developed areas and mix of real estate sold in each period, with varying compositions of retail, office, industrial, timber and other commercial uses. Our gross margin can vary significantly from period-to-period depending on the characteristics of the property sold. Sales of forestry land typically have a lower cost basis than residential and commercial real estate sales. In addition, our cost basis in residential and commercial real estate can vary depending on the amount of development or other costs incurred on the property.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Timber Revenue and Gross Profit</w:t>
      </w:r>
      <w:r>
        <w:rPr>
          <w:rFonts w:ascii="Times New Roman;Times;serif" w:hAnsi="Times New Roman;Times;serif"/>
          <w:sz w:val="20"/>
        </w:rPr>
        <w:t>. Timber revenue was $4.2 million during each of 2025 and 2024. There were 246,000 tons of wood products sold at an average price per ton of $16.02 during 2025, as compared to 256,000 tons of wood products sold at an average price per ton of $14.56, during 2024. Timber gross margin was 81.0% during both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Revenue</w:t>
      </w:r>
      <w:r>
        <w:rPr>
          <w:rFonts w:ascii="Times New Roman;Times;serif" w:hAnsi="Times New Roman;Times;serif"/>
          <w:sz w:val="20"/>
        </w:rPr>
        <w:t>. Other revenue primarily consists of our real estate brokerage, title insurance agency and insurance agency business revenue and mitigation bank credit sales. Other revenue increased $3.7 million during 2025, compared to 2024, primarily due to our real estate brokerage business, which began operations in the second quarter of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Hospitality Revenue and Gross Profit</w:t>
      </w:r>
    </w:p>
    <w:tbl>
      <w:tblPr>
        <w:tblW w:w="5110" w:type="dxa"/>
        <w:jc w:val="left"/>
        <w:tblInd w:w="0" w:type="dxa"/>
        <w:tblLayout w:type="fixed"/>
        <w:tblCellMar>
          <w:top w:w="0" w:type="dxa"/>
          <w:left w:w="0" w:type="dxa"/>
          <w:bottom w:w="0" w:type="dxa"/>
          <w:right w:w="0" w:type="dxa"/>
        </w:tblCellMar>
      </w:tblPr>
      <w:tblGrid>
        <w:gridCol w:w="1726"/>
        <w:gridCol w:w="211"/>
        <w:gridCol w:w="571"/>
        <w:gridCol w:w="361"/>
        <w:gridCol w:w="211"/>
        <w:gridCol w:w="571"/>
        <w:gridCol w:w="361"/>
        <w:gridCol w:w="211"/>
        <w:gridCol w:w="571"/>
        <w:gridCol w:w="316"/>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096010" cy="175260"/>
                      <wp:effectExtent l="0" t="0" r="0" b="0"/>
                      <wp:wrapNone/>
                      <wp:docPr id="120" name="Frame119"/>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1"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62585" cy="175260"/>
                      <wp:effectExtent l="0" t="0" r="0" b="0"/>
                      <wp:wrapNone/>
                      <wp:docPr id="122" name="Frame1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29235" cy="175260"/>
                      <wp:effectExtent l="0" t="0" r="0" b="0"/>
                      <wp:wrapNone/>
                      <wp:docPr id="123" name="Frame12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4"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62585" cy="175260"/>
                      <wp:effectExtent l="0" t="0" r="0" b="0"/>
                      <wp:wrapNone/>
                      <wp:docPr id="125" name="Frame1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29235" cy="175260"/>
                      <wp:effectExtent l="0" t="0" r="0" b="0"/>
                      <wp:wrapNone/>
                      <wp:docPr id="126" name="Frame12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62585" cy="175260"/>
                      <wp:effectExtent l="0" t="0" r="0" b="0"/>
                      <wp:wrapNone/>
                      <wp:docPr id="128" name="Frame1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0660" cy="175260"/>
                      <wp:effectExtent l="0" t="0" r="0" b="0"/>
                      <wp:wrapNone/>
                      <wp:docPr id="129" name="Frame1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306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16" w:type="dxa"/>
            <w:tcBorders/>
            <w:vAlign w:val="center"/>
          </w:tcPr>
          <w:p>
            <w:pPr>
              <w:pStyle w:val="TableContents"/>
              <w:bidi w:val="0"/>
              <w:spacing w:before="0" w:after="1"/>
              <w:ind w:left="0" w:right="0" w:hanging="0"/>
              <w:jc w:val="center"/>
              <w:rPr/>
            </w:pPr>
            <w:r>
              <w:rPr/>
              <w:t> </w:t>
            </w:r>
          </w:p>
        </w:tc>
      </w:tr>
      <w:tr>
        <w:trPr/>
        <w:tc>
          <w:tcPr>
            <w:tcW w:w="172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w:t>
            </w:r>
          </w:p>
        </w:tc>
      </w:tr>
      <w:tr>
        <w:trPr/>
        <w:tc>
          <w:tcPr>
            <w:tcW w:w="511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726" w:type="dxa"/>
            <w:tcBorders/>
            <w:vAlign w:val="center"/>
          </w:tcPr>
          <w:p>
            <w:pPr>
              <w:pStyle w:val="TableContents"/>
              <w:bidi w:val="0"/>
              <w:spacing w:before="0" w:after="1"/>
              <w:ind w:left="0" w:right="0" w:hanging="0"/>
              <w:jc w:val="left"/>
              <w:rPr/>
            </w:pPr>
            <w:r>
              <w:rPr/>
              <w:t>​</w:t>
            </w:r>
          </w:p>
        </w:tc>
        <w:tc>
          <w:tcPr>
            <w:tcW w:w="3384" w:type="dxa"/>
            <w:gridSpan w:val="9"/>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16"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revenue increased $16.2 million, or 8.1% to $215.4 million during 2025, as compared to $199.2 million in 2024. The increase in hospitality revenue was primarily related to the increase in membership dues and membership ancillary spend, as well as The Third golf course, which opened in November 2024 and the renovated Shark’s Tooth clubhouse, which reopened in February 2025. The increase in revenue was also related to an increase in hotel operations. As of December 31, 2025, Watersound Club had 3,594 members, compared with 3,476 members as of December 31, 2024, a net increase of 118 members. As of both December 31, 2025 and 2024, we had 1,053 operational hotel rooms (excluding 245 hotel rooms related to unconsolidated JVs). Hospitality gross margin was 31.1% during 2025, compared to 31.5% during 2024. The decrease in gross margin was primarily due to ongoing operating costs for The Third golf course and reopening and ongoing operating costs of the Shark’s Tooth clubhouse during the current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Leasing Revenue and Gross Profit</w:t>
      </w:r>
    </w:p>
    <w:tbl>
      <w:tblPr>
        <w:tblW w:w="4525" w:type="dxa"/>
        <w:jc w:val="left"/>
        <w:tblInd w:w="0" w:type="dxa"/>
        <w:tblLayout w:type="fixed"/>
        <w:tblCellMar>
          <w:top w:w="0" w:type="dxa"/>
          <w:left w:w="0" w:type="dxa"/>
          <w:bottom w:w="0" w:type="dxa"/>
          <w:right w:w="0" w:type="dxa"/>
        </w:tblCellMar>
      </w:tblPr>
      <w:tblGrid>
        <w:gridCol w:w="1456"/>
        <w:gridCol w:w="211"/>
        <w:gridCol w:w="466"/>
        <w:gridCol w:w="361"/>
        <w:gridCol w:w="211"/>
        <w:gridCol w:w="466"/>
        <w:gridCol w:w="361"/>
        <w:gridCol w:w="211"/>
        <w:gridCol w:w="466"/>
        <w:gridCol w:w="31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924560" cy="175260"/>
                      <wp:effectExtent l="0" t="0" r="0" b="0"/>
                      <wp:wrapNone/>
                      <wp:docPr id="130" name="Frame12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1"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95910" cy="175260"/>
                      <wp:effectExtent l="0" t="0" r="0" b="0"/>
                      <wp:wrapNone/>
                      <wp:docPr id="132" name="Frame13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9235" cy="175260"/>
                      <wp:effectExtent l="0" t="0" r="0" b="0"/>
                      <wp:wrapNone/>
                      <wp:docPr id="133" name="Frame1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4"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95910" cy="175260"/>
                      <wp:effectExtent l="0" t="0" r="0" b="0"/>
                      <wp:wrapNone/>
                      <wp:docPr id="135" name="Frame13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29235" cy="175260"/>
                      <wp:effectExtent l="0" t="0" r="0" b="0"/>
                      <wp:wrapNone/>
                      <wp:docPr id="136" name="Frame13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37"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95910" cy="175260"/>
                      <wp:effectExtent l="0" t="0" r="0" b="0"/>
                      <wp:wrapNone/>
                      <wp:docPr id="138" name="Frame13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0660" cy="175260"/>
                      <wp:effectExtent l="0" t="0" r="0" b="0"/>
                      <wp:wrapNone/>
                      <wp:docPr id="139" name="Frame13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27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16" w:type="dxa"/>
            <w:tcBorders/>
            <w:vAlign w:val="center"/>
          </w:tcPr>
          <w:p>
            <w:pPr>
              <w:pStyle w:val="TableContents"/>
              <w:bidi w:val="0"/>
              <w:spacing w:before="0" w:after="0"/>
              <w:ind w:left="0" w:right="0" w:hanging="0"/>
              <w:jc w:val="center"/>
              <w:rPr/>
            </w:pPr>
            <w:r>
              <w:rPr/>
              <w:t> </w:t>
            </w:r>
          </w:p>
        </w:tc>
      </w:tr>
      <w:tr>
        <w:trPr/>
        <w:tc>
          <w:tcPr>
            <w:tcW w:w="1456"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w:t>
            </w:r>
          </w:p>
        </w:tc>
      </w:tr>
      <w:tr>
        <w:trPr/>
        <w:tc>
          <w:tcPr>
            <w:tcW w:w="452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456" w:type="dxa"/>
            <w:tcBorders/>
            <w:vAlign w:val="center"/>
          </w:tcPr>
          <w:p>
            <w:pPr>
              <w:pStyle w:val="TableContents"/>
              <w:bidi w:val="0"/>
              <w:spacing w:before="0" w:after="0"/>
              <w:ind w:left="0" w:right="0" w:hanging="0"/>
              <w:jc w:val="left"/>
              <w:rPr/>
            </w:pPr>
            <w:r>
              <w:rPr/>
              <w:t>​</w:t>
            </w:r>
          </w:p>
        </w:tc>
        <w:tc>
          <w:tcPr>
            <w:tcW w:w="3069" w:type="dxa"/>
            <w:gridSpan w:val="9"/>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16" w:type="dxa"/>
            <w:tcBorders/>
            <w:vAlign w:val="center"/>
          </w:tcPr>
          <w:p>
            <w:pPr>
              <w:pStyle w:val="TableContents"/>
              <w:bidi w:val="0"/>
              <w:spacing w:before="0" w:after="0"/>
              <w:ind w:left="0" w:right="0" w:hanging="0"/>
              <w:jc w:val="left"/>
              <w:rPr/>
            </w:pPr>
            <w:r>
              <w:rPr/>
              <w:t>​</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18"/>
        </w:rPr>
      </w:pPr>
      <w:r>
        <w:rPr>
          <w:rFonts w:ascii="Times New Roman;Times;serif" w:hAnsi="Times New Roman;Times;serif"/>
          <w:sz w:val="20"/>
        </w:rPr>
        <w:t>Leasing revenue increased $3.3 million, or 5.5%, to $63.6 million during 2025, as compared to $60.3 million in 2024. The increase was primarily due to additional commercial property, multi-family and marina leases, partially offset by a decrease related to the Watercrest JV’s senior living community property, which was sold and ceased operating activities, and the sale of 24 townhomes in the Watersound Villas on the Fairway community in the current period. Leasing gross margin increased to 55.3% during 2025, as compared to 52.2% during 2024. The increase in leasing gross margin was primarily due to additional leases in the current period and the sale of the Watercrest JV’s senior living community property in September 2025, which operated with lower margins</w:t>
      </w:r>
      <w:r>
        <w:rPr>
          <w:rFonts w:ascii="TimesNewRomanPSMT" w:hAnsi="TimesNewRomanPSMT"/>
          <w:sz w:val="18"/>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and Other Operating Expenses</w:t>
      </w:r>
    </w:p>
    <w:tbl>
      <w:tblPr>
        <w:tblW w:w="7160" w:type="dxa"/>
        <w:jc w:val="left"/>
        <w:tblInd w:w="0" w:type="dxa"/>
        <w:tblLayout w:type="fixed"/>
        <w:tblCellMar>
          <w:top w:w="0" w:type="dxa"/>
          <w:left w:w="0" w:type="dxa"/>
          <w:bottom w:w="0" w:type="dxa"/>
          <w:right w:w="0" w:type="dxa"/>
        </w:tblCellMar>
      </w:tblPr>
      <w:tblGrid>
        <w:gridCol w:w="4186"/>
        <w:gridCol w:w="146"/>
        <w:gridCol w:w="211"/>
        <w:gridCol w:w="466"/>
        <w:gridCol w:w="346"/>
        <w:gridCol w:w="211"/>
        <w:gridCol w:w="466"/>
        <w:gridCol w:w="346"/>
        <w:gridCol w:w="211"/>
        <w:gridCol w:w="57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658110" cy="175260"/>
                      <wp:effectExtent l="0" t="0" r="0" b="0"/>
                      <wp:wrapNone/>
                      <wp:docPr id="140" name="Frame139"/>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2710" cy="175260"/>
                      <wp:effectExtent l="0" t="0" r="0" b="0"/>
                      <wp:wrapNone/>
                      <wp:docPr id="141" name="Frame14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2"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95910" cy="175260"/>
                      <wp:effectExtent l="0" t="0" r="0" b="0"/>
                      <wp:wrapNone/>
                      <wp:docPr id="143" name="Frame14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4"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5"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95910" cy="175260"/>
                      <wp:effectExtent l="0" t="0" r="0" b="0"/>
                      <wp:wrapNone/>
                      <wp:docPr id="146" name="Frame14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48"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62585" cy="175260"/>
                      <wp:effectExtent l="0" t="0" r="0" b="0"/>
                      <wp:wrapNone/>
                      <wp:docPr id="149" name="Frame1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282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1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6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828" w:type="dxa"/>
            <w:gridSpan w:val="8"/>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taxes and insurance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owner association costs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 repairs and maintenance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miscellaneous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Total corporate and other operating expenses</w:t>
            </w:r>
            <w:r>
              <w:rPr>
                <w:rFonts w:ascii="Times New Roman;Times;serif" w:hAnsi="Times New Roman;Times;serif"/>
                <w:sz w:val="20"/>
              </w:rPr>
              <w:t xml:space="preserve"> </w:t>
            </w:r>
            <w:r>
              <w:rPr>
                <w:rFonts w:ascii="Times New Roman;Times;serif" w:hAnsi="Times New Roman;Times;serif"/>
                <w:b/>
                <w:sz w:val="15"/>
              </w:rPr>
              <w:t>(a)</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23.8</w:t>
            </w:r>
          </w:p>
        </w:tc>
      </w:tr>
    </w:tbl>
    <w:tbl>
      <w:tblPr>
        <w:tblW w:w="4082" w:type="dxa"/>
        <w:jc w:val="left"/>
        <w:tblInd w:w="0" w:type="dxa"/>
        <w:tblLayout w:type="fixed"/>
        <w:tblCellMar>
          <w:top w:w="0" w:type="dxa"/>
          <w:left w:w="0" w:type="dxa"/>
          <w:bottom w:w="0" w:type="dxa"/>
          <w:right w:w="0" w:type="dxa"/>
        </w:tblCellMar>
      </w:tblPr>
      <w:tblGrid>
        <w:gridCol w:w="316"/>
        <w:gridCol w:w="376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3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Corporate and other operating expenses increased $2.1 million, or 8.3%, to $27.3 million during 2025, as compared to $25.2 million in 2024. The increase was due to increased operating costs, primarily related to employee costs, property taxes, licenses, professional fees, marketing and owner association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Depletion and Amortization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Depreciation, depletion and amortization expense increased $1.1 million during 2025, as compared to 2024, primarily due to new hospitality and commercial assets placed in service, partially offset by assets sold in the current period. Depreciation is a non-cash, generally accepted accounting principles (“GAAP”) expense, which is amortized over an asset’s useful life, while maintenance and repair expenses are period costs and expensed as incurred. See Note 2. </w:t>
      </w:r>
      <w:r>
        <w:rPr>
          <w:rFonts w:ascii="Times New Roman;Times;serif" w:hAnsi="Times New Roman;Times;serif"/>
          <w:i/>
          <w:sz w:val="20"/>
        </w:rPr>
        <w:t>Significant Accounting Policies</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income, net primarily includes (i) interest, dividends and accretion income accrued or received on our cash, cash equivalents and other investments, (ii) interest income earned on the time deposit held by a special purpose entity and (iii) interest earned on notes receivable, the Company’s unimproved land contribution to the unconsolidated Latitude Margaritaville Watersound JV as home sales are transacted in the community and other receivables as detailed in the table below:</w:t>
      </w:r>
    </w:p>
    <w:tbl>
      <w:tblPr>
        <w:tblW w:w="7940" w:type="dxa"/>
        <w:jc w:val="left"/>
        <w:tblInd w:w="0" w:type="dxa"/>
        <w:tblLayout w:type="fixed"/>
        <w:tblCellMar>
          <w:top w:w="0" w:type="dxa"/>
          <w:left w:w="0" w:type="dxa"/>
          <w:bottom w:w="0" w:type="dxa"/>
          <w:right w:w="0" w:type="dxa"/>
        </w:tblCellMar>
      </w:tblPr>
      <w:tblGrid>
        <w:gridCol w:w="4966"/>
        <w:gridCol w:w="146"/>
        <w:gridCol w:w="211"/>
        <w:gridCol w:w="466"/>
        <w:gridCol w:w="346"/>
        <w:gridCol w:w="211"/>
        <w:gridCol w:w="466"/>
        <w:gridCol w:w="346"/>
        <w:gridCol w:w="211"/>
        <w:gridCol w:w="571"/>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153410" cy="175260"/>
                      <wp:effectExtent l="0" t="0" r="0" b="0"/>
                      <wp:wrapNone/>
                      <wp:docPr id="150" name="Frame149"/>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2710" cy="175260"/>
                      <wp:effectExtent l="0" t="0" r="0" b="0"/>
                      <wp:wrapNone/>
                      <wp:docPr id="151" name="Frame15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2"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95910" cy="175260"/>
                      <wp:effectExtent l="0" t="0" r="0" b="0"/>
                      <wp:wrapNone/>
                      <wp:docPr id="153" name="Frame15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5"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95910" cy="175260"/>
                      <wp:effectExtent l="0" t="0" r="0" b="0"/>
                      <wp:wrapNone/>
                      <wp:docPr id="156" name="Frame15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58"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62585" cy="175260"/>
                      <wp:effectExtent l="0" t="0" r="0" b="0"/>
                      <wp:wrapNone/>
                      <wp:docPr id="159" name="Frame1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8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9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9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28"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dividend and accretion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investments in special purpose entities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notes receivable and other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income, net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Investment income, net decreased $0.3 million during 2025, as compared to 2024, primarily due to less interest earned on the unimproved land contribution to our unconsolidated Latitude Margaritaville Watersound JV related to the decreased volume of home sales transacted in the community during the current period. The decrease was also due to lower yields on our cash, cash equivalents and other investments, partially offset by higher balances of cash, cash equivalents and other investments in the current period.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expense primarily includes interest incurred on project financing, the Senior Notes issued by Northwest Florida Timber Finance, LLC (“Senior Notes”), Community Development District (“CDD”) debt and finance leases, as well as amortization of debt discount and premium and debt issuance costs as detailed in the table below:</w:t>
      </w:r>
    </w:p>
    <w:tbl>
      <w:tblPr>
        <w:tblW w:w="10205" w:type="dxa"/>
        <w:jc w:val="left"/>
        <w:tblInd w:w="0" w:type="dxa"/>
        <w:tblLayout w:type="fixed"/>
        <w:tblCellMar>
          <w:top w:w="0" w:type="dxa"/>
          <w:left w:w="0" w:type="dxa"/>
          <w:bottom w:w="0" w:type="dxa"/>
          <w:right w:w="0" w:type="dxa"/>
        </w:tblCellMar>
      </w:tblPr>
      <w:tblGrid>
        <w:gridCol w:w="7377"/>
        <w:gridCol w:w="211"/>
        <w:gridCol w:w="466"/>
        <w:gridCol w:w="346"/>
        <w:gridCol w:w="211"/>
        <w:gridCol w:w="466"/>
        <w:gridCol w:w="346"/>
        <w:gridCol w:w="211"/>
        <w:gridCol w:w="571"/>
      </w:tblGrid>
      <w:tr>
        <w:trPr/>
        <w:tc>
          <w:tcPr>
            <w:tcW w:w="7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684395" cy="175260"/>
                      <wp:effectExtent l="0" t="0" r="0" b="0"/>
                      <wp:wrapNone/>
                      <wp:docPr id="160" name="Frame159"/>
                      <a:graphic xmlns:a="http://schemas.openxmlformats.org/drawingml/2006/main">
                        <a:graphicData uri="http://schemas.microsoft.com/office/word/2010/wordprocessingShape">
                          <wps:wsp>
                            <wps:cNvSpPr txBox="1"/>
                            <wps:spPr>
                              <a:xfrm>
                                <a:off x="0" y="0"/>
                                <a:ext cx="468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1"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95910" cy="175260"/>
                      <wp:effectExtent l="0" t="0" r="0" b="0"/>
                      <wp:wrapNone/>
                      <wp:docPr id="162" name="Frame16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95910" cy="175260"/>
                      <wp:effectExtent l="0" t="0" r="0" b="0"/>
                      <wp:wrapNone/>
                      <wp:docPr id="165" name="Frame16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7"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62585" cy="175260"/>
                      <wp:effectExtent l="0" t="0" r="0" b="0"/>
                      <wp:wrapNone/>
                      <wp:docPr id="168" name="Frame1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77" w:type="dxa"/>
            <w:tcBorders/>
            <w:vAlign w:val="center"/>
          </w:tcPr>
          <w:p>
            <w:pPr>
              <w:pStyle w:val="TableContents"/>
              <w:bidi w:val="0"/>
              <w:spacing w:before="0" w:after="0"/>
              <w:ind w:left="0" w:right="0" w:hanging="0"/>
              <w:jc w:val="left"/>
              <w:rPr/>
            </w:pPr>
            <w:r>
              <w:rPr/>
              <w:t>​</w:t>
            </w:r>
          </w:p>
        </w:tc>
        <w:tc>
          <w:tcPr>
            <w:tcW w:w="28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7377"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7377" w:type="dxa"/>
            <w:tcBorders/>
            <w:vAlign w:val="center"/>
          </w:tcPr>
          <w:p>
            <w:pPr>
              <w:pStyle w:val="TableContents"/>
              <w:bidi w:val="0"/>
              <w:spacing w:before="0" w:after="0"/>
              <w:ind w:left="0" w:right="0" w:hanging="0"/>
              <w:jc w:val="left"/>
              <w:rPr/>
            </w:pPr>
            <w:r>
              <w:rPr/>
              <w:t>​</w:t>
            </w:r>
          </w:p>
        </w:tc>
        <w:tc>
          <w:tcPr>
            <w:tcW w:w="2828"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7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incurred for project financing and other interest expense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7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and amortization of discount and issuance costs for Senior Notes issued by special purpose entity</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737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decreased $3.1 million, or 9.2%, to $30.5 million in 2025, as compared to $33.6 million in 2024. The decrease in interest expense is due to repayment of project financing and a decrease in interest rates from the prior period. See Note 9. </w:t>
      </w:r>
      <w:r>
        <w:rPr>
          <w:rFonts w:ascii="Times New Roman;Times;serif" w:hAnsi="Times New Roman;Times;serif"/>
          <w:i/>
          <w:sz w:val="20"/>
        </w:rPr>
        <w:t>Debt, Net</w:t>
      </w:r>
      <w:r>
        <w:rPr>
          <w:rFonts w:ascii="Times New Roman;Times;serif" w:hAnsi="Times New Roman;Times;serif"/>
          <w:sz w:val="20"/>
        </w:rPr>
        <w:t xml:space="preserve"> and Note 17. </w:t>
      </w:r>
      <w:r>
        <w:rPr>
          <w:rFonts w:ascii="Times New Roman;Times;serif" w:hAnsi="Times New Roman;Times;serif"/>
          <w:i/>
          <w:sz w:val="20"/>
        </w:rPr>
        <w:t>Other Income, Net</w:t>
      </w:r>
      <w:r>
        <w:rPr>
          <w:rFonts w:ascii="Times New Roman;Times;serif" w:hAnsi="Times New Roman;Times;serif"/>
          <w:sz w:val="20"/>
        </w:rPr>
        <w:t xml:space="preserve"> included in Item 15 of this Form 10-K for additional information regarding project financing.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 Income from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income (loss) from unconsolidated joint ventures includes our proportionate share of earnings or losses of unconsolidated JVs accounted for using the equity method as detailed in the table below.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w:t>
      </w:r>
    </w:p>
    <w:tbl>
      <w:tblPr>
        <w:tblW w:w="7395" w:type="dxa"/>
        <w:jc w:val="left"/>
        <w:tblInd w:w="0" w:type="dxa"/>
        <w:tblLayout w:type="fixed"/>
        <w:tblCellMar>
          <w:top w:w="0" w:type="dxa"/>
          <w:left w:w="0" w:type="dxa"/>
          <w:bottom w:w="0" w:type="dxa"/>
          <w:right w:w="0" w:type="dxa"/>
        </w:tblCellMar>
      </w:tblPr>
      <w:tblGrid>
        <w:gridCol w:w="5011"/>
        <w:gridCol w:w="211"/>
        <w:gridCol w:w="481"/>
        <w:gridCol w:w="109"/>
        <w:gridCol w:w="211"/>
        <w:gridCol w:w="481"/>
        <w:gridCol w:w="109"/>
        <w:gridCol w:w="211"/>
        <w:gridCol w:w="571"/>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181985" cy="175260"/>
                      <wp:effectExtent l="0" t="0" r="0" b="0"/>
                      <wp:wrapNone/>
                      <wp:docPr id="169" name="Frame168"/>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0"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05435" cy="175260"/>
                      <wp:effectExtent l="0" t="0" r="0" b="0"/>
                      <wp:wrapNone/>
                      <wp:docPr id="171" name="Frame17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2"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05435" cy="175260"/>
                      <wp:effectExtent l="0" t="0" r="0" b="0"/>
                      <wp:wrapNone/>
                      <wp:docPr id="174" name="Frame17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5"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6"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62585" cy="175260"/>
                      <wp:effectExtent l="0" t="0" r="0" b="0"/>
                      <wp:wrapNone/>
                      <wp:docPr id="177" name="Frame1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1"/>
              <w:ind w:left="0" w:right="0" w:hanging="0"/>
              <w:jc w:val="left"/>
              <w:rPr/>
            </w:pPr>
            <w:r>
              <w:rPr/>
              <w:t>​</w:t>
            </w:r>
          </w:p>
        </w:tc>
        <w:tc>
          <w:tcPr>
            <w:tcW w:w="238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011" w:type="dxa"/>
            <w:tcBorders/>
            <w:vAlign w:val="center"/>
          </w:tcPr>
          <w:p>
            <w:pPr>
              <w:pStyle w:val="TableContents"/>
              <w:bidi w:val="0"/>
              <w:spacing w:before="0" w:after="1"/>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9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5011" w:type="dxa"/>
            <w:tcBorders/>
            <w:vAlign w:val="center"/>
          </w:tcPr>
          <w:p>
            <w:pPr>
              <w:pStyle w:val="TableContents"/>
              <w:bidi w:val="0"/>
              <w:spacing w:before="0" w:after="1"/>
              <w:ind w:left="0" w:right="0" w:hanging="0"/>
              <w:jc w:val="center"/>
              <w:rPr/>
            </w:pPr>
            <w:r>
              <w:rPr/>
              <w:t>​</w:t>
            </w:r>
          </w:p>
        </w:tc>
        <w:tc>
          <w:tcPr>
            <w:tcW w:w="2384" w:type="dxa"/>
            <w:gridSpan w:val="8"/>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50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(a)</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50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Watersound Fountains Independent Living JV </w:t>
            </w:r>
            <w:r>
              <w:rPr>
                <w:rFonts w:ascii="Times New Roman;Times;serif" w:hAnsi="Times New Roman;Times;serif"/>
                <w:sz w:val="15"/>
              </w:rPr>
              <w:t>(b)</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Pier Park TPS JV</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50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Pier Park RI JV </w:t>
            </w:r>
            <w:r>
              <w:rPr>
                <w:rFonts w:ascii="Times New Roman;Times;serif" w:hAnsi="Times New Roman;Times;serif"/>
                <w:sz w:val="15"/>
              </w:rPr>
              <w:t>(c)</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r>
      <w:tr>
        <w:trPr/>
        <w:tc>
          <w:tcPr>
            <w:tcW w:w="50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Busy Bee JV </w:t>
            </w:r>
            <w:r>
              <w:rPr>
                <w:rFonts w:ascii="Times New Roman;Times;serif" w:hAnsi="Times New Roman;Times;serif"/>
                <w:sz w:val="15"/>
              </w:rPr>
              <w:t>(d)</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r>
      <w:tr>
        <w:trPr/>
        <w:tc>
          <w:tcPr>
            <w:tcW w:w="50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Electric Cart Watersound JV </w:t>
            </w:r>
            <w:r>
              <w:rPr>
                <w:rFonts w:ascii="Times New Roman;Times;serif" w:hAnsi="Times New Roman;Times;serif"/>
                <w:sz w:val="15"/>
              </w:rPr>
              <w:t>(e)</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Watersound Management JV</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 in income from unconsolidated joint ventures</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22.7</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3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During 2025, 2024 and 2023, the Latitude Margaritaville Watersound JV completed 527, 659 and 641 home sale transactions, respectively. The year ended December 31, 2025, includes intra-entity profit elimination of $0.5 million related to the sale of additional land to the JV, a pro-rata portion of which will be recognized as each home on the land is sold by the JV.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tbl>
      <w:tblPr>
        <w:tblW w:w="5507" w:type="dxa"/>
        <w:jc w:val="left"/>
        <w:tblInd w:w="0" w:type="dxa"/>
        <w:tblLayout w:type="fixed"/>
        <w:tblCellMar>
          <w:top w:w="0" w:type="dxa"/>
          <w:left w:w="0" w:type="dxa"/>
          <w:bottom w:w="0" w:type="dxa"/>
          <w:right w:w="0" w:type="dxa"/>
        </w:tblCellMar>
      </w:tblPr>
      <w:tblGrid>
        <w:gridCol w:w="331"/>
        <w:gridCol w:w="517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5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community opened in March 2024 and is currently under lease-up.</w:t>
            </w:r>
          </w:p>
        </w:tc>
      </w:tr>
    </w:tbl>
    <w:tbl>
      <w:tblPr>
        <w:tblW w:w="9797" w:type="dxa"/>
        <w:jc w:val="left"/>
        <w:tblInd w:w="0" w:type="dxa"/>
        <w:tblLayout w:type="fixed"/>
        <w:tblCellMar>
          <w:top w:w="0" w:type="dxa"/>
          <w:left w:w="0" w:type="dxa"/>
          <w:bottom w:w="0" w:type="dxa"/>
          <w:right w:w="0" w:type="dxa"/>
        </w:tblCellMar>
      </w:tblPr>
      <w:tblGrid>
        <w:gridCol w:w="316"/>
        <w:gridCol w:w="948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April 2024 and activity in the current period includes start-up, depreciation and interest expenses for the project.</w:t>
            </w:r>
          </w:p>
        </w:tc>
      </w:tr>
    </w:tbl>
    <w:tbl>
      <w:tblPr>
        <w:tblW w:w="8267" w:type="dxa"/>
        <w:jc w:val="left"/>
        <w:tblInd w:w="0" w:type="dxa"/>
        <w:tblLayout w:type="fixed"/>
        <w:tblCellMar>
          <w:top w:w="0" w:type="dxa"/>
          <w:left w:w="0" w:type="dxa"/>
          <w:bottom w:w="0" w:type="dxa"/>
          <w:right w:w="0" w:type="dxa"/>
        </w:tblCellMar>
      </w:tblPr>
      <w:tblGrid>
        <w:gridCol w:w="331"/>
        <w:gridCol w:w="793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rFonts w:ascii="TimesNewRomanPSMT" w:hAnsi="TimesNewRomanPSMT"/>
                <w:sz w:val="18"/>
              </w:rPr>
            </w:pPr>
            <w:r>
              <w:rPr>
                <w:rFonts w:ascii="TimesNewRomanPSMT" w:hAnsi="TimesNewRomanPSMT"/>
                <w:sz w:val="18"/>
              </w:rPr>
              <w:t>(e)</w:t>
            </w:r>
          </w:p>
        </w:tc>
        <w:tc>
          <w:tcPr>
            <w:tcW w:w="98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permanent sales and service facility located in the Watersound West Bay Center opened in October 2023. An additional sales showroom located in the Watersound Town Center opened in June 2024</w:t>
            </w:r>
            <w:r>
              <w:rPr>
                <w:rFonts w:ascii="TimesNewRomanPSMT" w:hAnsi="TimesNewRomanPSMT"/>
                <w:b w:val="false"/>
                <w:i w:val="false"/>
                <w:caps w:val="false"/>
                <w:smallCaps w:val="false"/>
                <w:sz w:val="18"/>
              </w:rPr>
              <w:t>.</w:t>
            </w:r>
          </w:p>
        </w:tc>
      </w:tr>
    </w:tbl>
    <w:p>
      <w:pPr>
        <w:pStyle w:val="TextBody"/>
        <w:bidi w:val="0"/>
        <w:spacing w:before="0" w:after="10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(expense), net primarily includes accretion income from our retained interest investments, gain on contributions to unconsolidated joint ventures, gain (loss) on disposition of assets and other income and expense items as detailed in the table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404" w:type="dxa"/>
        <w:jc w:val="left"/>
        <w:tblInd w:w="0" w:type="dxa"/>
        <w:tblLayout w:type="fixed"/>
        <w:tblCellMar>
          <w:top w:w="0" w:type="dxa"/>
          <w:left w:w="0" w:type="dxa"/>
          <w:bottom w:w="0" w:type="dxa"/>
          <w:right w:w="0" w:type="dxa"/>
        </w:tblCellMar>
      </w:tblPr>
      <w:tblGrid>
        <w:gridCol w:w="4591"/>
        <w:gridCol w:w="211"/>
        <w:gridCol w:w="481"/>
        <w:gridCol w:w="346"/>
        <w:gridCol w:w="211"/>
        <w:gridCol w:w="481"/>
        <w:gridCol w:w="346"/>
        <w:gridCol w:w="211"/>
        <w:gridCol w:w="526"/>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915285" cy="175260"/>
                      <wp:effectExtent l="0" t="0" r="0" b="0"/>
                      <wp:wrapNone/>
                      <wp:docPr id="178" name="Frame177"/>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05435" cy="175260"/>
                      <wp:effectExtent l="0" t="0" r="0" b="0"/>
                      <wp:wrapNone/>
                      <wp:docPr id="180" name="Frame17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2"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05435" cy="175260"/>
                      <wp:effectExtent l="0" t="0" r="0" b="0"/>
                      <wp:wrapNone/>
                      <wp:docPr id="183" name="Frame18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4"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5"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34010" cy="175260"/>
                      <wp:effectExtent l="0" t="0" r="0" b="0"/>
                      <wp:wrapNone/>
                      <wp:docPr id="186" name="Frame18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pPr>
            <w:r>
              <w:rPr/>
              <w:t>​</w:t>
            </w:r>
          </w:p>
        </w:tc>
        <w:tc>
          <w:tcPr>
            <w:tcW w:w="28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591" w:type="dxa"/>
            <w:tcBorders/>
            <w:vAlign w:val="center"/>
          </w:tcPr>
          <w:p>
            <w:pPr>
              <w:pStyle w:val="TableContents"/>
              <w:bidi w:val="0"/>
              <w:spacing w:before="0" w:after="0"/>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40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591" w:type="dxa"/>
            <w:tcBorders/>
            <w:vAlign w:val="center"/>
          </w:tcPr>
          <w:p>
            <w:pPr>
              <w:pStyle w:val="TableContents"/>
              <w:bidi w:val="0"/>
              <w:spacing w:before="0" w:after="0"/>
              <w:ind w:left="0" w:right="0" w:hanging="0"/>
              <w:jc w:val="left"/>
              <w:rPr/>
            </w:pPr>
            <w:r>
              <w:rPr/>
              <w:t>​</w:t>
            </w:r>
          </w:p>
        </w:tc>
        <w:tc>
          <w:tcPr>
            <w:tcW w:w="2813"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income from retained interest investments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contributions to unconsolidated joint ventures</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(expense) income,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 net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(expense), net increased $1.3 million to other income, net of $0.6 million during 2025, as compared to other expense, net of $0.7 million in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Accretion income from retained interest investments includes accretion of investment income over the life of the retained interest using the effective yield method, prior to optional prepayment, in full, of the installment notes in August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Gain on contributions to unconsolidated joint ventures includes gain on additional infrastructure improvements contributed to our unconsolidated Latitude Margaritaville Watersound JV.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Gain on disposition of assets during 2025 primarily includes a gain on the sale of our Pilatus PC-12 NG aircraft (“N850J”) previously used in hospitality operations. Loss on disposition of assets during 2024 primarily includes loss on disposal of hospitality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Miscellaneous (expense) income, net during 2025, primarily includes expense of $1.2 million for design costs for certain residential, hospitality and commercial assets that we are no longer pursuing. Miscellaneous (expense) income, net during 2025 also includes loss on early extinguishment of debt related to the payoff of the Watercrest JV Loan, as well as fees related to other loans. See Note 9. </w:t>
      </w:r>
      <w:r>
        <w:rPr>
          <w:rFonts w:ascii="Times New Roman;Times;serif" w:hAnsi="Times New Roman;Times;serif"/>
          <w:i/>
          <w:sz w:val="20"/>
        </w:rPr>
        <w:t xml:space="preserve">Debt, Net </w:t>
      </w:r>
      <w:r>
        <w:rPr>
          <w:rFonts w:ascii="Times New Roman;Times;serif" w:hAnsi="Times New Roman;Times;serif"/>
          <w:sz w:val="20"/>
        </w:rPr>
        <w:t>and Note 17</w:t>
      </w:r>
      <w:r>
        <w:rPr>
          <w:rFonts w:ascii="Times New Roman;Times;serif" w:hAnsi="Times New Roman;Times;serif"/>
          <w:i/>
          <w:sz w:val="20"/>
        </w:rPr>
        <w:t xml:space="preserve">. Other Income, Net </w:t>
      </w:r>
      <w:r>
        <w:rPr>
          <w:rFonts w:ascii="Times New Roman;Times;serif" w:hAnsi="Times New Roman;Times;serif"/>
          <w:sz w:val="20"/>
        </w:rPr>
        <w:t>included in Item 15 of this Form 10-K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was $39.2 million in 2025, as compared to $26.0 million during 2024. Our effective tax rate was 25.3% in 2025, as compared to 26.4% in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effective rate for 2025 and 2024, differed from the federal statutory rate of 21.0% primarily due to state income taxes, nontaxable or nondeductible and other differences. See Note 12. </w:t>
      </w:r>
      <w:r>
        <w:rPr>
          <w:rFonts w:ascii="Times New Roman;Times;serif" w:hAnsi="Times New Roman;Times;serif"/>
          <w:i/>
          <w:sz w:val="20"/>
        </w:rPr>
        <w:t xml:space="preserve">Income Taxes </w:t>
      </w:r>
      <w:r>
        <w:rPr>
          <w:rFonts w:ascii="Times New Roman;Times;serif" w:hAnsi="Times New Roman;Times;serif"/>
          <w:sz w:val="20"/>
        </w:rPr>
        <w:t>included in Item 15 of this Form 10-K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Residential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consolidated results of operations of our residential segment:</w:t>
      </w:r>
    </w:p>
    <w:tbl>
      <w:tblPr>
        <w:tblW w:w="7509" w:type="dxa"/>
        <w:jc w:val="left"/>
        <w:tblInd w:w="0" w:type="dxa"/>
        <w:tblLayout w:type="fixed"/>
        <w:tblCellMar>
          <w:top w:w="0" w:type="dxa"/>
          <w:left w:w="0" w:type="dxa"/>
          <w:bottom w:w="0" w:type="dxa"/>
          <w:right w:w="0" w:type="dxa"/>
        </w:tblCellMar>
      </w:tblPr>
      <w:tblGrid>
        <w:gridCol w:w="4426"/>
        <w:gridCol w:w="211"/>
        <w:gridCol w:w="571"/>
        <w:gridCol w:w="346"/>
        <w:gridCol w:w="211"/>
        <w:gridCol w:w="571"/>
        <w:gridCol w:w="346"/>
        <w:gridCol w:w="211"/>
        <w:gridCol w:w="616"/>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810510" cy="175260"/>
                      <wp:effectExtent l="0" t="0" r="0" b="0"/>
                      <wp:wrapNone/>
                      <wp:docPr id="187" name="Frame186"/>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88"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2585" cy="175260"/>
                      <wp:effectExtent l="0" t="0" r="0" b="0"/>
                      <wp:wrapNone/>
                      <wp:docPr id="189" name="Frame1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62585" cy="175260"/>
                      <wp:effectExtent l="0" t="0" r="0" b="0"/>
                      <wp:wrapNone/>
                      <wp:docPr id="192" name="Frame1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4"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91160" cy="175260"/>
                      <wp:effectExtent l="0" t="0" r="0" b="0"/>
                      <wp:wrapNone/>
                      <wp:docPr id="195" name="Frame19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0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4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50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w:t>
            </w:r>
          </w:p>
        </w:tc>
        <w:tc>
          <w:tcPr>
            <w:tcW w:w="3083"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real estate revenue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revenue</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4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and other revenue </w:t>
            </w:r>
            <w:r>
              <w:rPr>
                <w:rFonts w:ascii="Times New Roman;Times;serif" w:hAnsi="Times New Roman;Times;serif"/>
                <w:sz w:val="15"/>
              </w:rPr>
              <w:t>(a)</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44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leasing revenue </w:t>
            </w:r>
            <w:r>
              <w:rPr>
                <w:rFonts w:ascii="Times New Roman;Times;serif" w:hAnsi="Times New Roman;Times;serif"/>
                <w:sz w:val="15"/>
              </w:rPr>
              <w:t>(a)</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4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operating expenses </w:t>
            </w:r>
            <w:r>
              <w:rPr>
                <w:rFonts w:ascii="Times New Roman;Times;serif" w:hAnsi="Times New Roman;Times;serif"/>
                <w:sz w:val="15"/>
              </w:rPr>
              <w:t>(a)</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from unconsolidated joint ventures</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99.0</w:t>
            </w:r>
          </w:p>
        </w:tc>
      </w:tr>
    </w:tbl>
    <w:tbl>
      <w:tblPr>
        <w:tblW w:w="5867" w:type="dxa"/>
        <w:jc w:val="left"/>
        <w:tblInd w:w="0" w:type="dxa"/>
        <w:tblLayout w:type="fixed"/>
        <w:tblCellMar>
          <w:top w:w="0" w:type="dxa"/>
          <w:left w:w="0" w:type="dxa"/>
          <w:bottom w:w="0" w:type="dxa"/>
          <w:right w:w="0" w:type="dxa"/>
        </w:tblCellMar>
      </w:tblPr>
      <w:tblGrid>
        <w:gridCol w:w="316"/>
        <w:gridCol w:w="5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tables set forth our consolidated residential real estate revenue and cost of revenue activity:</w:t>
      </w:r>
    </w:p>
    <w:tbl>
      <w:tblPr>
        <w:tblW w:w="8909" w:type="dxa"/>
        <w:jc w:val="left"/>
        <w:tblInd w:w="0" w:type="dxa"/>
        <w:tblLayout w:type="fixed"/>
        <w:tblCellMar>
          <w:top w:w="0" w:type="dxa"/>
          <w:left w:w="0" w:type="dxa"/>
          <w:bottom w:w="0" w:type="dxa"/>
          <w:right w:w="0" w:type="dxa"/>
        </w:tblCellMar>
      </w:tblPr>
      <w:tblGrid>
        <w:gridCol w:w="3376"/>
        <w:gridCol w:w="346"/>
        <w:gridCol w:w="571"/>
        <w:gridCol w:w="346"/>
        <w:gridCol w:w="211"/>
        <w:gridCol w:w="571"/>
        <w:gridCol w:w="346"/>
        <w:gridCol w:w="224"/>
        <w:gridCol w:w="497"/>
        <w:gridCol w:w="346"/>
        <w:gridCol w:w="211"/>
        <w:gridCol w:w="466"/>
        <w:gridCol w:w="346"/>
        <w:gridCol w:w="646"/>
        <w:gridCol w:w="40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43760" cy="175260"/>
                      <wp:effectExtent l="0" t="0" r="0" b="0"/>
                      <wp:wrapNone/>
                      <wp:docPr id="196" name="Frame195"/>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62585" cy="175260"/>
                      <wp:effectExtent l="0" t="0" r="0" b="0"/>
                      <wp:wrapNone/>
                      <wp:docPr id="198" name="Frame1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62585" cy="175260"/>
                      <wp:effectExtent l="0" t="0" r="0" b="0"/>
                      <wp:wrapNone/>
                      <wp:docPr id="201" name="Frame2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2240" cy="175260"/>
                      <wp:effectExtent l="0" t="0" r="0" b="0"/>
                      <wp:wrapNone/>
                      <wp:docPr id="203" name="Frame20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15595" cy="175260"/>
                      <wp:effectExtent l="0" t="0" r="0" b="0"/>
                      <wp:wrapNone/>
                      <wp:docPr id="204" name="Frame20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6"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95910" cy="175260"/>
                      <wp:effectExtent l="0" t="0" r="0" b="0"/>
                      <wp:wrapNone/>
                      <wp:docPr id="207" name="Frame20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10210" cy="175260"/>
                      <wp:effectExtent l="0" t="0" r="0" b="0"/>
                      <wp:wrapNone/>
                      <wp:docPr id="209" name="Frame20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57810" cy="175260"/>
                      <wp:effectExtent l="0" t="0" r="0" b="0"/>
                      <wp:wrapNone/>
                      <wp:docPr id="210" name="Frame20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81"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c>
          <w:tcPr>
            <w:tcW w:w="406" w:type="dxa"/>
            <w:tcBorders/>
            <w:vAlign w:val="center"/>
          </w:tcPr>
          <w:p>
            <w:pPr>
              <w:pStyle w:val="TableContents"/>
              <w:bidi w:val="0"/>
              <w:spacing w:before="0" w:after="1"/>
              <w:ind w:left="0" w:right="0" w:hanging="0"/>
              <w:jc w:val="center"/>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406" w:type="dxa"/>
            <w:tcBorders/>
            <w:vAlign w:val="center"/>
          </w:tcPr>
          <w:p>
            <w:pPr>
              <w:pStyle w:val="TableContents"/>
              <w:bidi w:val="0"/>
              <w:spacing w:before="0" w:after="1"/>
              <w:ind w:left="0" w:right="0" w:hanging="0"/>
              <w:jc w:val="center"/>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4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406" w:type="dxa"/>
            <w:tcBorders/>
            <w:vAlign w:val="center"/>
          </w:tcPr>
          <w:p>
            <w:pPr>
              <w:pStyle w:val="TableContents"/>
              <w:bidi w:val="0"/>
              <w:spacing w:before="0" w:after="1"/>
              <w:ind w:left="0" w:right="0" w:hanging="0"/>
              <w:jc w:val="center"/>
              <w:rPr/>
            </w:pPr>
            <w:r>
              <w:rPr/>
              <w:t>​</w:t>
            </w:r>
          </w:p>
        </w:tc>
      </w:tr>
      <w:tr>
        <w:trPr/>
        <w:tc>
          <w:tcPr>
            <w:tcW w:w="8909"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81" w:type="dxa"/>
            <w:gridSpan w:val="12"/>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40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Consolidated</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406" w:type="dxa"/>
            <w:tcBorders/>
            <w:shd w:fill="CCEEFF" w:val="clear"/>
            <w:vAlign w:val="center"/>
          </w:tcPr>
          <w:p>
            <w:pPr>
              <w:pStyle w:val="TableContents"/>
              <w:bidi w:val="0"/>
              <w:spacing w:before="0" w:after="1"/>
              <w:ind w:left="0" w:right="0" w:hanging="0"/>
              <w:jc w:val="center"/>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Homesites</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911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139.9</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70.6</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50.5</w:t>
            </w:r>
          </w:p>
        </w:tc>
        <w:tc>
          <w:tcPr>
            <w:tcW w:w="40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 </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Homes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14.2</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right"/>
              <w:rPr/>
            </w:pPr>
            <w:r>
              <w:rPr/>
              <w:t>​</w:t>
            </w:r>
          </w:p>
        </w:tc>
        <w:tc>
          <w:tcPr>
            <w:tcW w:w="49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36.6</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Land sales</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N/A</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0.9</w:t>
            </w:r>
          </w:p>
        </w:tc>
        <w:tc>
          <w:tcPr>
            <w:tcW w:w="346" w:type="dxa"/>
            <w:tcBorders/>
            <w:vAlign w:val="center"/>
          </w:tcPr>
          <w:p>
            <w:pPr>
              <w:pStyle w:val="TableContents"/>
              <w:bidi w:val="0"/>
              <w:spacing w:before="0" w:after="1"/>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0.9</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Total consolidated</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936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155.0</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78.3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76.7</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49.5</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Unconsolidated</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Homes</w:t>
            </w:r>
            <w:r>
              <w:rPr>
                <w:rFonts w:ascii="Times New Roman;Times;serif" w:hAnsi="Times New Roman;Times;serif"/>
                <w:sz w:val="18"/>
              </w:rPr>
              <w:t xml:space="preserve"> </w:t>
            </w:r>
            <w:r>
              <w:rPr>
                <w:rFonts w:ascii="Times New Roman;Times;serif" w:hAnsi="Times New Roman;Times;serif"/>
                <w:sz w:val="14"/>
              </w:rPr>
              <w:t>(a)</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Total consolidated and unconsolidated</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1,463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Includes homes sold by the Latitude Margaritaville Watersound JV, which is unconsolidated and is accounted for using the equity method.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939" w:type="dxa"/>
        <w:jc w:val="left"/>
        <w:tblInd w:w="0" w:type="dxa"/>
        <w:tblLayout w:type="fixed"/>
        <w:tblCellMar>
          <w:top w:w="0" w:type="dxa"/>
          <w:left w:w="0" w:type="dxa"/>
          <w:bottom w:w="0" w:type="dxa"/>
          <w:right w:w="0" w:type="dxa"/>
        </w:tblCellMar>
      </w:tblPr>
      <w:tblGrid>
        <w:gridCol w:w="3376"/>
        <w:gridCol w:w="346"/>
        <w:gridCol w:w="571"/>
        <w:gridCol w:w="346"/>
        <w:gridCol w:w="211"/>
        <w:gridCol w:w="571"/>
        <w:gridCol w:w="346"/>
        <w:gridCol w:w="224"/>
        <w:gridCol w:w="497"/>
        <w:gridCol w:w="346"/>
        <w:gridCol w:w="211"/>
        <w:gridCol w:w="466"/>
        <w:gridCol w:w="346"/>
        <w:gridCol w:w="646"/>
        <w:gridCol w:w="43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43760" cy="175260"/>
                      <wp:effectExtent l="0" t="0" r="0" b="0"/>
                      <wp:wrapNone/>
                      <wp:docPr id="211" name="Frame210"/>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2"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62585" cy="175260"/>
                      <wp:effectExtent l="0" t="0" r="0" b="0"/>
                      <wp:wrapNone/>
                      <wp:docPr id="213" name="Frame2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5"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62585" cy="175260"/>
                      <wp:effectExtent l="0" t="0" r="0" b="0"/>
                      <wp:wrapNone/>
                      <wp:docPr id="216" name="Frame2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42240" cy="175260"/>
                      <wp:effectExtent l="0" t="0" r="0" b="0"/>
                      <wp:wrapNone/>
                      <wp:docPr id="218" name="Frame21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15595" cy="175260"/>
                      <wp:effectExtent l="0" t="0" r="0" b="0"/>
                      <wp:wrapNone/>
                      <wp:docPr id="219" name="Frame218"/>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1"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95910" cy="175260"/>
                      <wp:effectExtent l="0" t="0" r="0" b="0"/>
                      <wp:wrapNone/>
                      <wp:docPr id="222" name="Frame22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10210" cy="175260"/>
                      <wp:effectExtent l="0" t="0" r="0" b="0"/>
                      <wp:wrapNone/>
                      <wp:docPr id="224" name="Frame22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76860" cy="175260"/>
                      <wp:effectExtent l="0" t="0" r="0" b="0"/>
                      <wp:wrapNone/>
                      <wp:docPr id="225" name="Frame22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81"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c>
          <w:tcPr>
            <w:tcW w:w="436" w:type="dxa"/>
            <w:tcBorders/>
            <w:vAlign w:val="center"/>
          </w:tcPr>
          <w:p>
            <w:pPr>
              <w:pStyle w:val="TableContents"/>
              <w:bidi w:val="0"/>
              <w:spacing w:before="0" w:after="1"/>
              <w:ind w:left="0" w:right="0" w:hanging="0"/>
              <w:jc w:val="center"/>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436" w:type="dxa"/>
            <w:tcBorders/>
            <w:vAlign w:val="center"/>
          </w:tcPr>
          <w:p>
            <w:pPr>
              <w:pStyle w:val="TableContents"/>
              <w:bidi w:val="0"/>
              <w:spacing w:before="0" w:after="1"/>
              <w:ind w:left="0" w:right="0" w:hanging="0"/>
              <w:jc w:val="center"/>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4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436" w:type="dxa"/>
            <w:tcBorders/>
            <w:vAlign w:val="center"/>
          </w:tcPr>
          <w:p>
            <w:pPr>
              <w:pStyle w:val="TableContents"/>
              <w:bidi w:val="0"/>
              <w:spacing w:before="0" w:after="1"/>
              <w:ind w:left="0" w:right="0" w:hanging="0"/>
              <w:jc w:val="center"/>
              <w:rPr/>
            </w:pPr>
            <w:r>
              <w:rPr/>
              <w:t>​</w:t>
            </w:r>
          </w:p>
        </w:tc>
      </w:tr>
      <w:tr>
        <w:trPr/>
        <w:tc>
          <w:tcPr>
            <w:tcW w:w="8939"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81" w:type="dxa"/>
            <w:gridSpan w:val="12"/>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43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Consolidated</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Homesites </w:t>
            </w:r>
            <w:r>
              <w:rPr>
                <w:rFonts w:ascii="Times New Roman;Times;serif" w:hAnsi="Times New Roman;Times;serif"/>
                <w:sz w:val="15"/>
              </w:rPr>
              <w:t>(a)</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912</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107.2</w:t>
            </w:r>
          </w:p>
        </w:tc>
        <w:tc>
          <w:tcPr>
            <w:tcW w:w="346" w:type="dxa"/>
            <w:tcBorders/>
            <w:vAlign w:val="center"/>
          </w:tcPr>
          <w:p>
            <w:pPr>
              <w:pStyle w:val="TableContents"/>
              <w:bidi w:val="0"/>
              <w:spacing w:before="0" w:after="1"/>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56.8</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consolidated</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107.2</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50.4</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47.0</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43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Unconsolidated</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43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Homes </w:t>
            </w:r>
            <w:r>
              <w:rPr>
                <w:rFonts w:ascii="Times New Roman;Times;serif" w:hAnsi="Times New Roman;Times;serif"/>
                <w:sz w:val="15"/>
              </w:rPr>
              <w:t>(b)</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43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consolidated and unconsolidated</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436" w:type="dxa"/>
            <w:tcBorders/>
            <w:shd w:fill="CCEEFF" w:val="clear"/>
            <w:vAlign w:val="center"/>
          </w:tcPr>
          <w:p>
            <w:pPr>
              <w:pStyle w:val="TableContents"/>
              <w:bidi w:val="0"/>
              <w:spacing w:before="0" w:after="1"/>
              <w:ind w:left="0" w:right="0" w:hanging="0"/>
              <w:jc w:val="left"/>
              <w:rPr/>
            </w:pPr>
            <w:r>
              <w:rPr/>
              <w:t>​</w:t>
            </w:r>
          </w:p>
        </w:tc>
      </w:tr>
    </w:tbl>
    <w:tbl>
      <w:tblPr>
        <w:tblW w:w="6737" w:type="dxa"/>
        <w:jc w:val="left"/>
        <w:tblInd w:w="0" w:type="dxa"/>
        <w:tblLayout w:type="fixed"/>
        <w:tblCellMar>
          <w:top w:w="0" w:type="dxa"/>
          <w:left w:w="0" w:type="dxa"/>
          <w:bottom w:w="0" w:type="dxa"/>
          <w:right w:w="0" w:type="dxa"/>
        </w:tblCellMar>
      </w:tblPr>
      <w:tblGrid>
        <w:gridCol w:w="316"/>
        <w:gridCol w:w="642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6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Includes 82 entitled but undeveloped homesites sold within the SouthWood community.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Includes homes sold by the Latitude Margaritaville Watersound JV, which is unconsolidated and is accounted for using the equity method.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p>
      <w:pPr>
        <w:pStyle w:val="TextBody"/>
        <w:bidi w:val="0"/>
        <w:spacing w:before="0" w:after="240"/>
        <w:ind w:left="0" w:right="0" w:firstLine="360"/>
        <w:jc w:val="left"/>
        <w:rPr/>
      </w:pPr>
      <w:r>
        <w:rPr/>
        <w:t>​</w:t>
      </w:r>
    </w:p>
    <w:tbl>
      <w:tblPr>
        <w:tblW w:w="8612" w:type="dxa"/>
        <w:jc w:val="left"/>
        <w:tblInd w:w="0" w:type="dxa"/>
        <w:tblLayout w:type="fixed"/>
        <w:tblCellMar>
          <w:top w:w="0" w:type="dxa"/>
          <w:left w:w="0" w:type="dxa"/>
          <w:bottom w:w="0" w:type="dxa"/>
          <w:right w:w="0" w:type="dxa"/>
        </w:tblCellMar>
      </w:tblPr>
      <w:tblGrid>
        <w:gridCol w:w="3376"/>
        <w:gridCol w:w="109"/>
        <w:gridCol w:w="571"/>
        <w:gridCol w:w="346"/>
        <w:gridCol w:w="211"/>
        <w:gridCol w:w="571"/>
        <w:gridCol w:w="346"/>
        <w:gridCol w:w="224"/>
        <w:gridCol w:w="497"/>
        <w:gridCol w:w="346"/>
        <w:gridCol w:w="211"/>
        <w:gridCol w:w="466"/>
        <w:gridCol w:w="346"/>
        <w:gridCol w:w="646"/>
        <w:gridCol w:w="34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43760" cy="175260"/>
                      <wp:effectExtent l="0" t="0" r="0" b="0"/>
                      <wp:wrapNone/>
                      <wp:docPr id="226" name="Frame225"/>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27"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62585" cy="175260"/>
                      <wp:effectExtent l="0" t="0" r="0" b="0"/>
                      <wp:wrapNone/>
                      <wp:docPr id="228" name="Frame2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29"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0"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62585" cy="175260"/>
                      <wp:effectExtent l="0" t="0" r="0" b="0"/>
                      <wp:wrapNone/>
                      <wp:docPr id="231" name="Frame2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2"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2240" cy="175260"/>
                      <wp:effectExtent l="0" t="0" r="0" b="0"/>
                      <wp:wrapNone/>
                      <wp:docPr id="233" name="Frame23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15595" cy="175260"/>
                      <wp:effectExtent l="0" t="0" r="0" b="0"/>
                      <wp:wrapNone/>
                      <wp:docPr id="234" name="Frame23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6"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95910" cy="175260"/>
                      <wp:effectExtent l="0" t="0" r="0" b="0"/>
                      <wp:wrapNone/>
                      <wp:docPr id="237" name="Frame23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10210" cy="175260"/>
                      <wp:effectExtent l="0" t="0" r="0" b="0"/>
                      <wp:wrapNone/>
                      <wp:docPr id="239" name="Frame23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81"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c>
          <w:tcPr>
            <w:tcW w:w="346" w:type="dxa"/>
            <w:tcBorders/>
            <w:vAlign w:val="center"/>
          </w:tcPr>
          <w:p>
            <w:pPr>
              <w:pStyle w:val="TableContents"/>
              <w:bidi w:val="0"/>
              <w:spacing w:before="0" w:after="1"/>
              <w:ind w:left="0" w:right="0" w:hanging="0"/>
              <w:jc w:val="center"/>
              <w:rPr/>
            </w:pPr>
            <w:r>
              <w:rPr/>
              <w:t> </w:t>
            </w:r>
          </w:p>
        </w:tc>
      </w:tr>
      <w:tr>
        <w:trPr/>
        <w:tc>
          <w:tcPr>
            <w:tcW w:w="33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w:t>
            </w:r>
          </w:p>
        </w:tc>
      </w:tr>
      <w:tr>
        <w:trPr/>
        <w:tc>
          <w:tcPr>
            <w:tcW w:w="33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4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1"/>
              <w:ind w:left="0" w:right="0" w:hanging="0"/>
              <w:jc w:val="center"/>
              <w:rPr/>
            </w:pPr>
            <w:r>
              <w:rPr/>
              <w:t> </w:t>
            </w:r>
          </w:p>
        </w:tc>
      </w:tr>
      <w:tr>
        <w:trPr/>
        <w:tc>
          <w:tcPr>
            <w:tcW w:w="8612"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3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81" w:type="dxa"/>
            <w:gridSpan w:val="12"/>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4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Consolidated</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Homesites </w:t>
            </w:r>
            <w:r>
              <w:rPr>
                <w:rFonts w:ascii="Times New Roman;Times;serif" w:hAnsi="Times New Roman;Times;serif"/>
                <w:sz w:val="15"/>
              </w:rPr>
              <w:t>(a)</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sales</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consolidated</w:t>
            </w:r>
          </w:p>
        </w:tc>
        <w:tc>
          <w:tcPr>
            <w:tcW w:w="109"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145.6</w:t>
            </w:r>
          </w:p>
        </w:tc>
        <w:tc>
          <w:tcPr>
            <w:tcW w:w="346" w:type="dxa"/>
            <w:tcBorders/>
            <w:vAlign w:val="center"/>
          </w:tcPr>
          <w:p>
            <w:pPr>
              <w:pStyle w:val="TableContents"/>
              <w:bidi w:val="0"/>
              <w:spacing w:before="0" w:after="1"/>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72.0</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49.5</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Unconsolidated</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Homes </w:t>
            </w:r>
            <w:r>
              <w:rPr>
                <w:rFonts w:ascii="Times New Roman;Times;serif" w:hAnsi="Times New Roman;Times;serif"/>
                <w:sz w:val="15"/>
              </w:rPr>
              <w:t>(b)</w:t>
            </w:r>
          </w:p>
        </w:tc>
        <w:tc>
          <w:tcPr>
            <w:tcW w:w="109"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consolidated and unconsolidated</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bl>
    <w:tbl>
      <w:tblPr>
        <w:tblW w:w="6827" w:type="dxa"/>
        <w:jc w:val="left"/>
        <w:tblInd w:w="0" w:type="dxa"/>
        <w:tblLayout w:type="fixed"/>
        <w:tblCellMar>
          <w:top w:w="0" w:type="dxa"/>
          <w:left w:w="0" w:type="dxa"/>
          <w:bottom w:w="0" w:type="dxa"/>
          <w:right w:w="0" w:type="dxa"/>
        </w:tblCellMar>
      </w:tblPr>
      <w:tblGrid>
        <w:gridCol w:w="316"/>
        <w:gridCol w:w="651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6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Includes 100 entitled but undeveloped homesites sold within the SouthWood community. </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rFonts w:ascii="TimesNewRomanPSMT" w:hAnsi="TimesNewRomanPSMT"/>
                <w:sz w:val="18"/>
              </w:rPr>
            </w:pPr>
            <w:r>
              <w:rPr>
                <w:rFonts w:ascii="TimesNewRomanPSMT" w:hAnsi="TimesNewRomanPSMT"/>
                <w:sz w:val="18"/>
              </w:rPr>
              <w:t>(b)</w:t>
            </w:r>
          </w:p>
        </w:tc>
        <w:tc>
          <w:tcPr>
            <w:tcW w:w="984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Includes homes sold by the Latitude Margaritaville Watersound JV, which is unconsolidated and is accounted for using the equity method.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included in Item 15 of this Form 10-K for additional information.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Year Ended December 31, 2025 Compared to the Year Ended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residential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Homesites. </w:t>
      </w:r>
      <w:r>
        <w:rPr>
          <w:rFonts w:ascii="Times New Roman;Times;serif" w:hAnsi="Times New Roman;Times;serif"/>
          <w:sz w:val="20"/>
        </w:rPr>
        <w:t>Revenue from homesite sales increased $32.7 million, or 30.5%, during 2025, as compared to 2024, primarily due to the mix and number of homesites sold per community and the timing of homebuilder contractual closing obligations in our residential communities. During 2025 and 2024, the average base revenue, excluding homesite residuals, per homesite sold was approximately $137,000 and $108,000, respectively, due to the mix of sales from different communities. Homesite sales during 2024 also include the sale of 82 entitled but undeveloped homesites sold within the SouthWood community, compared to none in the current period. Revenue includes estimated homesite residuals of $10.9 million and $3.6 million, during 2025 and 2024, respectively. The increase in estimated homesite residuals was due to the mix and number of homesites sold in specific communities during the current period. Homesite gross margin increased to 50.5% during 2025, as compared to 47.0% during 2024, primarily due to the cost, mix and number of homesites sold from different communities during each period. Gross margin may vary each period depending on the location of homesite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Homes</w:t>
      </w:r>
      <w:r>
        <w:rPr>
          <w:rFonts w:ascii="Times New Roman;Times;serif" w:hAnsi="Times New Roman;Times;serif"/>
          <w:sz w:val="20"/>
        </w:rPr>
        <w:t>. During 2025, we sold 24 completed townhomes within our Watersound Villas on the Fairway community and a home within our Watersound Origins community for a total of $14.2 million, resulting in a gross margin of 36.6%. During 2024, we did not have any home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Land sales. </w:t>
      </w:r>
      <w:r>
        <w:rPr>
          <w:rFonts w:ascii="Times New Roman;Times;serif" w:hAnsi="Times New Roman;Times;serif"/>
          <w:sz w:val="20"/>
        </w:rPr>
        <w:t xml:space="preserve">During 2025, we had an unimproved residential land sale for $0.9 million, with de minimis cost of revenue. During 2024, we did not have any unimproved residential land sales.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revenue includes tap and impact fee credits sold, marketing fees and other fees. Other revenue includes estimated fees related to homebuilder homesite sales of $2.8 million and $2.5 million during 2025 and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includes long-term leases of residential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property taxes, marketing, professional fees, project administration, owner association and CDD assessments and other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Investment income, net consists of interest earned on our unimproved land contribution to our unconsolidated Latitude Margaritaville Watersound JV as home sales are transacted in the community. Investment income, net decreased $0.2 million during 2025, as compared to 2024, due to fewer home sales transacted in the community during the current period. See Note 4. </w:t>
      </w:r>
      <w:r>
        <w:rPr>
          <w:rFonts w:ascii="Times New Roman;Times;serif" w:hAnsi="Times New Roman;Times;serif"/>
          <w:i/>
          <w:sz w:val="20"/>
        </w:rPr>
        <w:t xml:space="preserve">Joint Ventures </w:t>
      </w:r>
      <w:r>
        <w:rPr>
          <w:rFonts w:ascii="Times New Roman;Times;serif" w:hAnsi="Times New Roman;Times;serif"/>
          <w:sz w:val="20"/>
        </w:rPr>
        <w:t xml:space="preserve">included in Item 15 of this Form 10-K for additional information. Interest expense primarily consists of interest incurred on our portion of the total outstanding CDD debt.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income from unconsolidated joint ventures includes our proportionate share of earnings or losses of an unconsolidated JV accounted for by the equity method. Equity in income from unconsolidated joint ventures increased $2.9 million during 2025, compared to 2024. The increase was primarily due to higher average sales price and margin per home sold, partially offset by the decreased volume of home sale transactions. The year ended December 31, 2025, also includes $0.5 million of intra-entity profit elimination related to the sale of additional land to our unconsolidated Latitude Margaritaville Watersound JV, a pro-rata portion of which will be recognized as each home on the land is sold by the JV. The Latitude Margaritaville Watersound JV completed 527 home sale transactions during 2025, compared to 659 home sale transactions during 2024. See Note 4. </w:t>
      </w:r>
      <w:r>
        <w:rPr>
          <w:rFonts w:ascii="Times New Roman;Times;serif" w:hAnsi="Times New Roman;Times;serif"/>
          <w:i/>
          <w:sz w:val="20"/>
        </w:rPr>
        <w:t xml:space="preserve">Joint Ventures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(expense) income, net in 2025 primarily includes expense of $0.6 million for design costs for certain residential assets that we are no longer pursuing.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Hospitality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consolidated results of operations of our hospitality segment:</w:t>
      </w:r>
    </w:p>
    <w:tbl>
      <w:tblPr>
        <w:tblW w:w="6579" w:type="dxa"/>
        <w:jc w:val="left"/>
        <w:tblInd w:w="0" w:type="dxa"/>
        <w:tblLayout w:type="fixed"/>
        <w:tblCellMar>
          <w:top w:w="0" w:type="dxa"/>
          <w:left w:w="0" w:type="dxa"/>
          <w:bottom w:w="0" w:type="dxa"/>
          <w:right w:w="0" w:type="dxa"/>
        </w:tblCellMar>
      </w:tblPr>
      <w:tblGrid>
        <w:gridCol w:w="3466"/>
        <w:gridCol w:w="211"/>
        <w:gridCol w:w="586"/>
        <w:gridCol w:w="346"/>
        <w:gridCol w:w="211"/>
        <w:gridCol w:w="586"/>
        <w:gridCol w:w="346"/>
        <w:gridCol w:w="211"/>
        <w:gridCol w:w="6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00910" cy="175260"/>
                      <wp:effectExtent l="0" t="0" r="0" b="0"/>
                      <wp:wrapNone/>
                      <wp:docPr id="241" name="Frame240"/>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2"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72110" cy="175260"/>
                      <wp:effectExtent l="0" t="0" r="0" b="0"/>
                      <wp:wrapNone/>
                      <wp:docPr id="243" name="Frame24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5"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72110" cy="175260"/>
                      <wp:effectExtent l="0" t="0" r="0" b="0"/>
                      <wp:wrapNone/>
                      <wp:docPr id="246" name="Frame24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47"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48"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91160" cy="175260"/>
                      <wp:effectExtent l="0" t="0" r="0" b="0"/>
                      <wp:wrapNone/>
                      <wp:docPr id="249" name="Frame24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1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46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57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113"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34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hospitality revenue </w:t>
            </w:r>
            <w:r>
              <w:rPr>
                <w:rFonts w:ascii="Times New Roman;Times;serif" w:hAnsi="Times New Roman;Times;serif"/>
                <w:sz w:val="15"/>
              </w:rPr>
              <w:t>(a)</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r>
      <w:tr>
        <w:trPr/>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leasing revenue </w:t>
            </w:r>
            <w:r>
              <w:rPr>
                <w:rFonts w:ascii="Times New Roman;Times;serif" w:hAnsi="Times New Roman;Times;serif"/>
                <w:sz w:val="15"/>
              </w:rPr>
              <w:t>(a)</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4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revenue </w:t>
            </w:r>
            <w:r>
              <w:rPr>
                <w:rFonts w:ascii="Times New Roman;Times;serif" w:hAnsi="Times New Roman;Times;serif"/>
                <w:sz w:val="15"/>
              </w:rPr>
              <w:t>(a)</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operating expenses </w:t>
            </w:r>
            <w:r>
              <w:rPr>
                <w:rFonts w:ascii="Times New Roman;Times;serif" w:hAnsi="Times New Roman;Times;serif"/>
                <w:sz w:val="15"/>
              </w:rPr>
              <w:t>(a)</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r>
    </w:tbl>
    <w:tbl>
      <w:tblPr>
        <w:tblW w:w="5867" w:type="dxa"/>
        <w:jc w:val="left"/>
        <w:tblInd w:w="0" w:type="dxa"/>
        <w:tblLayout w:type="fixed"/>
        <w:tblCellMar>
          <w:top w:w="0" w:type="dxa"/>
          <w:left w:w="0" w:type="dxa"/>
          <w:bottom w:w="0" w:type="dxa"/>
          <w:right w:w="0" w:type="dxa"/>
        </w:tblCellMar>
      </w:tblPr>
      <w:tblGrid>
        <w:gridCol w:w="316"/>
        <w:gridCol w:w="5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details of our hospitality segment consolidated revenue and gross profit:</w:t>
      </w:r>
    </w:p>
    <w:tbl>
      <w:tblPr>
        <w:tblW w:w="9397" w:type="dxa"/>
        <w:jc w:val="left"/>
        <w:tblInd w:w="0" w:type="dxa"/>
        <w:tblLayout w:type="fixed"/>
        <w:tblCellMar>
          <w:top w:w="0" w:type="dxa"/>
          <w:left w:w="0" w:type="dxa"/>
          <w:bottom w:w="0" w:type="dxa"/>
          <w:right w:w="0" w:type="dxa"/>
        </w:tblCellMar>
      </w:tblPr>
      <w:tblGrid>
        <w:gridCol w:w="796"/>
        <w:gridCol w:w="109"/>
        <w:gridCol w:w="214"/>
        <w:gridCol w:w="580"/>
        <w:gridCol w:w="110"/>
        <w:gridCol w:w="214"/>
        <w:gridCol w:w="474"/>
        <w:gridCol w:w="148"/>
        <w:gridCol w:w="657"/>
        <w:gridCol w:w="391"/>
        <w:gridCol w:w="109"/>
        <w:gridCol w:w="214"/>
        <w:gridCol w:w="580"/>
        <w:gridCol w:w="110"/>
        <w:gridCol w:w="214"/>
        <w:gridCol w:w="474"/>
        <w:gridCol w:w="148"/>
        <w:gridCol w:w="657"/>
        <w:gridCol w:w="346"/>
        <w:gridCol w:w="109"/>
        <w:gridCol w:w="214"/>
        <w:gridCol w:w="580"/>
        <w:gridCol w:w="110"/>
        <w:gridCol w:w="214"/>
        <w:gridCol w:w="474"/>
        <w:gridCol w:w="148"/>
        <w:gridCol w:w="657"/>
        <w:gridCol w:w="346"/>
      </w:tblGrid>
      <w:tr>
        <w:trPr/>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c>
          <w:tcPr>
            <w:tcW w:w="34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3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c>
          <w:tcPr>
            <w:tcW w:w="346" w:type="dxa"/>
            <w:tcBorders/>
            <w:vAlign w:val="center"/>
          </w:tcPr>
          <w:p>
            <w:pPr>
              <w:pStyle w:val="TableContents"/>
              <w:bidi w:val="0"/>
              <w:spacing w:before="0" w:after="0"/>
              <w:ind w:left="0" w:right="0" w:hanging="0"/>
              <w:jc w:val="center"/>
              <w:rPr/>
            </w:pPr>
            <w:r>
              <w:rPr/>
              <w:t> </w:t>
            </w:r>
          </w:p>
        </w:tc>
      </w:tr>
      <w:tr>
        <w:trPr/>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pPr>
            <w:r>
              <w:rPr/>
              <w:t>​</w:t>
            </w:r>
          </w:p>
        </w:tc>
        <w:tc>
          <w:tcPr>
            <w:tcW w:w="110" w:type="dxa"/>
            <w:tcBorders/>
            <w:vAlign w:val="center"/>
          </w:tcPr>
          <w:p>
            <w:pPr>
              <w:pStyle w:val="TableContents"/>
              <w:bidi w:val="0"/>
              <w:spacing w:before="0" w:after="0"/>
              <w:ind w:left="0" w:right="0" w:hanging="0"/>
              <w:jc w:val="center"/>
              <w:rPr/>
            </w:pPr>
            <w:r>
              <w:rPr/>
              <w:t>​</w:t>
            </w:r>
          </w:p>
        </w:tc>
        <w:tc>
          <w:tcPr>
            <w:tcW w:w="6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48"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pPr>
            <w:r>
              <w:rPr/>
              <w:t>​</w:t>
            </w:r>
          </w:p>
        </w:tc>
        <w:tc>
          <w:tcPr>
            <w:tcW w:w="110" w:type="dxa"/>
            <w:tcBorders/>
            <w:vAlign w:val="center"/>
          </w:tcPr>
          <w:p>
            <w:pPr>
              <w:pStyle w:val="TableContents"/>
              <w:bidi w:val="0"/>
              <w:spacing w:before="0" w:after="0"/>
              <w:ind w:left="0" w:right="0" w:hanging="0"/>
              <w:jc w:val="center"/>
              <w:rPr/>
            </w:pPr>
            <w:r>
              <w:rPr/>
              <w:t>​</w:t>
            </w:r>
          </w:p>
        </w:tc>
        <w:tc>
          <w:tcPr>
            <w:tcW w:w="6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48"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pPr>
            <w:r>
              <w:rPr/>
              <w:t>​</w:t>
            </w:r>
          </w:p>
        </w:tc>
        <w:tc>
          <w:tcPr>
            <w:tcW w:w="110" w:type="dxa"/>
            <w:tcBorders/>
            <w:vAlign w:val="center"/>
          </w:tcPr>
          <w:p>
            <w:pPr>
              <w:pStyle w:val="TableContents"/>
              <w:bidi w:val="0"/>
              <w:spacing w:before="0" w:after="0"/>
              <w:ind w:left="0" w:right="0" w:hanging="0"/>
              <w:jc w:val="center"/>
              <w:rPr/>
            </w:pPr>
            <w:r>
              <w:rPr/>
              <w:t>​</w:t>
            </w:r>
          </w:p>
        </w:tc>
        <w:tc>
          <w:tcPr>
            <w:tcW w:w="6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48"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r>
      <w:tr>
        <w:trPr/>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0" w:type="dxa"/>
            <w:tcBorders/>
            <w:vAlign w:val="center"/>
          </w:tcPr>
          <w:p>
            <w:pPr>
              <w:pStyle w:val="TableContents"/>
              <w:bidi w:val="0"/>
              <w:spacing w:before="0" w:after="0"/>
              <w:ind w:left="0" w:right="0" w:hanging="0"/>
              <w:jc w:val="center"/>
              <w:rPr/>
            </w:pPr>
            <w:r>
              <w:rPr/>
              <w:t>​</w:t>
            </w:r>
          </w:p>
        </w:tc>
        <w:tc>
          <w:tcPr>
            <w:tcW w:w="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48" w:type="dxa"/>
            <w:tcBorders/>
            <w:vAlign w:val="center"/>
          </w:tcPr>
          <w:p>
            <w:pPr>
              <w:pStyle w:val="TableContents"/>
              <w:bidi w:val="0"/>
              <w:spacing w:before="0" w:after="0"/>
              <w:ind w:left="0" w:right="0" w:hanging="0"/>
              <w:jc w:val="center"/>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0" w:type="dxa"/>
            <w:tcBorders/>
            <w:vAlign w:val="center"/>
          </w:tcPr>
          <w:p>
            <w:pPr>
              <w:pStyle w:val="TableContents"/>
              <w:bidi w:val="0"/>
              <w:spacing w:before="0" w:after="0"/>
              <w:ind w:left="0" w:right="0" w:hanging="0"/>
              <w:jc w:val="center"/>
              <w:rPr/>
            </w:pPr>
            <w:r>
              <w:rPr/>
              <w:t>​</w:t>
            </w:r>
          </w:p>
        </w:tc>
        <w:tc>
          <w:tcPr>
            <w:tcW w:w="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48" w:type="dxa"/>
            <w:tcBorders/>
            <w:vAlign w:val="center"/>
          </w:tcPr>
          <w:p>
            <w:pPr>
              <w:pStyle w:val="TableContents"/>
              <w:bidi w:val="0"/>
              <w:spacing w:before="0" w:after="0"/>
              <w:ind w:left="0" w:right="0" w:hanging="0"/>
              <w:jc w:val="center"/>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0"/>
              <w:ind w:left="0" w:right="0" w:hanging="0"/>
              <w:jc w:val="center"/>
              <w:rPr/>
            </w:pPr>
            <w:r>
              <w:rPr/>
              <w:t xml:space="preserve">  </w:t>
            </w:r>
          </w:p>
        </w:tc>
        <w:tc>
          <w:tcPr>
            <w:tcW w:w="109" w:type="dxa"/>
            <w:tcBorders/>
            <w:vAlign w:val="center"/>
          </w:tcPr>
          <w:p>
            <w:pPr>
              <w:pStyle w:val="TableContents"/>
              <w:bidi w:val="0"/>
              <w:spacing w:before="0" w:after="0"/>
              <w:ind w:left="0" w:right="0" w:hanging="0"/>
              <w:jc w:val="center"/>
              <w:rPr/>
            </w:pPr>
            <w:r>
              <w:rPr/>
              <w:t>​</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0" w:type="dxa"/>
            <w:tcBorders/>
            <w:vAlign w:val="center"/>
          </w:tcPr>
          <w:p>
            <w:pPr>
              <w:pStyle w:val="TableContents"/>
              <w:bidi w:val="0"/>
              <w:spacing w:before="0" w:after="0"/>
              <w:ind w:left="0" w:right="0" w:hanging="0"/>
              <w:jc w:val="center"/>
              <w:rPr/>
            </w:pPr>
            <w:r>
              <w:rPr/>
              <w:t>​</w:t>
            </w:r>
          </w:p>
        </w:tc>
        <w:tc>
          <w:tcPr>
            <w:tcW w:w="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48" w:type="dxa"/>
            <w:tcBorders/>
            <w:vAlign w:val="center"/>
          </w:tcPr>
          <w:p>
            <w:pPr>
              <w:pStyle w:val="TableContents"/>
              <w:bidi w:val="0"/>
              <w:spacing w:before="0" w:after="0"/>
              <w:ind w:left="0" w:right="0" w:hanging="0"/>
              <w:jc w:val="center"/>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0"/>
              <w:ind w:left="0" w:right="0" w:hanging="0"/>
              <w:jc w:val="center"/>
              <w:rPr/>
            </w:pPr>
            <w:r>
              <w:rPr/>
              <w:t> </w:t>
            </w:r>
          </w:p>
        </w:tc>
      </w:tr>
      <w:tr>
        <w:trPr/>
        <w:tc>
          <w:tcPr>
            <w:tcW w:w="9397"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146" w:type="dxa"/>
            <w:gridSpan w:val="2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46" w:type="dxa"/>
            <w:tcBorders/>
            <w:vAlign w:val="center"/>
          </w:tcPr>
          <w:p>
            <w:pPr>
              <w:pStyle w:val="TableContents"/>
              <w:bidi w:val="0"/>
              <w:spacing w:before="0" w:after="0"/>
              <w:ind w:left="0" w:right="0" w:hanging="0"/>
              <w:jc w:val="left"/>
              <w:rPr/>
            </w:pPr>
            <w:r>
              <w:rPr/>
              <w:t>​</w:t>
            </w:r>
          </w:p>
        </w:tc>
      </w:tr>
      <w:tr>
        <w:trPr/>
        <w:tc>
          <w:tcPr>
            <w:tcW w:w="7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Clubs </w:t>
            </w:r>
            <w:r>
              <w:rPr>
                <w:rFonts w:ascii="Times New Roman;Times;serif" w:hAnsi="Times New Roman;Times;serif"/>
                <w:sz w:val="15"/>
              </w:rPr>
              <w:t>(a)</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c>
          <w:tcPr>
            <w:tcW w:w="110"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148"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110"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148"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110"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148"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Hotels</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c>
          <w:tcPr>
            <w:tcW w:w="110"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48"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110"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148"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c>
          <w:tcPr>
            <w:tcW w:w="110"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48"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10"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48"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10"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48"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10"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48"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215.4</w:t>
            </w:r>
          </w:p>
        </w:tc>
        <w:tc>
          <w:tcPr>
            <w:tcW w:w="110"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66.9</w:t>
            </w:r>
          </w:p>
        </w:tc>
        <w:tc>
          <w:tcPr>
            <w:tcW w:w="148"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31.1</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199.2</w:t>
            </w:r>
          </w:p>
        </w:tc>
        <w:tc>
          <w:tcPr>
            <w:tcW w:w="110"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62.8</w:t>
            </w:r>
          </w:p>
        </w:tc>
        <w:tc>
          <w:tcPr>
            <w:tcW w:w="148"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152.4</w:t>
            </w:r>
          </w:p>
        </w:tc>
        <w:tc>
          <w:tcPr>
            <w:tcW w:w="110"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30.2</w:t>
            </w:r>
          </w:p>
        </w:tc>
        <w:tc>
          <w:tcPr>
            <w:tcW w:w="148"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9662" w:type="dxa"/>
        <w:jc w:val="left"/>
        <w:tblInd w:w="0" w:type="dxa"/>
        <w:tblLayout w:type="fixed"/>
        <w:tblCellMar>
          <w:top w:w="0" w:type="dxa"/>
          <w:left w:w="0" w:type="dxa"/>
          <w:bottom w:w="0" w:type="dxa"/>
          <w:right w:w="0" w:type="dxa"/>
        </w:tblCellMar>
      </w:tblPr>
      <w:tblGrid>
        <w:gridCol w:w="316"/>
        <w:gridCol w:w="934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3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the Camp Creek Inn due to its proximity and guest access to Watersound Club amenities. The hotel opened in June 2023.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Year Ended December 31, 2025 Compared to Year Ended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our clubs increased $10.7 million, or 13.2%, during 2025, as compared to 2024. The increase in revenue in the current period was due to an increase in membership dues, membership ancillary spend, lodging related to the Camp Creek Inn, as well as The Third golf course, which opened in November 2024 and the renovated Shark’s Tooth clubhouse, which reopened in February 2025. As of December 31, 2025, Watersound Club had 3,594 members, compared with 3,476 members as of December 31, 2024, a net increase of 118 members. Our clubs gross margin was 42.2% during 2025, compared to 44.6% during 2024. The decrease in gross margin was primarily due to ongoing operating costs for The Third golf course and reopening and ongoing operating costs of the Shark’s Tooth clubhouse during the current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our hotel operations increased $4.6 million, or 4.4%, during 2025, as compared to 2024. The increase was primarily related to lodging revenue, as well as guest ancillary spend. Our hotels had a gross margin of 24.2% during 2025, comparable to 23.5% during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both December 31, 2025 and 2024, we had 1,053 operational hotel rooms (excluding 245 hotel rooms related to unconsolidated JVs).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other hospitality operations increased $0.9 million, or 7.1%, during 2025, as compared to 2024. The increase was primarily due to our standalone restaurants and marina operations. Our other hospitality operations gross margin was 11.8% during 2025, compared to 15.7% during 2024. The decrease in gross margin was due to increased operational costs during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includes marina boat slip and dry storage rentals, as well as leases of other hospitality assets. Leasing revenue increased $0.4 million, or 11.4%, during 2025, as compared to 2024, primarily due to increased occupancy and rates at our marinas and other hospitality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Real estate revenue during 2025, includes the sale of a hospitality property for $1.4 million, resulting in a gross profit of $0.6 million (or gross margin of 42.9%).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professional fees, repairs and maintenance, and other administrative expenses. The increase of $0.4 million in other operating expenses during 2025, as compared to 2024, was primarily related to repair and maintenance and salaries and benefits expenses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increase of $1.5 million in depreciation, depletion and amortization expense during 2025, as compared to 2024, was primarily due to new assets placed in service, partially offset by assets sold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primarily includes interest incurred from our hospitality project financing. The decrease of $1.4 million in interest expense during 2025, as compared to 2024, was primarily due to repayment of project financing and a decrease in interest rates from the prior period. See Note 9. </w:t>
      </w:r>
      <w:r>
        <w:rPr>
          <w:rFonts w:ascii="Times New Roman;Times;serif" w:hAnsi="Times New Roman;Times;serif"/>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(expense), net during 2025 primarily includes a gain of $2.6 million on the sale of our N850J aircraft previously used in hospitality operations, partially offset by expense of $0.5 million for design costs for certain hospitality assets that we are no longer pursuing. Other income (expense), net during 2024 primarily includes net loss on disposal of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Commercial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consolidated results of operations of our commercial segment:</w:t>
      </w:r>
    </w:p>
    <w:tbl>
      <w:tblPr>
        <w:tblW w:w="7269" w:type="dxa"/>
        <w:jc w:val="left"/>
        <w:tblInd w:w="0" w:type="dxa"/>
        <w:tblLayout w:type="fixed"/>
        <w:tblCellMar>
          <w:top w:w="0" w:type="dxa"/>
          <w:left w:w="0" w:type="dxa"/>
          <w:bottom w:w="0" w:type="dxa"/>
          <w:right w:w="0" w:type="dxa"/>
        </w:tblCellMar>
      </w:tblPr>
      <w:tblGrid>
        <w:gridCol w:w="4141"/>
        <w:gridCol w:w="211"/>
        <w:gridCol w:w="586"/>
        <w:gridCol w:w="346"/>
        <w:gridCol w:w="211"/>
        <w:gridCol w:w="586"/>
        <w:gridCol w:w="346"/>
        <w:gridCol w:w="211"/>
        <w:gridCol w:w="631"/>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629535" cy="175260"/>
                      <wp:effectExtent l="0" t="0" r="0" b="0"/>
                      <wp:wrapNone/>
                      <wp:docPr id="250" name="Frame249"/>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1"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72110" cy="175260"/>
                      <wp:effectExtent l="0" t="0" r="0" b="0"/>
                      <wp:wrapNone/>
                      <wp:docPr id="252" name="Frame2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4"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72110" cy="175260"/>
                      <wp:effectExtent l="0" t="0" r="0" b="0"/>
                      <wp:wrapNone/>
                      <wp:docPr id="255" name="Frame25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57"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00685" cy="175260"/>
                      <wp:effectExtent l="0" t="0" r="0" b="0"/>
                      <wp:wrapNone/>
                      <wp:docPr id="258" name="Frame25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1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141"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6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left"/>
              <w:rPr/>
            </w:pPr>
            <w:r>
              <w:rPr/>
              <w:t>​</w:t>
            </w:r>
          </w:p>
        </w:tc>
        <w:tc>
          <w:tcPr>
            <w:tcW w:w="3128"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leasing revenue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 leasing revenue</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living leasing revenue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leasing revenue</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forestry real estate revenue</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revenue</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r>
      <w:tr>
        <w:trPr/>
        <w:tc>
          <w:tcPr>
            <w:tcW w:w="41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leasing revenue </w:t>
            </w:r>
            <w:r>
              <w:rPr>
                <w:rFonts w:ascii="Times New Roman;Times;serif" w:hAnsi="Times New Roman;Times;serif"/>
                <w:sz w:val="15"/>
              </w:rPr>
              <w:t>(a)</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41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revenue </w:t>
            </w:r>
            <w:r>
              <w:rPr>
                <w:rFonts w:ascii="Times New Roman;Times;serif" w:hAnsi="Times New Roman;Times;serif"/>
                <w:sz w:val="15"/>
              </w:rPr>
              <w:t>(a)</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41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operating expenses </w:t>
            </w:r>
            <w:r>
              <w:rPr>
                <w:rFonts w:ascii="Times New Roman;Times;serif" w:hAnsi="Times New Roman;Times;serif"/>
                <w:sz w:val="15"/>
              </w:rPr>
              <w:t>(a)</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  ​</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loss from unconsolidated joint ventures</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11.2</w:t>
            </w:r>
          </w:p>
        </w:tc>
      </w:tr>
    </w:tbl>
    <w:tbl>
      <w:tblPr>
        <w:tblW w:w="5867" w:type="dxa"/>
        <w:jc w:val="left"/>
        <w:tblInd w:w="0" w:type="dxa"/>
        <w:tblLayout w:type="fixed"/>
        <w:tblCellMar>
          <w:top w:w="0" w:type="dxa"/>
          <w:left w:w="0" w:type="dxa"/>
          <w:bottom w:w="0" w:type="dxa"/>
          <w:right w:w="0" w:type="dxa"/>
        </w:tblCellMar>
      </w:tblPr>
      <w:tblGrid>
        <w:gridCol w:w="316"/>
        <w:gridCol w:w="5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p>
      <w:pPr>
        <w:pStyle w:val="TextBody"/>
        <w:bidi w:val="0"/>
        <w:spacing w:before="0" w:after="0"/>
        <w:ind w:left="36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details of our commercial segment consolidated revenue and gross profit:</w:t>
      </w:r>
    </w:p>
    <w:tbl>
      <w:tblPr>
        <w:tblW w:w="10205" w:type="dxa"/>
        <w:jc w:val="left"/>
        <w:tblInd w:w="0" w:type="dxa"/>
        <w:tblLayout w:type="fixed"/>
        <w:tblCellMar>
          <w:top w:w="0" w:type="dxa"/>
          <w:left w:w="0" w:type="dxa"/>
          <w:bottom w:w="0" w:type="dxa"/>
          <w:right w:w="0" w:type="dxa"/>
        </w:tblCellMar>
      </w:tblPr>
      <w:tblGrid>
        <w:gridCol w:w="1785"/>
        <w:gridCol w:w="109"/>
        <w:gridCol w:w="212"/>
        <w:gridCol w:w="574"/>
        <w:gridCol w:w="109"/>
        <w:gridCol w:w="212"/>
        <w:gridCol w:w="468"/>
        <w:gridCol w:w="146"/>
        <w:gridCol w:w="649"/>
        <w:gridCol w:w="391"/>
        <w:gridCol w:w="109"/>
        <w:gridCol w:w="224"/>
        <w:gridCol w:w="497"/>
        <w:gridCol w:w="111"/>
        <w:gridCol w:w="215"/>
        <w:gridCol w:w="476"/>
        <w:gridCol w:w="149"/>
        <w:gridCol w:w="660"/>
        <w:gridCol w:w="316"/>
        <w:gridCol w:w="109"/>
        <w:gridCol w:w="224"/>
        <w:gridCol w:w="497"/>
        <w:gridCol w:w="111"/>
        <w:gridCol w:w="215"/>
        <w:gridCol w:w="476"/>
        <w:gridCol w:w="149"/>
        <w:gridCol w:w="660"/>
        <w:gridCol w:w="352"/>
      </w:tblGrid>
      <w:tr>
        <w:trPr/>
        <w:tc>
          <w:tcPr>
            <w:tcW w:w="17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r>
      <w:tr>
        <w:trPr/>
        <w:tc>
          <w:tcPr>
            <w:tcW w:w="17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7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c>
          <w:tcPr>
            <w:tcW w:w="31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center"/>
              <w:rPr/>
            </w:pPr>
            <w:r>
              <w:rPr/>
              <w:t>​</w:t>
            </w:r>
          </w:p>
        </w:tc>
        <w:tc>
          <w:tcPr>
            <w:tcW w:w="23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c>
          <w:tcPr>
            <w:tcW w:w="352" w:type="dxa"/>
            <w:tcBorders/>
            <w:vAlign w:val="center"/>
          </w:tcPr>
          <w:p>
            <w:pPr>
              <w:pStyle w:val="TableContents"/>
              <w:bidi w:val="0"/>
              <w:spacing w:before="0" w:after="0"/>
              <w:ind w:left="0" w:right="0" w:hanging="0"/>
              <w:jc w:val="left"/>
              <w:rPr/>
            </w:pPr>
            <w:r>
              <w:rPr/>
              <w:t> </w:t>
            </w:r>
          </w:p>
        </w:tc>
      </w:tr>
      <w:tr>
        <w:trPr/>
        <w:tc>
          <w:tcPr>
            <w:tcW w:w="17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2"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46"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4"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center"/>
              <w:rPr/>
            </w:pPr>
            <w:r>
              <w:rPr/>
              <w:t>​</w:t>
            </w:r>
          </w:p>
        </w:tc>
        <w:tc>
          <w:tcPr>
            <w:tcW w:w="111" w:type="dxa"/>
            <w:tcBorders/>
            <w:vAlign w:val="center"/>
          </w:tcPr>
          <w:p>
            <w:pPr>
              <w:pStyle w:val="TableContents"/>
              <w:bidi w:val="0"/>
              <w:spacing w:before="0" w:after="0"/>
              <w:ind w:left="0" w:right="0" w:hanging="0"/>
              <w:jc w:val="center"/>
              <w:rPr/>
            </w:pPr>
            <w:r>
              <w:rPr/>
              <w:t>​</w:t>
            </w:r>
          </w:p>
        </w:tc>
        <w:tc>
          <w:tcPr>
            <w:tcW w:w="6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49"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4"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center"/>
              <w:rPr/>
            </w:pPr>
            <w:r>
              <w:rPr/>
              <w:t>​</w:t>
            </w:r>
          </w:p>
        </w:tc>
        <w:tc>
          <w:tcPr>
            <w:tcW w:w="111" w:type="dxa"/>
            <w:tcBorders/>
            <w:vAlign w:val="center"/>
          </w:tcPr>
          <w:p>
            <w:pPr>
              <w:pStyle w:val="TableContents"/>
              <w:bidi w:val="0"/>
              <w:spacing w:before="0" w:after="0"/>
              <w:ind w:left="0" w:right="0" w:hanging="0"/>
              <w:jc w:val="center"/>
              <w:rPr/>
            </w:pPr>
            <w:r>
              <w:rPr/>
              <w:t>​</w:t>
            </w:r>
          </w:p>
        </w:tc>
        <w:tc>
          <w:tcPr>
            <w:tcW w:w="6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49"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52" w:type="dxa"/>
            <w:tcBorders/>
            <w:vAlign w:val="center"/>
          </w:tcPr>
          <w:p>
            <w:pPr>
              <w:pStyle w:val="TableContents"/>
              <w:bidi w:val="0"/>
              <w:spacing w:before="0" w:after="0"/>
              <w:ind w:left="0" w:right="0" w:hanging="0"/>
              <w:jc w:val="left"/>
              <w:rPr/>
            </w:pPr>
            <w:r>
              <w:rPr/>
              <w:t>​</w:t>
            </w:r>
          </w:p>
        </w:tc>
      </w:tr>
      <w:tr>
        <w:trPr/>
        <w:tc>
          <w:tcPr>
            <w:tcW w:w="17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09" w:type="dxa"/>
            <w:tcBorders/>
            <w:vAlign w:val="center"/>
          </w:tcPr>
          <w:p>
            <w:pPr>
              <w:pStyle w:val="TableContents"/>
              <w:bidi w:val="0"/>
              <w:spacing w:before="0" w:after="0"/>
              <w:ind w:left="0" w:right="0" w:hanging="0"/>
              <w:jc w:val="center"/>
              <w:rPr/>
            </w:pPr>
            <w:r>
              <w:rPr/>
              <w:t>​</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46" w:type="dxa"/>
            <w:tcBorders/>
            <w:vAlign w:val="center"/>
          </w:tcPr>
          <w:p>
            <w:pPr>
              <w:pStyle w:val="TableContents"/>
              <w:bidi w:val="0"/>
              <w:spacing w:before="0" w:after="0"/>
              <w:ind w:left="0" w:right="0" w:hanging="0"/>
              <w:jc w:val="center"/>
              <w:rPr/>
            </w:pPr>
            <w:r>
              <w:rPr/>
              <w:t>​</w:t>
            </w:r>
          </w:p>
        </w:tc>
        <w:tc>
          <w:tcPr>
            <w:tcW w:w="6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1" w:type="dxa"/>
            <w:tcBorders/>
            <w:vAlign w:val="center"/>
          </w:tcPr>
          <w:p>
            <w:pPr>
              <w:pStyle w:val="TableContents"/>
              <w:bidi w:val="0"/>
              <w:spacing w:before="0" w:after="0"/>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49" w:type="dxa"/>
            <w:tcBorders/>
            <w:vAlign w:val="center"/>
          </w:tcPr>
          <w:p>
            <w:pPr>
              <w:pStyle w:val="TableContents"/>
              <w:bidi w:val="0"/>
              <w:spacing w:before="0" w:after="0"/>
              <w:ind w:left="0" w:right="0" w:hanging="0"/>
              <w:jc w:val="center"/>
              <w:rPr/>
            </w:pPr>
            <w:r>
              <w:rPr/>
              <w:t>​</w:t>
            </w:r>
          </w:p>
        </w:tc>
        <w:tc>
          <w:tcPr>
            <w:tcW w:w="6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16" w:type="dxa"/>
            <w:tcBorders/>
            <w:vAlign w:val="center"/>
          </w:tcPr>
          <w:p>
            <w:pPr>
              <w:pStyle w:val="TableContents"/>
              <w:bidi w:val="0"/>
              <w:spacing w:before="0" w:after="0"/>
              <w:ind w:left="0" w:right="0" w:hanging="0"/>
              <w:jc w:val="left"/>
              <w:rPr/>
            </w:pPr>
            <w:r>
              <w:rPr/>
              <w:t xml:space="preserve">  </w:t>
            </w:r>
          </w:p>
        </w:tc>
        <w:tc>
          <w:tcPr>
            <w:tcW w:w="109" w:type="dxa"/>
            <w:tcBorders/>
            <w:vAlign w:val="center"/>
          </w:tcPr>
          <w:p>
            <w:pPr>
              <w:pStyle w:val="TableContents"/>
              <w:bidi w:val="0"/>
              <w:spacing w:before="0" w:after="0"/>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1" w:type="dxa"/>
            <w:tcBorders/>
            <w:vAlign w:val="center"/>
          </w:tcPr>
          <w:p>
            <w:pPr>
              <w:pStyle w:val="TableContents"/>
              <w:bidi w:val="0"/>
              <w:spacing w:before="0" w:after="0"/>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49" w:type="dxa"/>
            <w:tcBorders/>
            <w:vAlign w:val="center"/>
          </w:tcPr>
          <w:p>
            <w:pPr>
              <w:pStyle w:val="TableContents"/>
              <w:bidi w:val="0"/>
              <w:spacing w:before="0" w:after="0"/>
              <w:ind w:left="0" w:right="0" w:hanging="0"/>
              <w:jc w:val="center"/>
              <w:rPr/>
            </w:pPr>
            <w:r>
              <w:rPr/>
              <w:t>​</w:t>
            </w:r>
          </w:p>
        </w:tc>
        <w:tc>
          <w:tcPr>
            <w:tcW w:w="6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52" w:type="dxa"/>
            <w:tcBorders/>
            <w:vAlign w:val="center"/>
          </w:tcPr>
          <w:p>
            <w:pPr>
              <w:pStyle w:val="TableContents"/>
              <w:bidi w:val="0"/>
              <w:spacing w:before="0" w:after="0"/>
              <w:ind w:left="0" w:right="0" w:hanging="0"/>
              <w:jc w:val="left"/>
              <w:rPr/>
            </w:pPr>
            <w:r>
              <w:rPr/>
              <w:t> </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7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959" w:type="dxa"/>
            <w:gridSpan w:val="2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52" w:type="dxa"/>
            <w:tcBorders/>
            <w:vAlign w:val="center"/>
          </w:tcPr>
          <w:p>
            <w:pPr>
              <w:pStyle w:val="TableContents"/>
              <w:bidi w:val="0"/>
              <w:spacing w:before="0" w:after="0"/>
              <w:ind w:left="0" w:right="0" w:hanging="0"/>
              <w:jc w:val="left"/>
              <w:rPr/>
            </w:pPr>
            <w:r>
              <w:rPr/>
              <w:t>​</w:t>
            </w:r>
          </w:p>
        </w:tc>
      </w:tr>
      <w:tr>
        <w:trPr/>
        <w:tc>
          <w:tcPr>
            <w:tcW w:w="17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w:t>
            </w:r>
          </w:p>
        </w:tc>
        <w:tc>
          <w:tcPr>
            <w:tcW w:w="109" w:type="dxa"/>
            <w:tcBorders/>
            <w:shd w:fill="CCEEFF" w:val="clear"/>
            <w:vAlign w:val="center"/>
          </w:tcPr>
          <w:p>
            <w:pPr>
              <w:pStyle w:val="TableContents"/>
              <w:bidi w:val="0"/>
              <w:spacing w:before="0" w:after="0"/>
              <w:ind w:left="0" w:right="0" w:hanging="0"/>
              <w:jc w:val="center"/>
              <w:rPr/>
            </w:pPr>
            <w:r>
              <w:rPr/>
              <w:t>​</w:t>
            </w:r>
          </w:p>
        </w:tc>
        <w:tc>
          <w:tcPr>
            <w:tcW w:w="212" w:type="dxa"/>
            <w:tcBorders/>
            <w:shd w:fill="CCEEFF" w:val="clear"/>
            <w:vAlign w:val="center"/>
          </w:tcPr>
          <w:p>
            <w:pPr>
              <w:pStyle w:val="TableContents"/>
              <w:bidi w:val="0"/>
              <w:spacing w:before="0" w:after="0"/>
              <w:ind w:left="0" w:right="0" w:hanging="0"/>
              <w:jc w:val="center"/>
              <w:rPr/>
            </w:pPr>
            <w:r>
              <w:rPr/>
              <w:t>​</w:t>
            </w:r>
          </w:p>
        </w:tc>
        <w:tc>
          <w:tcPr>
            <w:tcW w:w="57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2" w:type="dxa"/>
            <w:tcBorders/>
            <w:shd w:fill="CCEEFF" w:val="clear"/>
            <w:vAlign w:val="center"/>
          </w:tcPr>
          <w:p>
            <w:pPr>
              <w:pStyle w:val="TableContents"/>
              <w:bidi w:val="0"/>
              <w:spacing w:before="0" w:after="0"/>
              <w:ind w:left="0" w:right="0" w:hanging="0"/>
              <w:jc w:val="center"/>
              <w:rPr/>
            </w:pPr>
            <w:r>
              <w:rPr/>
              <w:t>​</w:t>
            </w:r>
          </w:p>
        </w:tc>
        <w:tc>
          <w:tcPr>
            <w:tcW w:w="468"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center"/>
              <w:rPr/>
            </w:pPr>
            <w:r>
              <w:rPr/>
              <w:t>​</w:t>
            </w:r>
          </w:p>
        </w:tc>
        <w:tc>
          <w:tcPr>
            <w:tcW w:w="649"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497" w:type="dxa"/>
            <w:tcBorders/>
            <w:shd w:fill="CCEEFF" w:val="clear"/>
            <w:vAlign w:val="center"/>
          </w:tcPr>
          <w:p>
            <w:pPr>
              <w:pStyle w:val="TableContents"/>
              <w:bidi w:val="0"/>
              <w:spacing w:before="0" w:after="0"/>
              <w:ind w:left="0" w:right="0" w:hanging="0"/>
              <w:jc w:val="center"/>
              <w:rPr/>
            </w:pPr>
            <w:r>
              <w:rPr/>
              <w:t>​</w:t>
            </w:r>
          </w:p>
        </w:tc>
        <w:tc>
          <w:tcPr>
            <w:tcW w:w="111"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76" w:type="dxa"/>
            <w:tcBorders/>
            <w:shd w:fill="CCEEFF" w:val="clear"/>
            <w:vAlign w:val="center"/>
          </w:tcPr>
          <w:p>
            <w:pPr>
              <w:pStyle w:val="TableContents"/>
              <w:bidi w:val="0"/>
              <w:spacing w:before="0" w:after="0"/>
              <w:ind w:left="0" w:right="0" w:hanging="0"/>
              <w:jc w:val="center"/>
              <w:rPr/>
            </w:pPr>
            <w:r>
              <w:rPr/>
              <w:t>​</w:t>
            </w:r>
          </w:p>
        </w:tc>
        <w:tc>
          <w:tcPr>
            <w:tcW w:w="149" w:type="dxa"/>
            <w:tcBorders/>
            <w:shd w:fill="CCEEFF" w:val="clear"/>
            <w:vAlign w:val="center"/>
          </w:tcPr>
          <w:p>
            <w:pPr>
              <w:pStyle w:val="TableContents"/>
              <w:bidi w:val="0"/>
              <w:spacing w:before="0" w:after="0"/>
              <w:ind w:left="0" w:right="0" w:hanging="0"/>
              <w:jc w:val="center"/>
              <w:rPr/>
            </w:pPr>
            <w:r>
              <w:rPr/>
              <w:t>​</w:t>
            </w:r>
          </w:p>
        </w:tc>
        <w:tc>
          <w:tcPr>
            <w:tcW w:w="660"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497" w:type="dxa"/>
            <w:tcBorders/>
            <w:shd w:fill="CCEEFF" w:val="clear"/>
            <w:vAlign w:val="center"/>
          </w:tcPr>
          <w:p>
            <w:pPr>
              <w:pStyle w:val="TableContents"/>
              <w:bidi w:val="0"/>
              <w:spacing w:before="0" w:after="0"/>
              <w:ind w:left="0" w:right="0" w:hanging="0"/>
              <w:jc w:val="center"/>
              <w:rPr/>
            </w:pPr>
            <w:r>
              <w:rPr/>
              <w:t>​</w:t>
            </w:r>
          </w:p>
        </w:tc>
        <w:tc>
          <w:tcPr>
            <w:tcW w:w="111"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76" w:type="dxa"/>
            <w:tcBorders/>
            <w:shd w:fill="CCEEFF" w:val="clear"/>
            <w:vAlign w:val="center"/>
          </w:tcPr>
          <w:p>
            <w:pPr>
              <w:pStyle w:val="TableContents"/>
              <w:bidi w:val="0"/>
              <w:spacing w:before="0" w:after="0"/>
              <w:ind w:left="0" w:right="0" w:hanging="0"/>
              <w:jc w:val="center"/>
              <w:rPr/>
            </w:pPr>
            <w:r>
              <w:rPr/>
              <w:t>​</w:t>
            </w:r>
          </w:p>
        </w:tc>
        <w:tc>
          <w:tcPr>
            <w:tcW w:w="149" w:type="dxa"/>
            <w:tcBorders/>
            <w:shd w:fill="CCEEFF" w:val="clear"/>
            <w:vAlign w:val="center"/>
          </w:tcPr>
          <w:p>
            <w:pPr>
              <w:pStyle w:val="TableContents"/>
              <w:bidi w:val="0"/>
              <w:spacing w:before="0" w:after="0"/>
              <w:ind w:left="0" w:right="0" w:hanging="0"/>
              <w:jc w:val="center"/>
              <w:rPr/>
            </w:pPr>
            <w:r>
              <w:rPr/>
              <w:t>​</w:t>
            </w:r>
          </w:p>
        </w:tc>
        <w:tc>
          <w:tcPr>
            <w:tcW w:w="660"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r>
      <w:tr>
        <w:trPr/>
        <w:tc>
          <w:tcPr>
            <w:tcW w:w="1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leasing</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146"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49"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49"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 leasing</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146" w:type="dxa"/>
            <w:tcBorders/>
            <w:shd w:fill="CCEEFF" w:val="clear"/>
            <w:vAlign w:val="center"/>
          </w:tcPr>
          <w:p>
            <w:pPr>
              <w:pStyle w:val="TableContents"/>
              <w:bidi w:val="0"/>
              <w:spacing w:before="0" w:after="0"/>
              <w:ind w:left="0" w:right="0" w:hanging="0"/>
              <w:jc w:val="left"/>
              <w:rPr/>
            </w:pPr>
            <w:r>
              <w:rPr/>
              <w:t> </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149"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49"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living leasing</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46"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49"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49"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leasing</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146" w:type="dxa"/>
            <w:tcBorders/>
            <w:shd w:fill="CCEEFF" w:val="clear"/>
            <w:vAlign w:val="center"/>
          </w:tcPr>
          <w:p>
            <w:pPr>
              <w:pStyle w:val="TableContents"/>
              <w:bidi w:val="0"/>
              <w:spacing w:before="0" w:after="0"/>
              <w:ind w:left="0" w:right="0" w:hanging="0"/>
              <w:jc w:val="left"/>
              <w:rPr/>
            </w:pPr>
            <w:r>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149"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149"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right"/>
              <w:rPr/>
            </w:pPr>
            <w:r>
              <w:rPr/>
              <w:t>​</w:t>
            </w:r>
          </w:p>
        </w:tc>
        <w:tc>
          <w:tcPr>
            <w:tcW w:w="149"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right"/>
              <w:rPr/>
            </w:pPr>
            <w:r>
              <w:rPr/>
              <w:t>​</w:t>
            </w:r>
          </w:p>
        </w:tc>
        <w:tc>
          <w:tcPr>
            <w:tcW w:w="149"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r>
      <w:tr>
        <w:trPr/>
        <w:tc>
          <w:tcPr>
            <w:tcW w:w="17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forestry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146" w:type="dxa"/>
            <w:tcBorders/>
            <w:shd w:fill="CCEEFF" w:val="clear"/>
            <w:vAlign w:val="center"/>
          </w:tcPr>
          <w:p>
            <w:pPr>
              <w:pStyle w:val="TableContents"/>
              <w:bidi w:val="0"/>
              <w:spacing w:before="0" w:after="0"/>
              <w:ind w:left="0" w:right="0" w:hanging="0"/>
              <w:jc w:val="left"/>
              <w:rPr/>
            </w:pPr>
            <w:r>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49"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149"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Timber</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46"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49"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49"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146" w:type="dxa"/>
            <w:tcBorders/>
            <w:shd w:fill="CCEEFF" w:val="clear"/>
            <w:vAlign w:val="center"/>
          </w:tcPr>
          <w:p>
            <w:pPr>
              <w:pStyle w:val="TableContents"/>
              <w:bidi w:val="0"/>
              <w:spacing w:before="0" w:after="0"/>
              <w:ind w:left="0" w:right="0" w:hanging="0"/>
              <w:jc w:val="left"/>
              <w:rPr/>
            </w:pPr>
            <w:r>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149"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149"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119.0</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68.8</w:t>
            </w:r>
          </w:p>
        </w:tc>
        <w:tc>
          <w:tcPr>
            <w:tcW w:w="146"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57.8</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78.6</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47.0</w:t>
            </w:r>
          </w:p>
        </w:tc>
        <w:tc>
          <w:tcPr>
            <w:tcW w:w="149"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59.8</w:t>
            </w:r>
          </w:p>
        </w:tc>
        <w:tc>
          <w:tcPr>
            <w:tcW w:w="3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74.4</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w:t>
            </w:r>
          </w:p>
        </w:tc>
        <w:tc>
          <w:tcPr>
            <w:tcW w:w="149"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59.3</w:t>
            </w:r>
          </w:p>
        </w:tc>
        <w:tc>
          <w:tcPr>
            <w:tcW w:w="35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Year Ended December 31, 2025 Compared to Year Ended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commercial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Total leasing revenue increased $2.7 million, or 4.8% during 2025, as compared to 2024. The increase was primarily due to additional commercial property and multi-family leases, partially offset by a decrease for assets sold during the current period. Total leasing gross margin during 2025 increased to 57.0%, as compared to 54.1% during 2024. The increase in leasing gross margin was primarily due to additional leases in the current period and the sale of the Watercrest JV’s senior living community property in September 2025, which operated with lower margins. As of December 31, 2025, we had net leasable square feet of approximately 1,174,000, of which approximately 1,133,000 square feet were under lease. As of December 31, 2024, we had net leasable square feet of approximately 1,182,000, of which approximately 1,126,000 square feet were under lease. As of December 31, 2025 and 2024, our consolidated entities had 1,104 and 1,235, respectively, multi-family and senior living units completed, of which 988 and 1,064, respectively, were leased (excludes 148 senior living units related to the unconsolidated Watersound Fountains Independent Living JV). The number of multi-family and senior living units decreased during 2025, due to the Watercrest JV’s senior living community property, which was sold and ceased operating activities, and the sale of 24 townhomes in the Watersound Villas on the Fairway community.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Commercial and forestry real estate revenue related to sales during the three years ended December 31, 2025 includes the following:</w:t>
      </w:r>
    </w:p>
    <w:tbl>
      <w:tblPr>
        <w:tblW w:w="7181" w:type="dxa"/>
        <w:jc w:val="left"/>
        <w:tblInd w:w="0" w:type="dxa"/>
        <w:tblLayout w:type="fixed"/>
        <w:tblCellMar>
          <w:top w:w="0" w:type="dxa"/>
          <w:left w:w="0" w:type="dxa"/>
          <w:bottom w:w="0" w:type="dxa"/>
          <w:right w:w="0" w:type="dxa"/>
        </w:tblCellMar>
      </w:tblPr>
      <w:tblGrid>
        <w:gridCol w:w="736"/>
        <w:gridCol w:w="346"/>
        <w:gridCol w:w="886"/>
        <w:gridCol w:w="346"/>
        <w:gridCol w:w="871"/>
        <w:gridCol w:w="346"/>
        <w:gridCol w:w="242"/>
        <w:gridCol w:w="899"/>
        <w:gridCol w:w="346"/>
        <w:gridCol w:w="224"/>
        <w:gridCol w:w="497"/>
        <w:gridCol w:w="346"/>
        <w:gridCol w:w="295"/>
        <w:gridCol w:w="801"/>
      </w:tblGrid>
      <w:tr>
        <w:trPr/>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67360" cy="175260"/>
                      <wp:effectExtent l="0" t="0" r="0" b="0"/>
                      <wp:wrapNone/>
                      <wp:docPr id="259" name="Frame25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62610" cy="175260"/>
                      <wp:effectExtent l="0" t="0" r="0" b="0"/>
                      <wp:wrapNone/>
                      <wp:docPr id="261" name="Frame2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2"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53085" cy="175260"/>
                      <wp:effectExtent l="0" t="0" r="0" b="0"/>
                      <wp:wrapNone/>
                      <wp:docPr id="263" name="Frame26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4"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53670" cy="175260"/>
                      <wp:effectExtent l="0" t="0" r="0" b="0"/>
                      <wp:wrapNone/>
                      <wp:docPr id="265" name="Frame26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70865" cy="175260"/>
                      <wp:effectExtent l="0" t="0" r="0" b="0"/>
                      <wp:wrapNone/>
                      <wp:docPr id="266" name="Frame265"/>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67"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2240" cy="175260"/>
                      <wp:effectExtent l="0" t="0" r="0" b="0"/>
                      <wp:wrapNone/>
                      <wp:docPr id="268" name="Frame26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15595" cy="175260"/>
                      <wp:effectExtent l="0" t="0" r="0" b="0"/>
                      <wp:wrapNone/>
                      <wp:docPr id="269" name="Frame268"/>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0"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87325" cy="175260"/>
                      <wp:effectExtent l="0" t="0" r="0" b="0"/>
                      <wp:wrapNone/>
                      <wp:docPr id="271" name="Frame27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08635" cy="175260"/>
                      <wp:effectExtent l="0" t="0" r="0" b="0"/>
                      <wp:wrapNone/>
                      <wp:docPr id="272" name="Frame271"/>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center"/>
              <w:rPr/>
            </w:pPr>
            <w:r>
              <w:rPr/>
              <w:t>​</w:t>
            </w:r>
          </w:p>
        </w:tc>
        <w:tc>
          <w:tcPr>
            <w:tcW w:w="224" w:type="dxa"/>
            <w:tcBorders/>
            <w:vAlign w:val="center"/>
          </w:tcPr>
          <w:p>
            <w:pPr>
              <w:pStyle w:val="TableContents"/>
              <w:bidi w:val="0"/>
              <w:spacing w:before="0" w:after="0"/>
              <w:ind w:left="0" w:right="0" w:hanging="0"/>
              <w:jc w:val="center"/>
              <w:rPr/>
            </w:pPr>
            <w:r>
              <w:rPr/>
              <w:t>​</w:t>
            </w:r>
          </w:p>
        </w:tc>
        <w:tc>
          <w:tcPr>
            <w:tcW w:w="49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Profit </w:t>
            </w:r>
          </w:p>
        </w:tc>
      </w:tr>
      <w:tr>
        <w:trPr/>
        <w:tc>
          <w:tcPr>
            <w:tcW w:w="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Acres Sold</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Acre</w:t>
            </w:r>
          </w:p>
        </w:tc>
        <w:tc>
          <w:tcPr>
            <w:tcW w:w="346" w:type="dxa"/>
            <w:tcBorders/>
            <w:vAlign w:val="center"/>
          </w:tcPr>
          <w:p>
            <w:pPr>
              <w:pStyle w:val="TableContents"/>
              <w:bidi w:val="0"/>
              <w:spacing w:before="0" w:after="0"/>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Sales</w:t>
            </w:r>
          </w:p>
        </w:tc>
      </w:tr>
      <w:tr>
        <w:trPr/>
        <w:tc>
          <w:tcPr>
            <w:tcW w:w="7181"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650"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 (except for average price per acre)</w:t>
            </w:r>
          </w:p>
        </w:tc>
      </w:tr>
      <w:tr>
        <w:trPr/>
        <w:tc>
          <w:tcPr>
            <w:tcW w:w="7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2025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  ​ ​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 ​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46" w:type="dxa"/>
            <w:tcBorders/>
            <w:shd w:fill="CCEEFF" w:val="clear"/>
            <w:vAlign w:val="center"/>
          </w:tcPr>
          <w:p>
            <w:pPr>
              <w:pStyle w:val="TableContents"/>
              <w:bidi w:val="0"/>
              <w:spacing w:before="0" w:after="0"/>
              <w:ind w:left="0" w:right="0" w:hanging="0"/>
              <w:jc w:val="left"/>
              <w:rPr/>
            </w:pPr>
            <w:r>
              <w:rPr/>
              <w:t>  ​ ​ ​</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158,689</w:t>
            </w:r>
          </w:p>
        </w:tc>
        <w:tc>
          <w:tcPr>
            <w:tcW w:w="346" w:type="dxa"/>
            <w:tcBorders/>
            <w:shd w:fill="CCEEFF" w:val="clear"/>
            <w:vAlign w:val="center"/>
          </w:tcPr>
          <w:p>
            <w:pPr>
              <w:pStyle w:val="TableContents"/>
              <w:bidi w:val="0"/>
              <w:spacing w:before="0" w:after="0"/>
              <w:ind w:left="0" w:right="0" w:hanging="0"/>
              <w:jc w:val="left"/>
              <w:rPr/>
            </w:pPr>
            <w:r>
              <w:rPr/>
              <w:t>  ​ ​ ​</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shd w:fill="CCEEFF" w:val="clear"/>
            <w:vAlign w:val="center"/>
          </w:tcPr>
          <w:p>
            <w:pPr>
              <w:pStyle w:val="TableContents"/>
              <w:bidi w:val="0"/>
              <w:spacing w:before="0" w:after="0"/>
              <w:ind w:left="0" w:right="0" w:hanging="0"/>
              <w:jc w:val="left"/>
              <w:rPr/>
            </w:pPr>
            <w:r>
              <w:rPr/>
              <w:t>  ​ ​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 ​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46" w:type="dxa"/>
            <w:tcBorders/>
            <w:vAlign w:val="center"/>
          </w:tcPr>
          <w:p>
            <w:pPr>
              <w:pStyle w:val="TableContents"/>
              <w:bidi w:val="0"/>
              <w:spacing w:before="0" w:after="0"/>
              <w:ind w:left="0" w:right="0" w:hanging="0"/>
              <w:jc w:val="left"/>
              <w:rPr/>
            </w:pPr>
            <w:r>
              <w:rPr/>
              <w:t>  ​ ​ ​</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28,391</w:t>
            </w:r>
          </w:p>
        </w:tc>
        <w:tc>
          <w:tcPr>
            <w:tcW w:w="346" w:type="dxa"/>
            <w:tcBorders/>
            <w:vAlign w:val="center"/>
          </w:tcPr>
          <w:p>
            <w:pPr>
              <w:pStyle w:val="TableContents"/>
              <w:bidi w:val="0"/>
              <w:spacing w:before="0" w:after="0"/>
              <w:ind w:left="0" w:right="0" w:hanging="0"/>
              <w:jc w:val="left"/>
              <w:rPr/>
            </w:pPr>
            <w:r>
              <w:rPr/>
              <w:t>  ​ ​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  ​ ​ ​</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  ​ ​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46" w:type="dxa"/>
            <w:tcBorders/>
            <w:shd w:fill="CCEEFF" w:val="clear"/>
            <w:vAlign w:val="center"/>
          </w:tcPr>
          <w:p>
            <w:pPr>
              <w:pStyle w:val="TableContents"/>
              <w:bidi w:val="0"/>
              <w:spacing w:before="0" w:after="0"/>
              <w:ind w:left="0" w:right="0" w:hanging="0"/>
              <w:jc w:val="left"/>
              <w:rPr/>
            </w:pPr>
            <w:r>
              <w:rPr/>
              <w:t>  ​ ​ ​</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44,304</w:t>
            </w:r>
          </w:p>
        </w:tc>
        <w:tc>
          <w:tcPr>
            <w:tcW w:w="346" w:type="dxa"/>
            <w:tcBorders/>
            <w:shd w:fill="CCEEFF" w:val="clear"/>
            <w:vAlign w:val="center"/>
          </w:tcPr>
          <w:p>
            <w:pPr>
              <w:pStyle w:val="TableContents"/>
              <w:bidi w:val="0"/>
              <w:spacing w:before="0" w:after="0"/>
              <w:ind w:left="0" w:right="0" w:hanging="0"/>
              <w:jc w:val="left"/>
              <w:rPr/>
            </w:pPr>
            <w:r>
              <w:rPr/>
              <w:t>  ​ ​ ​</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0"/>
              <w:ind w:left="0" w:right="0" w:hanging="0"/>
              <w:jc w:val="left"/>
              <w:rPr/>
            </w:pPr>
            <w:r>
              <w:rPr/>
              <w:t>  ​ ​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14.5</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the sale of the Watercrest JV’s senior living community property for $41.0 million, resulting in a gross margin of approximately 47.2%.</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Commercial and forestry real estate revenue can vary depending on the proximity to developed areas and the mix and characteristics of commercial and forestry real estate sold in each period, with varying compositions of retail, office, industrial, timber and other commercial uses. During 2025, we had fifteen commercial and forestry real estate sales of approximately 351 acres for $55.7 million, resulting in a gross margin of approximately 56.9%. The year ended December 31, 2025, included the sale of the Watercrest JV’s senior living community property for $41.0 million, resulting in a gross margin of approximately 47.2%.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 During 2024, we had eleven commercial and forestry real estate sales of approximately 634 acres for $18.0 million, resulting in a gross margin of approximately 72.8%.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Timber revenue was $4.2 million during each of 2025 and 2024. There were 246,000 tons of wood products sold during 2025, as compared to 256,000 tons of wood products sold during 2024. The average price of wood products sold increased to $16.02 per ton during 2025, as compared to $14.56 per ton during 2024. Timber gross margin was 81.0% during both 2025 and 2024.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property taxes, CDD assessments, professional fees, marketing, project administration and other administrative expenses. The increase of $0.8 million in other operating expenses during 2025, as compared to 2024, was primarily related to property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decrease of $0.4 million in depreciation, depletion and amortization expense during 2025, as compared to 2024, was primarily due to assets sold, partially offset by new assets placed in service in the current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primarily includes interest incurred from our commercial project financing and CDD debt. The decrease of $1.7 million in interest expense during 2025, as compared to 2024, was primarily due to repayment of project financing and a decrease in interest rates from the prior period. See Note 9. </w:t>
      </w:r>
      <w:r>
        <w:rPr>
          <w:rFonts w:ascii="Times New Roman;Times;serif" w:hAnsi="Times New Roman;Times;serif"/>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loss from unconsolidated joint ventures includes our proportionate share of earnings or losses of unconsolidated JVs accounted for using the equity method. Equity in loss from unconsolidated joint ventures was $6.6 million during 2025, as compared to $5.7 million in 2024. Equity in loss from unconsolidated joint ventures during 2025 includes start-up, depreciation and interest expenses related to the Pier Park RI JV, which opened a 121-room hotel in April 2024. Equity in loss from unconsolidated joint ventures during 2025 and 2024, also includes lease-up, depreciation and interest expenses related to the Watersound Fountains Independent Living JV, which opened a 148-unit independent senior living community in March 2024 and is currently under lease-up. See Note 4. </w:t>
      </w:r>
      <w:r>
        <w:rPr>
          <w:rFonts w:ascii="Times New Roman;Times;serif" w:hAnsi="Times New Roman;Times;serif"/>
          <w:i/>
          <w:sz w:val="20"/>
        </w:rPr>
        <w:t xml:space="preserve">Joint Ventures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(expense) income, net during 2025 primarily includes loss on early extinguishment of debt related to the payoff of the Watercrest JV Loan, as well as fees related to other loans. See Note 9. </w:t>
      </w:r>
      <w:r>
        <w:rPr>
          <w:rFonts w:ascii="Times New Roman;Times;serif" w:hAnsi="Times New Roman;Times;serif"/>
          <w:i/>
          <w:sz w:val="20"/>
        </w:rPr>
        <w:t xml:space="preserve">Debt </w:t>
      </w:r>
      <w:r>
        <w:rPr>
          <w:rFonts w:ascii="Times New Roman;Times;serif" w:hAnsi="Times New Roman;Times;serif"/>
          <w:sz w:val="20"/>
        </w:rPr>
        <w:t>included in Item 15 of this Form 10-K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we had cash and cash equivalents of $129.6 million, compared to $88.8 million as of December 31, 2024</w:t>
      </w:r>
      <w:r>
        <w:rPr>
          <w:rFonts w:ascii="Times New Roman;Times;serif" w:hAnsi="Times New Roman;Times;serif"/>
          <w:spacing w:val="-2"/>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believe that our current cash position, financing arrangements and cash generated from operations will provide us with sufficient liquidity to satisfy our anticipated working capital needs, expected capital expenditures, principal and interest payments on our long-term debt, authorized stock repurchases and authorized dividends for the next twelve months. See Part I. Item 1A.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2025, we invested a total of $108.1 million in capital expenditures, which includes $77.9 million for our residential segment, $8.9 million for our hospitality segment, $18.6 million for our commercial segment and $2.7 million for corporate and other expenditures. The $108.1 million in capital expenditures included $103.8 million for development or for new operating assets and $4.3 million for sustaining capital on existing operating properties. We anticipate that future capital commitments will be funded through cash generated from operations, cash and cash equivalents on hand and new financing arrangements. As of December 31, 2025, we had a total of $32.1 million primarily in construction and development related contractual obligations. Capital expenditures and contractual obligations exclude amounts related to unconsolidated JVs. See Note 4. </w:t>
      </w:r>
      <w:r>
        <w:rPr>
          <w:rFonts w:ascii="Times New Roman;Times;serif" w:hAnsi="Times New Roman;Times;serif"/>
          <w:i/>
          <w:sz w:val="20"/>
        </w:rPr>
        <w:t>Joint Ventures</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and 2024, we had various loans outstanding totaling $396.0 million and $442.7 million, respectively, with maturities from April 2027 through March 2064. As of December 31, 2025, the weighted average effective interest rate of total outstanding debt was 4.8%, of which 80.8% includes fixed or swapped interest rates, and the average remaining life was 19.6 years. As of December 31, 2025, the weighted average rate on our variable rate loans, excluding the swapped portion, was 5.9%.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indebtedness consists of various loans on real and leasehold property. These loans are typically secured by various interests in the property such as assignment of rents, leases, deposits, permits, plans, specifications, fees, agreements, approvals, contracts, licenses, construction contracts, development contracts, service contracts, franchise agreements, the borrower’s assets, improvements, and security interests in the rents, personal property, management agreements, construction agreements, improvements, accounts, profits, leases and fixtures (collectively, “Security Interests”). The specific Security Interests vary from loan to loan.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2015, the Pier Park North JV (the “Pier Park North JV”) entered into a $48.2 million loan (the “PPN JV Loan”). In September 2025, the PPN JV Loan was refinanced, which increased the principal amount of the loan from $39.5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million to $40.0 million and fixed the interest rate to 6.1%. The refinanced loan provides for monthly payments of principal and interest, with a final ballon payment at maturity in October 2035. As of December 31, 2025 and 2024, $39.9 million and $40.4 million, respectively, was outstanding on the PPN JV Loan. The loan may not be prepaid prior to October 2029. Commencing in October 2029 through May 2035, any principal prepaid is subject to a prepayment fee equal to the greater of (i) a prepayment ratio, as outlined in the loan agreement, or (ii) 1% of the amount prepaid. From June 2035 through maturity, the loan may be prepaid without a prepayment fee upon prior written notice. In connection with the loan, we entered into a limited guarantee in favor of the lender with respect to environmental indemnity matters and specified non-recourse carveouts outlined in the loan agreement. We incurred $0.3 million in loan costs due to the refinance.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2018, </w:t>
      </w:r>
      <w:r>
        <w:rPr>
          <w:rFonts w:ascii="TimesNewRomanPSMT" w:hAnsi="TimesNewRomanPSMT"/>
          <w:sz w:val="20"/>
        </w:rPr>
        <w:t>Pier Park Crossings LLC (</w:t>
      </w:r>
      <w:r>
        <w:rPr>
          <w:rFonts w:ascii="Times New Roman;Times;serif" w:hAnsi="Times New Roman;Times;serif"/>
          <w:sz w:val="20"/>
        </w:rPr>
        <w:t xml:space="preserve">the “Pier Park Crossings JV”) entered into a $36.6 million loan, insured by the U.S. Department of Housing and Urban Development (“HUD”), as amended, (the “PPC JV Loan”). As of December 31, 2025 and 2024, $33.6 million and $34.2 million, respectively, was outstanding on the PPC JV Loan. The loan bears interest at a rate of 3.1% and matures in June 2060. The loan includes a prepayment premium due to the lender of 2% - 7% for any additional principal that is prepaid through August 2031.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w:t>
      </w:r>
      <w:r>
        <w:rPr>
          <w:rFonts w:ascii="Times New Roman;Times;serif" w:hAnsi="Times New Roman;Times;serif"/>
          <w:i/>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2019, a wholly-owned subsidiary of ours entered into a $5.5 million loan, which is guaranteed by us (the “Beckrich Building III Loan”). As of December 31, 2025 and 2024, $1.1 million and $5.0 million, respectively, was outstanding on the Beckrich Building III Loan. The loan bears interest at a rate of SOFR plus 1.8% and matures in August 2029.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 In January 2026, the loan was paid in full.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a wholly-owned subsidiary of ours entered into a $15.3 million loan, which is guaranteed by us (the “Airport Hotel Loan”). As of December 31, 2025 and 2024, $3.2 million and $11.7 million, respectively, was outstanding on the Airport Hotel Loan. The loan bears interest at SOFR plus 2.1%, with a floor of 3.0%. In February 2025, the Airport Hotel Loan maturity date was extended from March 2025 to February 2030. We incurred less than $0.1 million of additional loan costs due to the modification.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w:t>
      </w:r>
      <w:r>
        <w:rPr>
          <w:rFonts w:ascii="TimesNewRomanPSMT" w:hAnsi="TimesNewRomanPSMT"/>
          <w:sz w:val="20"/>
        </w:rPr>
        <w:t>Pier Park Resort Hotel, LLC</w:t>
      </w:r>
      <w:r>
        <w:rPr>
          <w:rFonts w:ascii="Times New Roman;Times;serif" w:hAnsi="Times New Roman;Times;serif"/>
          <w:sz w:val="20"/>
        </w:rPr>
        <w:t xml:space="preserve"> (the “Pier Park Resort Hotel JV”) entered into a loan with an initial amount of $52.5 million up to a maximum of $60.0 million through additional earn-out requests (the “Pier Park Resort Hotel JV Loan”). As of December 31, 2025 and 2024, $49.8 million and $50.9 million, respectively, was outstanding on the Pier Park Resort Hotel JV Loan. The loan matures in April 2027 and bears interest at a rate of SOFR plus 2.1%. The loan is secured by the real property and certain other Security Interests. In connection with the loan, as guarantors, we and our JV partner entered into a guarantee based on each partner’s ownership interest in favor of the lender, to guarantee the payment and performance of the borrower. As guarantor, our liability under the loan can be released upon reaching and maintaining certain debt service coverage.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amortizing to $38.7 million at swap maturity, to a rate of 3.2%.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and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a wholly-owned subsidiary of ours entered into a $16.8 million loan, which is guaranteed by us (the “Breakfast Point Hotel Loan”). As of December 31, 2025 and 2024, $15.0 million and $15.5 million, respectively, was outstanding on the Breakfast Point Hotel Loan. The loan matures in November 2042 and bears interest at a rate of 6.0% through November 2027 and the 1-year constant maturity Treasury rate plus 3.3% from December 2027 through November 2042, with a minimum rate of 6.0% throughout the term of the loan. The loan includes a prepayment premium due to the lender of 1% of the outstanding principal balance for any additional principal that is prepaid through November 2027.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w:t>
      </w:r>
      <w:r>
        <w:rPr>
          <w:rFonts w:ascii="TimesNewRomanPSMT" w:hAnsi="TimesNewRomanPSMT"/>
          <w:sz w:val="20"/>
        </w:rPr>
        <w:t>30A Greenway Hotel, LLC</w:t>
      </w:r>
      <w:r>
        <w:rPr>
          <w:rFonts w:ascii="Times New Roman;Times;serif" w:hAnsi="Times New Roman;Times;serif"/>
          <w:sz w:val="20"/>
        </w:rPr>
        <w:t xml:space="preserve"> (“The Lodge 30A JV”) entered into a $15.0 million loan (the “Lodge 30A JV Loan”). As of December 31, 2025 and 2024, $13.6 million and $14.1 million, respectively, was outstanding on the Lodge 30A JV Loan. The loan bears interest at a rate of 3.8% and matures in January 2028. The loan is secured by the real property and certain other Security Interests. In connection with the loan, we, wholly-owned subsidiaries of ours and our JV partner entered into a joint and several payment and performance guarantee in favor of the lender. Upon reaching a certain debt service coverage ratio for a minimum of twenty-four months, our liability as guarantor can be reduced to 75% of the outstanding principal amount for a twelve-month period. The debt service coverage ratio will be tested annually thereafter and can be reduced to 50% in year four and 25% in year five. We receive a monthly fee related to the guarantee from our JV partner based on the JV partner’s ownership percentage. See Note 9. </w:t>
      </w:r>
      <w:r>
        <w:rPr>
          <w:rFonts w:ascii="Times New Roman,Italic" w:hAnsi="Times New Roman,Italic"/>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ours entered into a loan, as amended (the “North Bay Landing Loan”). In February 2025, the North Bay Landing Loan was refinanced, which increased the principal amount of the loan to $27.8 million, fixed the interest rate to 5.9% and provides for monthly principal and interest payments through maturity in March 2060. As of December 31, 2025 and 2024, $27.6 million and $22.7 million, respectively, was outstanding on the North Bay Landing Loan. The refinanced loan terms include a prepayment premium due to the lender of 1% - 10% for any principal that is prepaid through March 2035. The refinanced loan is insured by HUD and is secured by the real property and certain other Security Interests. We incurred $0.6 million in loan costs due to the refinance. As a result of the refinance, 2025 includes a less than $0.1 million loss on early extinguishment of debt related to unamortized debt issuance costs, included within other income, net on the consolidated statements of income. See Note 9. </w:t>
      </w:r>
      <w:r>
        <w:rPr>
          <w:rFonts w:ascii="Times New Roman,Italic" w:hAnsi="Times New Roman,Italic"/>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ours entered into a $28.0 million loan, which is guaranteed by us (the “Watersound Camp Creek Loan”). As of December 31, 2025 and 2024, $26.8 million and $27.4 million, respectively, was outstanding on the Watersound Camp Creek Loan. The loan matures in December 2047 and bears interest at a rate of SOFR plus 2.1%, with a floor of 2.6%. The loan is secured by the real property and certain other Security Interests. As guarantor, our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the guarantor to abide by or perform any of the covenants, warranties or other certain obligations to be performed on the part of such guarantor. See Note 9. </w:t>
      </w:r>
      <w:r>
        <w:rPr>
          <w:rFonts w:ascii="Times New Roman,Italic" w:hAnsi="Times New Roman,Italic"/>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ours entered into a $12.0 million loan, which is guaranteed by us (the “Watersound Town Center Grocery Loan”). As of December 31, 2025 and 2024, $4.7 million and $8.1 million, respectively, was outstanding on the Watersound Town Center Grocery Loan. The loan bears interest at SOFR plus 2.1%, with a floor of 2.3%, and matures in August 2031. The loan is secured by the real property and certain other Security Interests. As guarantor, our liability under the loan has been reduced to 25% of the outstanding principal amount after reaching a certain debt service coverage ratio. See Note 9. </w:t>
      </w:r>
      <w:r>
        <w:rPr>
          <w:rFonts w:ascii="Times New Roman,Italic" w:hAnsi="Times New Roman,Italic"/>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ours entered into a $21.2 million loan, which is guaranteed by us (the “Hotel Indigo Loan”). As of December 31, 2025 and 2024, $19.0 million and $19.9 million, respectively, was outstanding on the Hotel Indigo Loan. The loan bears interest at a rate of SOFR plus 2.5%, with a floor of 2.5%. The loan matures in October 2028 and includes an option for an extension of the maturity date by sixty months, subject to certain conditions. The loan is secured by the leasehold property and certain other Security Interests. See Note 9. </w:t>
      </w:r>
      <w:r>
        <w:rPr>
          <w:rFonts w:ascii="Times New Roman;Times;serif" w:hAnsi="Times New Roman;Times;serif"/>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Mexico Beach Crossings, LLC (the “Mexico Beach Crossings JV”) entered into a $43.5 million loan, insured by HUD (the “Mexico Beach Crossings JV Loan”). As of December 31, 2025 and 2024, $42.5 million and $43.1 million, respectively, was outstanding on the Mexico Beach Crossings JV Loan. The loan bears interest at a rate of 3.0% and matures in March 2064. The loan includes a prepayment premium due to the lender of 1% - 9% for any principal that is prepaid through March 2034. The loan is secured by the real property and certain other Security Interests. See Note 9. </w:t>
      </w:r>
      <w:r>
        <w:rPr>
          <w:rFonts w:ascii="Times New Roman;Times;serif" w:hAnsi="Times New Roman;Times;serif"/>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w:t>
      </w:r>
      <w:r>
        <w:rPr>
          <w:rFonts w:ascii="TimesNewRomanPSMT" w:hAnsi="TimesNewRomanPSMT"/>
          <w:sz w:val="20"/>
        </w:rPr>
        <w:t>Pier Park Crossings Phase II LLC</w:t>
      </w:r>
      <w:r>
        <w:rPr>
          <w:rFonts w:ascii="Times New Roman;Times;serif" w:hAnsi="Times New Roman;Times;serif"/>
          <w:sz w:val="20"/>
        </w:rPr>
        <w:t xml:space="preserve"> (the “Pier Park Crossings Phase II JV”) refinanced into a $22.9 million loan, insured by HUD (the “PPC II JV Loan”). As of December 31, 2025 and 2024, $21.4 million and $21.8 million, respectively, was outstanding on the PPC II JV Loan. The loan bears interest at a rate of 2.7% and matures in May 2057. The loan includes a prepayment premium due to the lender of 1% - 7% for any principal that is prepaid through May 2032.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a wholly-owned subsidiary of ours entered into a $13.7 million loan, which is guaranteed by us (the “Topsail Hotel Loan”). As of December 31, 2025 and 2024, $11.2 million and $12.3 million, respectively, was outstanding on the Topsail Hotel Loan. The loan bears interest at a rate of SOFR plus 2.1%, with a floor of 3.0% and matures in July 2027. The loan is secured by the real property and certain other Security Interests. See Note 9. </w:t>
      </w:r>
      <w:r>
        <w:rPr>
          <w:rFonts w:ascii="Times New Roman;Times;serif" w:hAnsi="Times New Roman;Times;serif"/>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a wholly-owned subsidiary of ours entered into a $37.0 million loan, which is guaranteed by us (“The Pearl Hotel Loan”). As of December 31, 2025 and 2024, $32.6 million and $34.0 million, respectively, was outstanding on The Pearl Hotel Loan. The loan bears interest at a rate of 6.3% and matures in December 2032. The loan includes a prepayment fee due to the lender of 1% - 2% of the outstanding principal balance if the loan is refinanced with another financial institution through December 2027. The loan is secured by the real property and certain other Security Interests. See Note 9. </w:t>
      </w:r>
      <w:r>
        <w:rPr>
          <w:rFonts w:ascii="Times New Roman,Italic" w:hAnsi="Times New Roman,Italic"/>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2023, </w:t>
      </w:r>
      <w:r>
        <w:rPr>
          <w:rFonts w:ascii="TimesNewRomanPSMT" w:hAnsi="TimesNewRomanPSMT"/>
          <w:sz w:val="20"/>
        </w:rPr>
        <w:t>Origins Crossings, LLC</w:t>
      </w:r>
      <w:r>
        <w:rPr>
          <w:rFonts w:ascii="Times New Roman;Times;serif" w:hAnsi="Times New Roman;Times;serif"/>
          <w:sz w:val="20"/>
        </w:rPr>
        <w:t xml:space="preserve"> (the “Watersound Origins Crossings JV”) refinanced into a $52.9 million loan, insured by HUD (the “Watersound Origins Crossings JV Loan”). As of December 31, 2025 and 2024, $51.3 million and $52.0 million, respectively, was outstanding on the Watersound Origins Crossings JV Loan. The loan bears interest at a rate of 5.0% and matures in April 2058. The loan includes a prepayment premium due to the lender of 1% - 8% for any principal that is prepaid through April 2033. The refinanced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CDD bonds financed the construction of infrastructure improvements in some of our communities. The principal and interest payments on the bonds are paid by assessments on the properties benefited by the improvements financed by the bonds. We have recorded a liability for CDD debt that is associated with platted property, which is the point at which it becomes fixed and determinable. Additionally, we have recorded a liability for the balance of the CDD debt that is associated with unplatted property if it is probable and reasonably estimable that we will ultimately be responsible for repayment. We have recorded CDD related debt of $2.6 million as of December 31, 2025. Total outstanding CDD debt related to our land holdings was $9.0 million as of December 31, 2025, which is comprised of $7.4 million at the SouthWood community, $1.5 million at the existing Pier Park retail center and less than $0.1 million at the Wild Heron residential community. We pay interest on this total outstanding CDD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our unconsolidated Latitude Margaritaville Watersound JV, Watersound Fountains Independent Living JV, Pier Park TPS JV, Pier Park RI JV, Busy Bee JV and Electric Cart Watersound JV had various loans outstanding, some of which we have entered into guarantees. See Note 4. </w:t>
      </w:r>
      <w:r>
        <w:rPr>
          <w:rFonts w:ascii="Times New Roman;Times;serif" w:hAnsi="Times New Roman;Times;serif"/>
          <w:i/>
          <w:sz w:val="20"/>
        </w:rPr>
        <w:t>Joint Ventures</w:t>
      </w:r>
      <w:r>
        <w:rPr>
          <w:rFonts w:ascii="Times New Roman;Times;serif" w:hAnsi="Times New Roman;Times;serif"/>
          <w:sz w:val="20"/>
        </w:rPr>
        <w:t xml:space="preserve"> and Note 19. </w:t>
      </w:r>
      <w:r>
        <w:rPr>
          <w:rFonts w:ascii="Times New Roman;Times;serif" w:hAnsi="Times New Roman;Times;serif"/>
          <w:i/>
          <w:sz w:val="20"/>
        </w:rPr>
        <w:t>Commitments and Contingencies</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and 2024, we paid dividends of $0.58 and $0.52, respectively, per share on our common stock for a total of $33.6 million and $30.4 million,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2025, we repurchased 798,622 shares of our common stock outstanding at an average repurchase price of $50.10, per share, for an aggregate repurchase price of $40.0 million, excluding the excise tax on stock repurchases in excess of issuances as a result of the IRA. During 2024, we repurchased 70,985 shares of our common stock outstanding at an average repurchase price of $47.38, per share, for an aggregate repurchase price of $3.4 million, excluding the excise tax on stock repurchases in excess of issuances as a result of the IRA. See Item 5. </w:t>
      </w:r>
      <w:r>
        <w:rPr>
          <w:rFonts w:ascii="Times New Roman;Times;serif" w:hAnsi="Times New Roman;Times;serif"/>
          <w:i/>
          <w:sz w:val="20"/>
        </w:rPr>
        <w:t>Market for the Registrant’s Common Equity, Related Stockholder Matters and Issuer Purchases of Equity Securities</w:t>
      </w:r>
      <w:r>
        <w:rPr>
          <w:rFonts w:ascii="Times New Roman;Times;serif" w:hAnsi="Times New Roman;Times;serif"/>
          <w:sz w:val="20"/>
        </w:rPr>
        <w:t xml:space="preserve"> and Note 14. </w:t>
      </w:r>
      <w:r>
        <w:rPr>
          <w:rFonts w:ascii="Times New Roman;Times;serif" w:hAnsi="Times New Roman;Times;serif"/>
          <w:i/>
          <w:sz w:val="20"/>
        </w:rPr>
        <w:t>Stockholders’ Equity</w:t>
      </w:r>
      <w:r>
        <w:rPr>
          <w:rFonts w:ascii="Times New Roman;Times;serif" w:hAnsi="Times New Roman;Times;serif"/>
          <w:sz w:val="20"/>
        </w:rPr>
        <w:t xml:space="preserve"> included in Item 15 of this Form 10-K for additional information regarding the Stock Repurchase Program and treasury stock retirement during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part of a certain sale of forestry land in 2014, we generated significant tax gains. The installment note’s structure allowed us to defer the resulting federal and state tax liability of $45.6 million until 2029, the maturity date for the installment note. We have a deferred tax liability related to the gain in connection with the sale. At the maturity date of the installment note in 2029, the $200.0 million time deposit included in investments held by special purpose entities will be used to pay the $180.0 million of principal for the Senior Notes held by special purpose entity and the remaining $20.0 million will become available to us, which can be used to pay a portion of the tax liability.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and Note 12. </w:t>
      </w:r>
      <w:r>
        <w:rPr>
          <w:rFonts w:ascii="Times New Roman;Times;serif" w:hAnsi="Times New Roman;Times;serif"/>
          <w:i/>
          <w:sz w:val="20"/>
        </w:rPr>
        <w:t>Income Taxes</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and 2024, we were required to provide surety bonds that guarantee completion and maintenance of certain infrastructure in certain development projects and mitigation banks, as well as other financial guarantees of $14.7 million and $53.1 million, respectively, as well as standby letters of credit in the amount of $0.4 million and $0.7 million, respectively, which may potentially result in a liability to us if certain obligations are not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conducting our operations, we routinely hold customers’ assets in escrow pending completion of real estate transactions, and are responsible for the proper disposition of these balances for our customers. These amounts are maintained in segregated bank accounts and have not been included in the accompanying consolidated balance sheets, consistent with GAAP and industry practice. The cash deposit accounts and offsetting liability balances for escrow deposits in connection with our title insurance agencies for real estate transactions were $8.0 million and $6.4 million as of December 31, 2025 and 2024, respectively. These escrow funds are not available for regular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of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summary of our cash flows from operating, investing and financing activities are as follows:</w:t>
      </w:r>
    </w:p>
    <w:tbl>
      <w:tblPr>
        <w:tblW w:w="9070" w:type="dxa"/>
        <w:jc w:val="left"/>
        <w:tblInd w:w="0" w:type="dxa"/>
        <w:tblLayout w:type="fixed"/>
        <w:tblCellMar>
          <w:top w:w="0" w:type="dxa"/>
          <w:left w:w="0" w:type="dxa"/>
          <w:bottom w:w="0" w:type="dxa"/>
          <w:right w:w="0" w:type="dxa"/>
        </w:tblCellMar>
      </w:tblPr>
      <w:tblGrid>
        <w:gridCol w:w="5491"/>
        <w:gridCol w:w="346"/>
        <w:gridCol w:w="211"/>
        <w:gridCol w:w="691"/>
        <w:gridCol w:w="346"/>
        <w:gridCol w:w="211"/>
        <w:gridCol w:w="586"/>
        <w:gridCol w:w="346"/>
        <w:gridCol w:w="211"/>
        <w:gridCol w:w="631"/>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486785" cy="175260"/>
                      <wp:effectExtent l="0" t="0" r="0" b="0"/>
                      <wp:wrapNone/>
                      <wp:docPr id="273" name="Frame272"/>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4"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5"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38785" cy="175260"/>
                      <wp:effectExtent l="0" t="0" r="0" b="0"/>
                      <wp:wrapNone/>
                      <wp:docPr id="276" name="Frame2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77"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78"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72110" cy="175260"/>
                      <wp:effectExtent l="0" t="0" r="0" b="0"/>
                      <wp:wrapNone/>
                      <wp:docPr id="279" name="Frame27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0"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1"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00685" cy="175260"/>
                      <wp:effectExtent l="0" t="0" r="0" b="0"/>
                      <wp:wrapNone/>
                      <wp:docPr id="282" name="Frame28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2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907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33"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end of the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90.8</w:t>
            </w:r>
          </w:p>
        </w:tc>
      </w:tr>
    </w:tbl>
    <w:p>
      <w:pPr>
        <w:pStyle w:val="TextBody"/>
        <w:bidi w:val="0"/>
        <w:spacing w:before="0" w:after="0"/>
        <w:ind w:left="0" w:right="0" w:hanging="0"/>
        <w:jc w:val="left"/>
        <w:rPr>
          <w:shd w:fill="FFCCCC" w:val="clear"/>
        </w:rPr>
      </w:pPr>
      <w:r>
        <w:rPr>
          <w:shd w:fill="FFCCCC"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cash provided by operating activities includes net income, adjustments for non-cash items, distribution of earnings from unconsolidated joint ventures, changes in operating assets and liabilities and expenditures related to assets ultimately planned to be sold. Adjustments for non-cash items primarily include depreciation, depletion and amortization, equity in income from unconsolidated joint ventures, deferred income tax and cost of real estate sold. Net cash provided by operations was $190.7 million in 2025, as compared to $108.0 million in 2024. During 2025 net income was $115.9 million, compared to $72.4 million in 2024. The increase in net cash provided by operating activities was primarily due to the changes in net income, distribution of earnings from unconsolidated joint ventures, cost of real estate sold, deferred revenue and accounts payable and other liabilities, partially offset by the changes in equity in income from unconsolidated joint ventures, deferred income tax, expenditures for an acquisition of real estate to be sold, (gain) loss on disposal of property and equipment and other assets during the year. During 2025, the Watercrest JV sold its senior living community property to a third party for $41.0 million, resulting in a gross profit of $19.4 million and a corresponding cash distribution of $19.1 million made to us. During 2025, distribution of earnings from unconsolidated joint ventures were $35.6 million, compared to $26.8 million in 2024. See Note 4. </w:t>
      </w:r>
      <w:r>
        <w:rPr>
          <w:rFonts w:ascii="Times New Roman;Times;serif" w:hAnsi="Times New Roman;Times;serif"/>
          <w:i/>
          <w:sz w:val="20"/>
        </w:rPr>
        <w:t xml:space="preserve">Joint Ventures </w:t>
      </w:r>
      <w:r>
        <w:rPr>
          <w:rFonts w:ascii="Times New Roman;Times;serif" w:hAnsi="Times New Roman;Times;serif"/>
          <w:sz w:val="20"/>
        </w:rPr>
        <w:t>included in Item 15 of this Form 10-K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investing activities primarily includes capital expenditures for operating property and property and equipment used in our operations and capital contributions to unconsolidated joint ventures, partially offset by proceeds from the disposition of assets and maturities of assets held by special purpose entities. During 2025, net cash used in investing activities was $26.2 million, which included capital expenditures for operating property and property and equipment of $23.8 million, primarily for our commercial and hospitality segments, and capital contributions to unconsolidated joint ventures of $7.8 million, partially offset by proceeds from the disposition of assets of $4.6 million primarily related to the sale of our N850J aircraft and maturities of assets held by SPEs of $0.8 million. During 2024, net cash used in investing activities was $50.4 million, which included capital expenditures for operating property and property and equipment of $49.9 million, primarily for our commercial and hospitality segments, and capital contributions to unconsolidated joint ventures of $1.7 million, partially offset by maturities of assets held by special purpose entities of $0.8 million, proceeds from insurance claims of $0.2 million and capital distributions from unconsolidated joint ventures of $0.2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cash used in financing activities was $124.3 million in 2025, compared to $52.1 million in 2024. Net cash used in financing activities during 2025, included principal payments for debt of $114.5 million primarily related to the refinance of the PPN JV Loan and North Bay Landing Loan and payoff of the Watercrest JV Loan, repurchase of 798,622 shares of our common stock outstanding of $40.3 million, including excise tax, dividends paid of $0.58 per share on our common stock of $33.6 million, capital distributions to non-controlling interest of $2.9 million, debt issuance costs of $0.6 million and principal payments for finance leases of $0.2 million. Net cash used in financing activities during 2025, were partially offset by borrowings on debt of $67.8 million related to the refinance of the PPN JV Loan and North Bay Landing Loan. See Note 9. </w:t>
      </w:r>
      <w:r>
        <w:rPr>
          <w:rFonts w:ascii="Times New Roman;Times;serif" w:hAnsi="Times New Roman;Times;serif"/>
          <w:i/>
          <w:sz w:val="20"/>
        </w:rPr>
        <w:t>Debt, Net</w:t>
      </w:r>
      <w:r>
        <w:rPr>
          <w:rFonts w:ascii="Times New Roman;Times;serif" w:hAnsi="Times New Roman;Times;serif"/>
          <w:sz w:val="20"/>
        </w:rPr>
        <w:t xml:space="preserve"> included in Item 15 of this Form 10-K for additional information. Net cash used in financing activities during 2024 included dividends paid of $0.52 per share on our common stock $30.3 million, principal payments for debt of $18.2 million, repurchase of 70,985 shares of our common stock outstanding of $3.4 million, including excise tax, capital distributions to non-controlling interest of $1.0 million, principal payments for finance leases of $0.2 million and debt issuance costs of $0.1 million, partially offset by borrowings on debt of $1.1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Critical Accounting Estimates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discussion and analysis of our financial condition and results of operations are based upon our consolidated financial statements, which have been prepared in accordance with GAAP. The preparation of these financial statements requires us to make estimates and judgments that affect the reported amounts of assets, liabilities, revenue and expenses and related disclosures of contingent assets and liabilities. We base these estimates on historical experience, available current market information and on various other assumptions that management believes are reasonable under the circumstances. Additionally, we evaluate the results of these estimates on an on-going basis. Management’s estimates form the basis for making judgments about the carrying values of assets and liabilities that are not readily apparent from other sources. Actual results may differ from these estimates under different assumptions or conditions and our accounting estimates are subject to 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Investment in Real Estate, Net and Cost of Real Estate Revenue. </w:t>
      </w:r>
      <w:r>
        <w:rPr>
          <w:rFonts w:ascii="Times New Roman;Times;serif" w:hAnsi="Times New Roman;Times;serif"/>
          <w:sz w:val="20"/>
        </w:rPr>
        <w:t>Costs associated with a specific real estate project are capitalized during the development period. These development costs include land and common development costs (such as structures, roads, utilities and amenities). We capitalize costs directly associated with development and construction of identified real estate projects. Indirect costs that clearly relate to a specific project under development, such as project administration, interest (up to total interest expense) and real estate property taxes, may also be capitalized.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portion of real estate development costs and estimates for costs to complete are allocated to each unit based on the relative sales value of each unit as compared to the estimated sales value of the total project. These estimates are reevaluated at least annually, and more frequently if warranted by market conditions, changes in the project’s scope or other factors, with any adjustments being allocated prospectively to the remaining property or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capitalization period relating to direct and indirect project costs is the period in which activities necessary to ready a property for its intended use are in progress. The period begins when such activities commence, typically when we begin the site work or construction on land already owned, and ends when the asset is substantially complete and ready for its intended use. In the event that the activities to ready the asset for its intended use are suspended, the capitalization period will cease until such activities are resumed. If we determine not to complete a project, any previously capitalized costs that are not recoverable are expensed in the period in which the determination is made and recovery is not deemed probable.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investments in real estate are carried at cost, net of depreciation and timber depletion, unless circumstances indicate that the carrying value of the assets may not be recoverable. If we determine that an impairment exists due to the inability to recover an asset’s carrying value, an impairment charge is recorded to the extent that the carrying value exceeds estimated fair value. If such assets were held for sale, the provision for loss would be recorded to the extent that the carrying value exceeds estimated fair value, including costs to sell.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Long-Lived Assets. </w:t>
      </w:r>
      <w:r>
        <w:rPr>
          <w:rFonts w:ascii="Times New Roman;Times;serif" w:hAnsi="Times New Roman;Times;serif"/>
          <w:sz w:val="20"/>
        </w:rPr>
        <w:t xml:space="preserve">Long-lived assets include our investments in land holdings, operating and development properties, property and equipment and investment in unconsolidated JV’s. </w:t>
      </w:r>
      <w:r>
        <w:rPr>
          <w:rFonts w:ascii="inherit" w:hAnsi="inherit"/>
          <w:sz w:val="20"/>
        </w:rPr>
        <w:t>We evaluate our investment in unconsolidated JVs for impairment during each reporting period. A series of operating losses of an investee or other factors may indicate that a decrease in the value of our investment in the unconsolidated JV has occurred. The amount of impairment recognized is the excess of the investment’s carrying value over its estimated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investments in land holdings, operating and development properties and property and equipment are carried at cost, net of depreciation and timber depletion. We review our long-lived assets for impairment quarterly to determine whether events or changes in circumstances indicate that the carrying amount of an asset may not be recoverable. As part of our review for impairment of long-lived assets, we review the long-lived asset’s carrying value, current period actual financial results as compared to prior period and forecasted results contained in our business plan and any other events or changes in circumstances to identify whether an indicator of potential impairment may exist. Some of the events or changes in circumstances that are considered as indicators of potential impairment include:</w:t>
      </w:r>
    </w:p>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prolonged decrease in the value to below cost or demand for the properties;</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expected use or development plans for the properties;</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change in strategy that would affect the value of our properties;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operating or cash flow losses for an operating property;</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accumulation of costs in excess of the projected costs for development or operating property; and</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adverse change that may affect the value of the property.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use varying methods to determine if an impairment exists, such as (i) considering indicators of potential impairment, (ii) analyzing expected future cash flows and comparing the expected future undiscounted cash flows of the property to its carrying value or (iii) determining market resale values.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accounting estimate related to real estate impairment evaluation is susceptible to change due to the use of assumptions about future sales proceeds and future expenditures. For projects under development or construction, an estimate of future cash flows on an undiscounted basis is performed using estimated future expenditures necessary to maintain the existing project and using management’s best estimates about future sales prices and planned holding periods. Based on our investment return criteria for evaluating our projects under development or undeveloped land, management’s assumptions used in the projection of undiscounted cash flows include:</w:t>
      </w:r>
    </w:p>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pace of sales of homesites based on estimated market conditions and our development plans;</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pricing and projected price appreciation over time;</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trajectory of price appreciation over the estimated selling period;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the estimated development and selling periods, which can differ depending on the size of the development and the number of phases to be developed;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remaining development costs, including the extent of infrastructure or amenities included in such development costs;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costs to be incurred over the selling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bulk land sales of undeveloped and developed parcels, future pricing is based upon estimated developed homesite pricing less estimated development costs and estimated developer profit;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commercial, multi-family, self-storage and senior living development property, future pricing is based on sales of comparable property in similar markets; and</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liquidity is available to fund continued development.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operating properties, an estimate of undiscounted cash flows requires management to make similar assumptions about the use and eventual disposition of such properties. Some of the significant assumptions that are used to develop the undiscounted cash flows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in hotels, other rental units and vacation rental homes, use of average occupancy and room rates, revenue from food and beverage and other amenity operations, operating expenses and capital expenditures, and eventual disposition of such properties as hotels, private residence vacation units or condominiums, based on current prices for similar units appreciated to the expected sale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in commercial, multi-family, self-storage, or retail property, use of future occupancy and rental rates, operating expenses and capital expenditures and the amount of proceeds to be realized upon eventual disposition of such property at a terminal capitalization rate;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in club, marina and retail assets, use of revenue from membership dues, future golf rounds and greens fees, boat slip rentals and boat storage fees, merchandise and other hospitality operations, operating expenses and capital expenditures, and the amount of proceeds to be realized upon eventual disposition of such properties at a multiple of terminal year cash flows.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Homesites substantially completed and ready for sale are measured at the lower of carrying value or fair value, including costs to sell. Management identifies homesites as being substantially completed and ready for sale when the properties are being actively marketed with intent to sell such properties in the near term and under current market conditions. Other homesites, which management does not intend to sell in the near term under current market conditions, are evaluated for impairment based on management’s best estimate of the long-term use and eventual disposition of such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properties that management does not intend to sell in the near term under current market conditions and has the ability to hold are evaluated for impairment based on management’s best estimate of the long-term use and eventual disposition of the property. Typically, assets are carried based on historical cost basis, which in some cases may exceed fair value if sold in the near term. The results of impairment analysis for development and operating properties are particularly dependent on the estimated holding and selling period for each asset group.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 property is considered impaired, the impairment charge is determined by the amount the property’s carrying value exceeds its fair value. We use varying methods to determine fair value, such as (i) analyzing expected future cash flows, (ii) determining resale values in a given market, (iii) applying a capitalization rate to net operating income using prevailing rates in a given market or (iv) applying a multiplier to revenue using prevailing rates in a given market. The fair value of a property may be derived either from discounting projected cash flows at an appropriate discount rate, through appraisals of the underlying property, or a combination thereof.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classify the assets and liabilities of a long-lived asset as held-for-sale when management approves and commits to a formal plan of sale and it is probable that a sale will be completed. The carrying value of the assets held-for-sale is then recorded at the lower of their carrying value or fair value, including costs to sell.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In preparing our consolidated financial statements, significant management judgment is required to estimate our income taxes. Our estimates are based on our interpretation of federal and state tax laws. We estimate our actual current tax due and assess temporary differences resulting from differing treatment of items for tax and accounting purposes. The temporary differences result in deferred tax assets and liabilities, which are included in our consolidated balance sheets. Adjustments may be required by a change in assessment of our deferred tax assets and liabilities, changes due to audit adjustments by federal and state tax authorities and changes in tax laws. To the extent adjustments are required in any given period, we will include the adjustments in the deferred tax assets and liabilities in our consolidated financial statements. We record a valuation allowance against our deferred tax assets as needed based upon our analysis of the timing and reversal of future taxable amounts and our historical and future expectations of taxable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general, a valuation allowance is recorded, if based on all the available positive and negative evidence, it is more likely than not that some portion or all of the deferred tax assets will not be realized. Realization of our deferred tax assets is dependent upon us generating sufficient taxable income in future years in the appropriate tax jurisdictions to obtain a benefit from the reversal of deductible temporary differences and from loss carryforwards.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and 2024, we had $9.5 million and $9.1 million, respectively, of federal net operating loss carryforwards (“NOLs”). The federal NOLs are specific to our qualified opportunity funds (“QOF”) entity and do not expire. As of December 31, 2025 and 2024, we had state net NOLs of $5.8 million and $4.0 million, respectively. The majority of these state NOLs are available to offset future taxable income through 2044 and will begin expiring in 2040. As of December 31, 2025 and 2024, we did not have a valuation allowance. As of December 31, 2025 and 2024, we had income tax payable of $2.1 million and $1.8 million, respectively, included within accounts payable and other liabilities on the consolidated balance sheets. See Note 12. </w:t>
      </w:r>
      <w:r>
        <w:rPr>
          <w:rFonts w:ascii="Times New Roman;Times;serif" w:hAnsi="Times New Roman;Times;serif"/>
          <w:i/>
          <w:sz w:val="20"/>
        </w:rPr>
        <w:t>Income Taxes</w:t>
      </w:r>
      <w:r>
        <w:rPr>
          <w:rFonts w:ascii="Times New Roman;Times;serif" w:hAnsi="Times New Roman;Times;serif"/>
          <w:sz w:val="20"/>
        </w:rPr>
        <w:t xml:space="preserve"> included in Item 15 of this Form 10-K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Measurement of Credit Losses for Accounts Receivable and Contract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 xml:space="preserve">Financial Instruments - Credit Losses (Topic 326) Measurement of Credit Losses for Accounts Receivable and Contract Assets </w:t>
      </w:r>
      <w:r>
        <w:rPr>
          <w:rFonts w:ascii="Times New Roman;Times;serif" w:hAnsi="Times New Roman;Times;serif"/>
          <w:sz w:val="20"/>
        </w:rPr>
        <w:t xml:space="preserve">(“ASU 2025-05”) that provides a practical expedient for estimating expected credit losses for current accounts receivable and current contract assets arising from transactions accounted for under </w:t>
      </w:r>
      <w:r>
        <w:rPr>
          <w:rFonts w:ascii="Times New Roman;Times;serif" w:hAnsi="Times New Roman;Times;serif"/>
          <w:i/>
          <w:sz w:val="20"/>
        </w:rPr>
        <w:t>Revenue from Contracts with Customers</w:t>
      </w:r>
      <w:r>
        <w:rPr>
          <w:rFonts w:ascii="Times New Roman;Times;serif" w:hAnsi="Times New Roman;Times;serif"/>
          <w:sz w:val="20"/>
        </w:rPr>
        <w:t xml:space="preserve"> (Topic 606). </w:t>
      </w:r>
      <w:r>
        <w:rPr>
          <w:rFonts w:ascii="TimesNewRomanPSMT" w:hAnsi="TimesNewRomanPSMT"/>
          <w:sz w:val="20"/>
        </w:rPr>
        <w:t xml:space="preserve">As of December 31, 2025, we adopted this guidance, which will be applied prospectively, and elected the practical expedient to assume current conditions as of the balance sheet date do not change for the remaining life of the assets. </w:t>
      </w:r>
      <w:r>
        <w:rPr>
          <w:rFonts w:ascii="Times New Roman;Times;serif" w:hAnsi="Times New Roman;Times;serif"/>
          <w:sz w:val="20"/>
        </w:rPr>
        <w:t>The adoption of this guidance had no impact on our financial condition, results of operations, cash flows and related disclosures.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Statement – Reporting Comprehensive Income – Expense Disaggregation Disclosures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xml:space="preserve"> (“ASU 2024-03”) that requires additional disclosure in the notes to the financial statements information about specific costs and expense categories, including purchases of inventory, employee compensation, depreciation, intangible asset amortization and selling expenses, as well as qualitative descriptions for certain other expenses. In January 2025, the FASB issued ASU 2025-01, </w:t>
      </w:r>
      <w:r>
        <w:rPr>
          <w:rFonts w:ascii="Times New Roman;Times;serif" w:hAnsi="Times New Roman;Times;serif"/>
          <w:i/>
          <w:sz w:val="20"/>
        </w:rPr>
        <w:t>Income Statement - Reporting Comprehensive Income - Expense Disaggregation Disclosures (Subtopic 220-40): Clarifying the Effective Date</w:t>
      </w:r>
      <w:r>
        <w:rPr>
          <w:rFonts w:ascii="Times New Roman;Times;serif" w:hAnsi="Times New Roman;Times;serif"/>
          <w:sz w:val="20"/>
        </w:rPr>
        <w:t xml:space="preserve"> (“ASU 2025-01”) that clarifies the effective date of ASU 2024-03. This guidance will be effective for annual reporting periods beginning after December 15, 2026, and for interim reporting periods within annual reporting periods beginning after December 15, 2027, with early adoption permitted. The guidance should be applied either prospectively for periods after the effective date or retrospectively to all prior periods presented. We are currently evaluating the impact that the adoption of this guidance will have on our financial condition, results of operations, cash flows and related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caps w:val="false"/>
          <w:smallCaps w:val="false"/>
          <w:shd w:fill="FFCCCC" w:val="clear"/>
        </w:rPr>
      </w:pPr>
      <w:r>
        <w:rPr>
          <w:caps w:val="false"/>
          <w:smallCaps w:val="false"/>
          <w:shd w:fill="FFCCCC" w:val="clear"/>
        </w:rPr>
        <w:t>​</w:t>
      </w:r>
    </w:p>
    <w:p>
      <w:pPr>
        <w:pStyle w:val="TextBody"/>
        <w:bidi w:val="0"/>
        <w:spacing w:before="0" w:after="240"/>
        <w:ind w:left="0" w:right="0" w:hanging="0"/>
        <w:jc w:val="left"/>
        <w:rPr>
          <w:rFonts w:ascii="Times New Roman;Times;serif" w:hAnsi="Times New Roman;Times;serif"/>
          <w:b/>
          <w:sz w:val="20"/>
        </w:rPr>
      </w:pPr>
      <w:bookmarkStart w:id="76" w:name="Item7AQuantitativeandQualitativeDisclosu"/>
      <w:bookmarkStart w:id="77" w:name="_1200f39a_6c64_4e5c_bff0_ad4a32191633"/>
      <w:bookmarkEnd w:id="76"/>
      <w:bookmarkEnd w:id="77"/>
      <w:r>
        <w:rPr>
          <w:rFonts w:ascii="Times New Roman;Times;serif" w:hAnsi="Times New Roman;Times;serif"/>
          <w:b/>
          <w:sz w:val="20"/>
        </w:rPr>
        <w:t>Item 7A.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exposed to market risks primarily from interest rate fluctuations. We have investments in short-term U.S. Treasury Bills classified as cash equivalents that have fixed interest rates for which changes in interest rates generally affect the fair value of the investment, but not the earnings or cash flows. A hypothetical 100 basis point increase in interest rates would result in a decrease of less than $0.1 million in the market value of these investments as of December 31, 2025. Any realized gain or loss resulting from such interest rate changes would only occur if we sold the investments prior to maturity or if a decline in their value is determined to be related to credit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historically been exposed, and in the future may again be exposed, to credit risk associated with Securities and these instruments are subject to price fluctuations as a result of changes in the financial market’s assessment of issuer credit quality, increases in delinquency and default rates, changes in prevailing interest rates and other economic factors. A downgrade of the U.S. government’s credit rating may also decrease the value of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of our cash and cash equivalents are invested in money market instruments. Changes in interest rates related to these investments would not significantly impact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subject to interest rate risk on our variable-rate debt and utilize derivative financial instruments to reduce our exposure to market risks from changes in interest rates on certain loans. We have entered into interest rate swap agreements designated as cash flow hedges to manage the interest rate risk associated with some of our variable rate debt, with changes in the fair value recorded to accumulated other comprehensive income. As of December 31, 2025, we had variable-rate debt outstanding totaling $115.9 million, of which $39.8 million was swapped to a fixed interest rate. As of December 31, 2025, the weighted average interest rate on our variable rate loans, excluding the swapped portion, based on SOFR was 5.9%. Based on the outstanding balance of these loans as of December 31, 2025, a hypothetical 100 basis point increase in the applicable rate would result in an increase to our annual interest expense of $0.8 million.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and Note 9. </w:t>
      </w:r>
      <w:r>
        <w:rPr>
          <w:rFonts w:ascii="Times New Roman,Italic" w:hAnsi="Times New Roman,Italic"/>
          <w:i/>
          <w:sz w:val="20"/>
        </w:rPr>
        <w:t xml:space="preserve">Debt, Net </w:t>
      </w:r>
      <w:r>
        <w:rPr>
          <w:rFonts w:ascii="Times New Roman;Times;serif" w:hAnsi="Times New Roman;Times;serif"/>
          <w:sz w:val="20"/>
        </w:rPr>
        <w:t>included in Item 15 of this Form 10-K for additional information.</w:t>
      </w:r>
    </w:p>
    <w:p>
      <w:pPr>
        <w:pStyle w:val="TextBody"/>
        <w:bidi w:val="0"/>
        <w:spacing w:before="0" w:after="240"/>
        <w:ind w:left="0" w:right="0" w:hanging="0"/>
        <w:jc w:val="left"/>
        <w:rPr>
          <w:rFonts w:ascii="Times New Roman;Times;serif" w:hAnsi="Times New Roman;Times;serif"/>
          <w:b/>
          <w:sz w:val="20"/>
        </w:rPr>
      </w:pPr>
      <w:bookmarkStart w:id="78" w:name="Item8FinancialStatementsandSupplementary"/>
      <w:bookmarkStart w:id="79" w:name="_2ca2e5f5_d816_4c20_97be_c2db002679a4"/>
      <w:bookmarkEnd w:id="78"/>
      <w:bookmarkEnd w:id="79"/>
      <w:r>
        <w:rPr>
          <w:rFonts w:ascii="Times New Roman;Times;serif" w:hAnsi="Times New Roman;Times;serif"/>
          <w:b/>
          <w:sz w:val="20"/>
        </w:rPr>
        <w:t>Item 8.    </w:t>
      </w:r>
      <w:r>
        <w:rPr>
          <w:rFonts w:ascii="Times New Roman;Times;serif" w:hAnsi="Times New Roman;Times;serif"/>
          <w:b/>
          <w:i/>
          <w:sz w:val="20"/>
        </w:rPr>
        <w:t>Financial Statements and Supplementary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Financial Statements, related notes and the Report of Independent Registered Public Accounting Firm are included in Part IV, Item 15 of this Form 10-K and incorporated by reference.</w:t>
      </w:r>
    </w:p>
    <w:p>
      <w:pPr>
        <w:pStyle w:val="TextBody"/>
        <w:bidi w:val="0"/>
        <w:spacing w:before="0" w:after="240"/>
        <w:ind w:left="0" w:right="0" w:hanging="0"/>
        <w:jc w:val="left"/>
        <w:rPr>
          <w:rFonts w:ascii="Times New Roman;Times;serif" w:hAnsi="Times New Roman;Times;serif"/>
          <w:b/>
          <w:sz w:val="20"/>
        </w:rPr>
      </w:pPr>
      <w:bookmarkStart w:id="80" w:name="Item9ChangesinandDisagreements_337736"/>
      <w:bookmarkStart w:id="81" w:name="_e59fc04a_9f27_44f9_bacb_f930e48021b7"/>
      <w:bookmarkEnd w:id="80"/>
      <w:bookmarkEnd w:id="81"/>
      <w:r>
        <w:rPr>
          <w:rFonts w:ascii="Times New Roman;Times;serif" w:hAnsi="Times New Roman;Times;serif"/>
          <w:b/>
          <w:sz w:val="20"/>
        </w:rPr>
        <w:t>Item 9.    </w:t>
      </w:r>
      <w:r>
        <w:rPr>
          <w:rFonts w:ascii="Times New Roman;Times;serif" w:hAnsi="Times New Roman;Times;serif"/>
          <w:b/>
          <w:i/>
          <w:sz w:val="20"/>
        </w:rPr>
        <w:t>Changes in and Disagreements with Accountants on Accounting and Financial Disclosure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2" w:name="Item9AControlsandProcedures_665955"/>
      <w:bookmarkStart w:id="83" w:name="_a3876d81_7c0e_4014_9bf1_1f1b380d6cdd"/>
      <w:bookmarkEnd w:id="82"/>
      <w:bookmarkEnd w:id="83"/>
      <w:r>
        <w:rPr>
          <w:rFonts w:ascii="Times New Roman;Times;serif" w:hAnsi="Times New Roman;Times;serif"/>
          <w:b/>
          <w:sz w:val="20"/>
        </w:rPr>
        <w:t>Item 9A.    </w:t>
      </w:r>
      <w:r>
        <w:rPr>
          <w:rFonts w:ascii="Times New Roman;Times;serif" w:hAnsi="Times New Roman;Times;serif"/>
          <w:b/>
          <w:i/>
          <w:sz w:val="20"/>
        </w:rPr>
        <w:t>Controls and Procedures</w:t>
      </w:r>
    </w:p>
    <w:tbl>
      <w:tblPr>
        <w:tblW w:w="10205" w:type="dxa"/>
        <w:jc w:val="left"/>
        <w:tblInd w:w="0" w:type="dxa"/>
        <w:tblLayout w:type="fixed"/>
        <w:tblCellMar>
          <w:top w:w="28" w:type="dxa"/>
          <w:left w:w="28" w:type="dxa"/>
          <w:bottom w:w="28" w:type="dxa"/>
          <w:right w:w="28" w:type="dxa"/>
        </w:tblCellMar>
      </w:tblPr>
      <w:tblGrid>
        <w:gridCol w:w="124"/>
        <w:gridCol w:w="268"/>
        <w:gridCol w:w="9813"/>
      </w:tblGrid>
      <w:tr>
        <w:trPr/>
        <w:tc>
          <w:tcPr>
            <w:tcW w:w="124" w:type="dxa"/>
            <w:tcBorders/>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1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Evaluation of Disclosure Controls and Procedures. </w:t>
            </w:r>
            <w:r>
              <w:rPr>
                <w:rFonts w:ascii="Times New Roman;Times;serif" w:hAnsi="Times New Roman;Times;serif"/>
                <w:b w:val="false"/>
                <w:i w:val="false"/>
                <w:caps w:val="false"/>
                <w:smallCaps w:val="false"/>
                <w:sz w:val="20"/>
              </w:rPr>
              <w:t>Our Chief Executive Officer and Chief Financial Officer have evaluated the effectiveness of our disclosure controls and procedures (as such term is defined in Rules 13a-15(e) and 15d-15(e) under the Exchange Act) as of the end of the period covered by this report. Based on this evaluation, our Chief Executive Officer and Chief Financial Officer have concluded that, as of the end of the period covered by this report, our disclosure controls and procedures were effective.</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8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Changes in Internal Control Over Financial Reporting. </w:t>
            </w:r>
            <w:r>
              <w:rPr>
                <w:rFonts w:ascii="Times New Roman;Times;serif" w:hAnsi="Times New Roman;Times;serif"/>
                <w:b w:val="false"/>
                <w:i w:val="false"/>
                <w:caps w:val="false"/>
                <w:smallCaps w:val="false"/>
                <w:sz w:val="20"/>
              </w:rPr>
              <w:t>During the quarter ended December 31, 2025, there were no changes in our internal control over financial reporting that have materially affected, or are reasonably likely to materially affect, our internal control over financial reporting.</w:t>
            </w:r>
          </w:p>
        </w:tc>
      </w:tr>
    </w:tbl>
    <w:tbl>
      <w:tblPr>
        <w:tblW w:w="6891" w:type="dxa"/>
        <w:jc w:val="left"/>
        <w:tblInd w:w="0" w:type="dxa"/>
        <w:tblLayout w:type="fixed"/>
        <w:tblCellMar>
          <w:top w:w="28" w:type="dxa"/>
          <w:left w:w="28" w:type="dxa"/>
          <w:bottom w:w="28" w:type="dxa"/>
          <w:right w:w="28" w:type="dxa"/>
        </w:tblCellMar>
      </w:tblPr>
      <w:tblGrid>
        <w:gridCol w:w="124"/>
        <w:gridCol w:w="31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Management’s Annual Report on Internal Control Over Financial Reporting.</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Management is responsible for establishing and maintaining adequate internal control over financial reporting as defined in Rules 13a-15(f) and 15d-15(f) under the Exchange Act. Our internal control over financial reporting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designed to provide reasonable assurance regarding the reliability of financial reporting and the preparation of financial statements for external purposes in accordance with GAAP. Our internal control over financial reporting includes those policies and procedures that: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(i)pertain to the maintenance of records that, in reasonable detail, accurately and fairly reflect the transactions and dispositions of our assets;</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(ii)provide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pStyle w:val="TextBody"/>
        <w:bidi w:val="0"/>
        <w:ind w:left="1080" w:right="0" w:hanging="0"/>
        <w:jc w:val="left"/>
        <w:rPr>
          <w:rFonts w:ascii="Times New Roman;Times;serif" w:hAnsi="Times New Roman;Times;serif"/>
          <w:sz w:val="20"/>
        </w:rPr>
      </w:pPr>
      <w:r>
        <w:rPr>
          <w:rFonts w:ascii="Times New Roman;Times;serif" w:hAnsi="Times New Roman;Times;serif"/>
          <w:sz w:val="20"/>
        </w:rPr>
        <w:t>(iii)provide reasonable assurance regarding prevention or timely detection of unauthorized acquisition, use or disposition of our assets that could have a material effect on the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Management assessed the effectiveness of our internal control over financial reporting as of December 31, 2025. In making this assessment, management used the criteria described in </w:t>
      </w:r>
      <w:r>
        <w:rPr>
          <w:rFonts w:ascii="Times New Roman;Times;serif" w:hAnsi="Times New Roman;Times;serif"/>
          <w:i/>
          <w:sz w:val="20"/>
        </w:rPr>
        <w:t xml:space="preserve">Internal Control - Integrated Framework (2013) </w:t>
      </w:r>
      <w:r>
        <w:rPr>
          <w:rFonts w:ascii="Times New Roman;Times;serif" w:hAnsi="Times New Roman;Times;serif"/>
          <w:sz w:val="20"/>
        </w:rPr>
        <w:t>issued by the Committee of Sponsoring Organizations of the Treadway Commission.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our assessment and those criteria, management concluded that our internal control over financial reporting was effective as of December 31, 2025. Management reviewed the results of their assessment with our Audit Committee. The effectiveness of our internal control over financial reporting as of December 31, 2025 has been audited by Grant Thornton LLP, an independent registered public accounting firm, as stated in their attestation report as follows.</w:t>
      </w:r>
    </w:p>
    <w:tbl>
      <w:tblPr>
        <w:tblW w:w="5406" w:type="dxa"/>
        <w:jc w:val="left"/>
        <w:tblInd w:w="0" w:type="dxa"/>
        <w:tblLayout w:type="fixed"/>
        <w:tblCellMar>
          <w:top w:w="28" w:type="dxa"/>
          <w:left w:w="28" w:type="dxa"/>
          <w:bottom w:w="28" w:type="dxa"/>
          <w:right w:w="28" w:type="dxa"/>
        </w:tblCellMar>
      </w:tblPr>
      <w:tblGrid>
        <w:gridCol w:w="124"/>
        <w:gridCol w:w="331"/>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Report of Independent Registered Public Accounting Firm.</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 and 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St. Joe Company</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audited the internal control over financial reporting of The St. Joe Company (a Florida corporation) and subsidiaries (the “Company”) as of December 31, 2025,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COSO.</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financial statements of the Company as of and for the year ended December 31, 2025, and our report dated February 25, 2026 expressed an unqualified opinion on those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limitations of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Jacksonville, Florida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25, 2026</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84" w:name="Item9BOtherInformation_91454"/>
      <w:bookmarkStart w:id="85" w:name="_bc912774_2660_4c23_83b6_355087be5512"/>
      <w:bookmarkStart w:id="86" w:name="_Item_9B._"/>
      <w:bookmarkEnd w:id="84"/>
      <w:bookmarkEnd w:id="85"/>
      <w:bookmarkEnd w:id="86"/>
      <w:r>
        <w:rPr>
          <w:rFonts w:ascii="Times New Roman;Times;serif" w:hAnsi="Times New Roman;Times;serif"/>
          <w:b/>
          <w:sz w:val="20"/>
        </w:rPr>
        <w:t>Item 9B.    </w:t>
      </w:r>
      <w:r>
        <w:rPr>
          <w:rFonts w:ascii="Times New Roman;Times;serif" w:hAnsi="Times New Roman;Times;serif"/>
          <w:b/>
          <w:i/>
          <w:sz w:val="20"/>
        </w:rPr>
        <w:t>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fourth quarter of 2025,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240"/>
        <w:ind w:left="0" w:right="0" w:hanging="0"/>
        <w:jc w:val="left"/>
        <w:rPr>
          <w:rFonts w:ascii="Times New Roman;Times;serif" w:hAnsi="Times New Roman;Times;serif"/>
          <w:b/>
          <w:sz w:val="20"/>
        </w:rPr>
      </w:pPr>
      <w:bookmarkStart w:id="87" w:name="Item9CDisclosureRegardingForeignJurisdic"/>
      <w:bookmarkStart w:id="88" w:name="_0e4032b4_12bd_42f1_aca9_2e40e4a9032b"/>
      <w:bookmarkStart w:id="89" w:name="_Item_9C._"/>
      <w:bookmarkEnd w:id="87"/>
      <w:bookmarkEnd w:id="88"/>
      <w:bookmarkEnd w:id="89"/>
      <w:r>
        <w:rPr>
          <w:rFonts w:ascii="Times New Roman;Times;serif" w:hAnsi="Times New Roman;Times;serif"/>
          <w:b/>
          <w:sz w:val="20"/>
        </w:rPr>
        <w:t>Item 9C.    </w:t>
      </w:r>
      <w:r>
        <w:rPr>
          <w:rFonts w:ascii="Times New Roman;Times;serif" w:hAnsi="Times New Roman;Times;serif"/>
          <w:b/>
          <w:i/>
          <w:sz w:val="20"/>
        </w:rPr>
        <w:t>Disclosure Regarding Foreign Jurisdictions that Prevent Inspections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center"/>
        <w:rPr>
          <w:rFonts w:ascii="Times New Roman;Times;serif" w:hAnsi="Times New Roman;Times;serif"/>
          <w:b/>
          <w:sz w:val="20"/>
        </w:rPr>
      </w:pPr>
      <w:bookmarkStart w:id="90" w:name="PARTIII_27894"/>
      <w:bookmarkStart w:id="91" w:name="_c4c4642f_4642_43ed_9e89_1f7ca62c4480"/>
      <w:bookmarkEnd w:id="90"/>
      <w:bookmarkEnd w:id="91"/>
      <w:r>
        <w:rPr>
          <w:rFonts w:ascii="Times New Roman;Times;serif" w:hAnsi="Times New Roman;Times;serif"/>
          <w:b/>
          <w:sz w:val="20"/>
        </w:rPr>
        <w:t>PART III</w:t>
      </w:r>
    </w:p>
    <w:p>
      <w:pPr>
        <w:pStyle w:val="TextBody"/>
        <w:bidi w:val="0"/>
        <w:spacing w:before="0" w:after="180"/>
        <w:ind w:left="0" w:right="0" w:hanging="0"/>
        <w:jc w:val="left"/>
        <w:rPr>
          <w:rFonts w:ascii="Times New Roman;Times;serif" w:hAnsi="Times New Roman;Times;serif"/>
          <w:b/>
          <w:sz w:val="20"/>
        </w:rPr>
      </w:pPr>
      <w:bookmarkStart w:id="92" w:name="Item10DirectorsExecutiveOfficers_850075"/>
      <w:bookmarkEnd w:id="92"/>
      <w:r>
        <w:rPr>
          <w:rFonts w:ascii="Times New Roman;Times;serif" w:hAnsi="Times New Roman;Times;serif"/>
          <w:b/>
          <w:sz w:val="20"/>
        </w:rPr>
        <w:t>Item 10.    </w:t>
      </w:r>
      <w:r>
        <w:rPr>
          <w:rFonts w:ascii="Times New Roman;Times;serif" w:hAnsi="Times New Roman;Times;serif"/>
          <w:b/>
          <w:i/>
          <w:sz w:val="20"/>
        </w:rPr>
        <w:t>Directors, Executive Officers and Corporate Governance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adopted a Code of Business Conduct and Ethics that applies to our directors and executive officers. The Code of Business Conduct and Ethics is located on our internet web site at www.joe.com under “Investor Relations-Corporate Governance.” We intend to provide disclosure of any amendments or waivers of our Code of Business Conduct and Ethics for our executive officers or directors on our website within four business days following the date of the amendment or waiver.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items required by Part III, Item 10 are incorporated herein by reference from the Registrant’s Proxy Statement for our 2026 Annual Meeting of Shareholders to be filed on or before April 30, 2026.</w:t>
      </w:r>
    </w:p>
    <w:p>
      <w:pPr>
        <w:pStyle w:val="TextBody"/>
        <w:bidi w:val="0"/>
        <w:spacing w:before="0" w:after="180"/>
        <w:ind w:left="0" w:right="0" w:hanging="0"/>
        <w:jc w:val="left"/>
        <w:rPr>
          <w:rFonts w:ascii="Times New Roman;Times;serif" w:hAnsi="Times New Roman;Times;serif"/>
          <w:b/>
          <w:sz w:val="20"/>
        </w:rPr>
      </w:pPr>
      <w:bookmarkStart w:id="93" w:name="Item11ExecutiveCompensation_639574"/>
      <w:bookmarkStart w:id="94" w:name="_ad6f6027_ff24_47f2_bc82_066dd7eadf1d"/>
      <w:bookmarkEnd w:id="93"/>
      <w:bookmarkEnd w:id="94"/>
      <w:r>
        <w:rPr>
          <w:rFonts w:ascii="Times New Roman;Times;serif" w:hAnsi="Times New Roman;Times;serif"/>
          <w:b/>
          <w:sz w:val="20"/>
        </w:rPr>
        <w:t>Item 11.    </w:t>
      </w:r>
      <w:r>
        <w:rPr>
          <w:rFonts w:ascii="Times New Roman;Times;serif" w:hAnsi="Times New Roman;Times;serif"/>
          <w:b/>
          <w:i/>
          <w:sz w:val="20"/>
        </w:rPr>
        <w:t>Executive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items required by Part III, Item 11 are incorporated herein by reference from the Registrant’s Proxy Statement for our 2026 Annual Meeting of Shareholders to be filed on or before April 30, 2026.</w:t>
      </w:r>
    </w:p>
    <w:p>
      <w:pPr>
        <w:pStyle w:val="TextBody"/>
        <w:bidi w:val="0"/>
        <w:spacing w:before="0" w:after="180"/>
        <w:ind w:left="0" w:right="0" w:hanging="0"/>
        <w:jc w:val="left"/>
        <w:rPr>
          <w:rFonts w:ascii="Times New Roman;Times;serif" w:hAnsi="Times New Roman;Times;serif"/>
          <w:b/>
          <w:sz w:val="20"/>
        </w:rPr>
      </w:pPr>
      <w:bookmarkStart w:id="95" w:name="Item12SecurityOwnershipofCertainBenefici"/>
      <w:bookmarkStart w:id="96" w:name="_ed3c1851_8ab4_4f9f_86d7_db512cedd297"/>
      <w:bookmarkEnd w:id="95"/>
      <w:bookmarkEnd w:id="96"/>
      <w:r>
        <w:rPr>
          <w:rFonts w:ascii="Times New Roman;Times;serif" w:hAnsi="Times New Roman;Times;serif"/>
          <w:b/>
          <w:sz w:val="20"/>
        </w:rPr>
        <w:t>Item 12.    </w:t>
      </w:r>
      <w:r>
        <w:rPr>
          <w:rFonts w:ascii="Times New Roman;Times;serif" w:hAnsi="Times New Roman;Times;serif"/>
          <w:b/>
          <w:i/>
          <w:sz w:val="20"/>
        </w:rPr>
        <w:t>Security Ownership of Certain Beneficial Owners and Management and Related Stockholder</w:t>
      </w:r>
      <w:r>
        <w:rPr>
          <w:rFonts w:ascii="Times New Roman;Times;serif" w:hAnsi="Times New Roman;Times;serif"/>
          <w:b/>
          <w:sz w:val="20"/>
        </w:rPr>
        <w:t xml:space="preserve"> </w:t>
      </w:r>
      <w:r>
        <w:rPr>
          <w:rFonts w:ascii="Times New Roman;Times;serif" w:hAnsi="Times New Roman;Times;serif"/>
          <w:b/>
          <w:i/>
          <w:sz w:val="20"/>
        </w:rPr>
        <w:t>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items required by Part III, Item 12 are incorporated herein by reference from the Registrant’s Proxy Statement for our 2026 Annual Meeting of Shareholders to be filed on or before April 30, 2026.</w:t>
      </w:r>
    </w:p>
    <w:p>
      <w:pPr>
        <w:pStyle w:val="TextBody"/>
        <w:bidi w:val="0"/>
        <w:spacing w:before="0" w:after="180"/>
        <w:ind w:left="0" w:right="0" w:hanging="0"/>
        <w:jc w:val="left"/>
        <w:rPr>
          <w:rFonts w:ascii="Times New Roman;Times;serif" w:hAnsi="Times New Roman;Times;serif"/>
          <w:b/>
          <w:sz w:val="20"/>
        </w:rPr>
      </w:pPr>
      <w:bookmarkStart w:id="97" w:name="Item13CertainRelationshipsandRelatedTran"/>
      <w:bookmarkStart w:id="98" w:name="_4bf994d3_1e9c_4d70_89e7_ef0095bb7b91"/>
      <w:bookmarkEnd w:id="97"/>
      <w:bookmarkEnd w:id="98"/>
      <w:r>
        <w:rPr>
          <w:rFonts w:ascii="Times New Roman;Times;serif" w:hAnsi="Times New Roman;Times;serif"/>
          <w:b/>
          <w:sz w:val="20"/>
        </w:rPr>
        <w:t>Item 13.    </w:t>
      </w:r>
      <w:r>
        <w:rPr>
          <w:rFonts w:ascii="Times New Roman;Times;serif" w:hAnsi="Times New Roman;Times;serif"/>
          <w:b/>
          <w:i/>
          <w:sz w:val="20"/>
        </w:rPr>
        <w:t>Certain Relationships and Related Transactions and Director Independence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items required by Part III, Item 13 are incorporated herein by reference from the Registrant’s Proxy Statement for our 2026 Annual Meeting of Shareholders to be filed on or before April 30, 2026.</w:t>
      </w:r>
    </w:p>
    <w:p>
      <w:pPr>
        <w:pStyle w:val="TextBody"/>
        <w:bidi w:val="0"/>
        <w:spacing w:before="0" w:after="180"/>
        <w:ind w:left="0" w:right="0" w:hanging="0"/>
        <w:jc w:val="left"/>
        <w:rPr>
          <w:rFonts w:ascii="Times New Roman;Times;serif" w:hAnsi="Times New Roman;Times;serif"/>
          <w:b/>
          <w:sz w:val="20"/>
        </w:rPr>
      </w:pPr>
      <w:bookmarkStart w:id="99" w:name="Item14PrincipalAccountingFees_454886"/>
      <w:bookmarkStart w:id="100" w:name="_9033e330_b765_41c7_acff_736c16d3bc98"/>
      <w:bookmarkEnd w:id="99"/>
      <w:bookmarkEnd w:id="100"/>
      <w:r>
        <w:rPr>
          <w:rFonts w:ascii="Times New Roman;Times;serif" w:hAnsi="Times New Roman;Times;serif"/>
          <w:b/>
          <w:sz w:val="20"/>
        </w:rPr>
        <w:t>Item 14.    </w:t>
      </w:r>
      <w:r>
        <w:rPr>
          <w:rFonts w:ascii="Times New Roman;Times;serif" w:hAnsi="Times New Roman;Times;serif"/>
          <w:b/>
          <w:i/>
          <w:sz w:val="20"/>
        </w:rPr>
        <w:t>Principal Accounting Fees and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items required by Part III, Item 14 are incorporated herein by reference from the Registrant’s Proxy Statement for our 2026 Annual Meeting of Shareholders to be filed on or before April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center"/>
        <w:rPr>
          <w:rFonts w:ascii="Times New Roman;Times;serif" w:hAnsi="Times New Roman;Times;serif"/>
          <w:b/>
          <w:sz w:val="20"/>
        </w:rPr>
      </w:pPr>
      <w:bookmarkStart w:id="101" w:name="PARTIV_63453"/>
      <w:bookmarkStart w:id="102" w:name="_6f71899e_50b7_4f2d_a8b5_ecef95e5055c"/>
      <w:bookmarkEnd w:id="101"/>
      <w:bookmarkEnd w:id="102"/>
      <w:r>
        <w:rPr>
          <w:rFonts w:ascii="Times New Roman;Times;serif" w:hAnsi="Times New Roman;Times;serif"/>
          <w:b/>
          <w:sz w:val="20"/>
        </w:rPr>
        <w:t>PART IV</w:t>
      </w:r>
    </w:p>
    <w:p>
      <w:pPr>
        <w:pStyle w:val="TextBody"/>
        <w:bidi w:val="0"/>
        <w:spacing w:before="0" w:after="180"/>
        <w:ind w:left="0" w:right="0" w:hanging="0"/>
        <w:jc w:val="left"/>
        <w:rPr>
          <w:rFonts w:ascii="Times New Roman;Times;serif" w:hAnsi="Times New Roman;Times;serif"/>
          <w:b/>
          <w:sz w:val="20"/>
        </w:rPr>
      </w:pPr>
      <w:bookmarkStart w:id="103" w:name="Item15ExhibitsFinancialStatementSchedule"/>
      <w:bookmarkEnd w:id="103"/>
      <w:r>
        <w:rPr>
          <w:rFonts w:ascii="Times New Roman;Times;serif" w:hAnsi="Times New Roman;Times;serif"/>
          <w:b/>
          <w:sz w:val="20"/>
        </w:rPr>
        <w:t>Item 15.    </w:t>
      </w:r>
      <w:r>
        <w:rPr>
          <w:rFonts w:ascii="Times New Roman;Times;serif" w:hAnsi="Times New Roman;Times;serif"/>
          <w:b/>
          <w:i/>
          <w:sz w:val="20"/>
        </w:rPr>
        <w:t>Exhibits, Financial Statement Schedules</w:t>
      </w:r>
    </w:p>
    <w:tbl>
      <w:tblPr>
        <w:tblW w:w="2661" w:type="dxa"/>
        <w:jc w:val="left"/>
        <w:tblInd w:w="0" w:type="dxa"/>
        <w:tblLayout w:type="fixed"/>
        <w:tblCellMar>
          <w:top w:w="28" w:type="dxa"/>
          <w:left w:w="28" w:type="dxa"/>
          <w:bottom w:w="28" w:type="dxa"/>
          <w:right w:w="28" w:type="dxa"/>
        </w:tblCellMar>
      </w:tblPr>
      <w:tblGrid>
        <w:gridCol w:w="124"/>
        <w:gridCol w:w="31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22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 </w:t>
            </w:r>
            <w:r>
              <w:rPr>
                <w:caps w:val="false"/>
                <w:smallCaps w:val="false"/>
              </w:rPr>
              <w:t xml:space="preserve"> </w:t>
            </w:r>
            <w:r>
              <w:rPr>
                <w:rFonts w:ascii="Times New Roman;Times;serif" w:hAnsi="Times New Roman;Times;serif"/>
                <w:b w:val="false"/>
                <w:i/>
                <w:sz w:val="20"/>
              </w:rPr>
              <w:t>Financial Statements</w:t>
            </w:r>
          </w:p>
        </w:tc>
      </w:tr>
    </w:tbl>
    <w:p>
      <w:pPr>
        <w:pStyle w:val="TextBody"/>
        <w:bidi w:val="0"/>
        <w:spacing w:before="0" w:after="180"/>
        <w:ind w:left="778" w:right="0" w:hanging="0"/>
        <w:jc w:val="left"/>
        <w:rPr>
          <w:rFonts w:ascii="Times New Roman;Times;serif" w:hAnsi="Times New Roman;Times;serif"/>
          <w:sz w:val="20"/>
        </w:rPr>
      </w:pPr>
      <w:r>
        <w:rPr>
          <w:rFonts w:ascii="Times New Roman;Times;serif" w:hAnsi="Times New Roman;Times;serif"/>
          <w:sz w:val="20"/>
        </w:rPr>
        <w:t>The financial statements listed in the accompanying Index to Financial Statements and Financial Statement Schedules and Report of Independent Registered Public Accounting Firm are filed as part of this Form 10-K.</w:t>
      </w:r>
    </w:p>
    <w:p>
      <w:pPr>
        <w:pStyle w:val="TextBody"/>
        <w:bidi w:val="0"/>
        <w:spacing w:before="0" w:after="180"/>
        <w:ind w:left="720" w:right="0" w:hanging="0"/>
        <w:jc w:val="left"/>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i/>
          <w:sz w:val="20"/>
        </w:rPr>
        <w:t>Financial Statement Schedules</w:t>
      </w:r>
    </w:p>
    <w:p>
      <w:pPr>
        <w:pStyle w:val="TextBody"/>
        <w:bidi w:val="0"/>
        <w:spacing w:before="0" w:after="180"/>
        <w:ind w:left="780" w:right="0" w:hanging="0"/>
        <w:jc w:val="left"/>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financial</w:t>
      </w:r>
      <w:r>
        <w:rPr>
          <w:rFonts w:ascii="Times New Roman;Times;serif" w:hAnsi="Times New Roman;Times;serif"/>
          <w:spacing w:val="-3"/>
          <w:sz w:val="20"/>
        </w:rPr>
        <w:t xml:space="preserve"> </w:t>
      </w:r>
      <w:r>
        <w:rPr>
          <w:rFonts w:ascii="Times New Roman;Times;serif" w:hAnsi="Times New Roman;Times;serif"/>
          <w:sz w:val="20"/>
        </w:rPr>
        <w:t>statement</w:t>
      </w:r>
      <w:r>
        <w:rPr>
          <w:rFonts w:ascii="Times New Roman;Times;serif" w:hAnsi="Times New Roman;Times;serif"/>
          <w:spacing w:val="-3"/>
          <w:sz w:val="20"/>
        </w:rPr>
        <w:t xml:space="preserve"> </w:t>
      </w:r>
      <w:r>
        <w:rPr>
          <w:rFonts w:ascii="Times New Roman;Times;serif" w:hAnsi="Times New Roman;Times;serif"/>
          <w:sz w:val="20"/>
        </w:rPr>
        <w:t>schedules</w:t>
      </w:r>
      <w:r>
        <w:rPr>
          <w:rFonts w:ascii="Times New Roman;Times;serif" w:hAnsi="Times New Roman;Times;serif"/>
          <w:spacing w:val="-3"/>
          <w:sz w:val="20"/>
        </w:rPr>
        <w:t xml:space="preserve"> </w:t>
      </w:r>
      <w:r>
        <w:rPr>
          <w:rFonts w:ascii="Times New Roman;Times;serif" w:hAnsi="Times New Roman;Times;serif"/>
          <w:sz w:val="20"/>
        </w:rPr>
        <w:t>listed</w:t>
      </w:r>
      <w:r>
        <w:rPr>
          <w:rFonts w:ascii="Times New Roman;Times;serif" w:hAnsi="Times New Roman;Times;serif"/>
          <w:spacing w:val="-3"/>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accompanying</w:t>
      </w:r>
      <w:r>
        <w:rPr>
          <w:rFonts w:ascii="Times New Roman;Times;serif" w:hAnsi="Times New Roman;Times;serif"/>
          <w:spacing w:val="-4"/>
          <w:sz w:val="20"/>
        </w:rPr>
        <w:t xml:space="preserve"> </w:t>
      </w:r>
      <w:r>
        <w:rPr>
          <w:rFonts w:ascii="Times New Roman;Times;serif" w:hAnsi="Times New Roman;Times;serif"/>
          <w:sz w:val="20"/>
        </w:rPr>
        <w:t>Index</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Financial</w:t>
      </w:r>
      <w:r>
        <w:rPr>
          <w:rFonts w:ascii="Times New Roman;Times;serif" w:hAnsi="Times New Roman;Times;serif"/>
          <w:spacing w:val="-4"/>
          <w:sz w:val="20"/>
        </w:rPr>
        <w:t xml:space="preserve"> </w:t>
      </w:r>
      <w:r>
        <w:rPr>
          <w:rFonts w:ascii="Times New Roman;Times;serif" w:hAnsi="Times New Roman;Times;serif"/>
          <w:sz w:val="20"/>
        </w:rPr>
        <w:t>Statements</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Financial Statement Schedules are filed as part of this Form 10-K.</w:t>
      </w:r>
    </w:p>
    <w:p>
      <w:pPr>
        <w:pStyle w:val="TextBody"/>
        <w:bidi w:val="0"/>
        <w:spacing w:before="0" w:after="180"/>
        <w:ind w:left="780" w:right="0" w:hanging="0"/>
        <w:jc w:val="left"/>
        <w:rPr>
          <w:rFonts w:ascii="Times New Roman;Times;serif" w:hAnsi="Times New Roman;Times;serif"/>
          <w:sz w:val="20"/>
        </w:rPr>
      </w:pPr>
      <w:r>
        <w:rPr>
          <w:rFonts w:ascii="Times New Roman;Times;serif" w:hAnsi="Times New Roman;Times;serif"/>
          <w:sz w:val="20"/>
        </w:rPr>
        <w:t xml:space="preserve">The financial statements of the Company’s unconsolidated JV, </w:t>
      </w:r>
      <w:r>
        <w:rPr>
          <w:rFonts w:ascii="Times New Roman;Times;serif" w:hAnsi="Times New Roman;Times;serif"/>
          <w:spacing w:val="-4"/>
          <w:sz w:val="20"/>
        </w:rPr>
        <w:t>LMWS, LLC, required by Rule 3-09 of Regulation S-X are provided as Exhibit 99.1 to this report.</w:t>
      </w:r>
    </w:p>
    <w:tbl>
      <w:tblPr>
        <w:tblW w:w="1281" w:type="dxa"/>
        <w:jc w:val="left"/>
        <w:tblInd w:w="0" w:type="dxa"/>
        <w:tblLayout w:type="fixed"/>
        <w:tblCellMar>
          <w:top w:w="28" w:type="dxa"/>
          <w:left w:w="28" w:type="dxa"/>
          <w:bottom w:w="28" w:type="dxa"/>
          <w:right w:w="28" w:type="dxa"/>
        </w:tblCellMar>
      </w:tblPr>
      <w:tblGrid>
        <w:gridCol w:w="124"/>
        <w:gridCol w:w="331"/>
        <w:gridCol w:w="8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Exhibits</w:t>
            </w:r>
          </w:p>
        </w:tc>
      </w:tr>
    </w:tbl>
    <w:p>
      <w:pPr>
        <w:pStyle w:val="TextBody"/>
        <w:bidi w:val="0"/>
        <w:spacing w:before="0" w:after="180"/>
        <w:ind w:left="780" w:right="0" w:hanging="0"/>
        <w:jc w:val="left"/>
        <w:rPr>
          <w:rFonts w:ascii="Times New Roman;Times;serif" w:hAnsi="Times New Roman;Times;serif"/>
          <w:sz w:val="20"/>
        </w:rPr>
      </w:pPr>
      <w:r>
        <w:rPr>
          <w:rFonts w:ascii="Times New Roman;Times;serif" w:hAnsi="Times New Roman;Times;serif"/>
          <w:sz w:val="20"/>
        </w:rPr>
        <w:t>The exhibits listed on the accompanying Index to Exhibits are filed or incorporated by reference as part of this Form 10-K.</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706"/>
        <w:gridCol w:w="346"/>
        <w:gridCol w:w="915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24155" cy="175260"/>
                      <wp:effectExtent l="0" t="0" r="0" b="0"/>
                      <wp:wrapNone/>
                      <wp:docPr id="283" name="Frame282"/>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09855" cy="175260"/>
                      <wp:effectExtent l="0" t="0" r="0" b="0"/>
                      <wp:wrapNone/>
                      <wp:docPr id="284" name="Frame283"/>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1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905760" cy="175260"/>
                      <wp:effectExtent l="0" t="0" r="0" b="0"/>
                      <wp:wrapNone/>
                      <wp:docPr id="285" name="Frame284"/>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0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bottom w:val="single" w:sz="8" w:space="0" w:color="000000"/>
            </w:tcBorders>
            <w:tcMar>
              <w:bottom w:w="28" w:type="dxa"/>
            </w:tcMar>
            <w:vAlign w:val="center"/>
          </w:tcPr>
          <w:p>
            <w:pPr>
              <w:pStyle w:val="TableHeading"/>
              <w:bidi w:val="0"/>
              <w:spacing w:before="0" w:after="40"/>
              <w:ind w:left="0" w:right="0" w:hanging="0"/>
              <w:jc w:val="left"/>
              <w:rPr/>
            </w:pPr>
            <w:r>
              <w:rPr/>
              <w:t>  ​ ​ ​</w:t>
            </w:r>
          </w:p>
        </w:tc>
        <w:tc>
          <w:tcPr>
            <w:tcW w:w="9153" w:type="dxa"/>
            <w:tcBorders>
              <w:bottom w:val="single" w:sz="8" w:space="0" w:color="000000"/>
            </w:tcBorders>
            <w:tcMar>
              <w:bottom w:w="28" w:type="dxa"/>
            </w:tcMar>
            <w:vAlign w:val="center"/>
          </w:tcPr>
          <w:p>
            <w:pPr>
              <w:pStyle w:val="TableHeading"/>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r:id="rId3">
              <w:r>
                <w:rPr>
                  <w:rStyle w:val="InternetLink"/>
                  <w:rFonts w:ascii="Times New Roman;Times;serif" w:hAnsi="Times New Roman;Times;serif"/>
                  <w:b w:val="false"/>
                  <w:i w:val="false"/>
                  <w:caps w:val="false"/>
                  <w:smallCaps w:val="false"/>
                  <w:sz w:val="20"/>
                </w:rPr>
                <w:t>Restated and Amended Articles of Incorporation of the registrant, (incorporated by reference to Exhibit 3.1 to the registrant’s Quarterly Report on Form 10-Q for the quarter ended June 30, 2010).</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Amended and Restated Bylaws of the registrant (incorporated by reference to Exhibit 3.1 to the registrant’s Current Report on Form 8-K filed on November 15, 2022)</w:t>
              </w:r>
            </w:hyperlink>
            <w:r>
              <w:rPr>
                <w:rFonts w:ascii="Times New Roman;Times;serif" w:hAnsi="Times New Roman;Times;serif"/>
                <w:sz w:val="20"/>
              </w:rPr>
              <w:t>.</w:t>
            </w:r>
          </w:p>
        </w:tc>
      </w:tr>
      <w:tr>
        <w:trPr/>
        <w:tc>
          <w:tcPr>
            <w:tcW w:w="706" w:type="dxa"/>
            <w:tcBorders/>
            <w:vAlign w:val="center"/>
          </w:tcPr>
          <w:p>
            <w:pPr>
              <w:pStyle w:val="TableContents"/>
              <w:bidi w:val="0"/>
              <w:spacing w:before="0" w:after="40"/>
              <w:ind w:left="0" w:right="0" w:hanging="0"/>
              <w:jc w:val="center"/>
              <w:rPr/>
            </w:pPr>
            <w:r>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r>
              <w:rPr/>
              <w:t>​</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r:id="rId5">
              <w:r>
                <w:rPr>
                  <w:rStyle w:val="InternetLink"/>
                  <w:rFonts w:ascii="Times New Roman;Times;serif" w:hAnsi="Times New Roman;Times;serif"/>
                  <w:b w:val="false"/>
                  <w:i w:val="false"/>
                  <w:caps w:val="false"/>
                  <w:smallCaps w:val="false"/>
                  <w:sz w:val="20"/>
                </w:rPr>
                <w:t>Indenture, dated April 10, 2014, between Northwest Florida Timber Finance, LLC and Wilmington Trust, National Association (incorporated by reference to Exhibit 4.1 to the registrant’s Quarterly Report on Form 10-Q for the quarter ended June 30, 2014).</w:t>
              </w:r>
            </w:hyperlink>
          </w:p>
        </w:tc>
      </w:tr>
      <w:tr>
        <w:trPr/>
        <w:tc>
          <w:tcPr>
            <w:tcW w:w="706" w:type="dxa"/>
            <w:tcBorders/>
            <w:vAlign w:val="center"/>
          </w:tcPr>
          <w:p>
            <w:pPr>
              <w:pStyle w:val="TableContents"/>
              <w:bidi w:val="0"/>
              <w:spacing w:before="0" w:after="40"/>
              <w:ind w:left="0" w:right="0" w:hanging="0"/>
              <w:jc w:val="left"/>
              <w:rPr/>
            </w:pPr>
            <w:r>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r>
              <w:rPr/>
              <w:t>​</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r:id="rId6">
              <w:r>
                <w:rPr>
                  <w:rStyle w:val="InternetLink"/>
                  <w:rFonts w:ascii="Times New Roman;Times;serif" w:hAnsi="Times New Roman;Times;serif"/>
                  <w:b w:val="false"/>
                  <w:i w:val="false"/>
                  <w:caps w:val="false"/>
                  <w:smallCaps w:val="false"/>
                  <w:sz w:val="20"/>
                </w:rPr>
                <w:t>Form of 4.750% Senior Secured Note due 2029 (incorporated by reference to Exhibit 4.1 to the registrant’s Quarterly Report on Form 10-Q for the quarter ended June 30, 2014).</w:t>
              </w:r>
            </w:hyperlink>
          </w:p>
        </w:tc>
      </w:tr>
      <w:tr>
        <w:trPr/>
        <w:tc>
          <w:tcPr>
            <w:tcW w:w="706" w:type="dxa"/>
            <w:tcBorders/>
            <w:vAlign w:val="center"/>
          </w:tcPr>
          <w:p>
            <w:pPr>
              <w:pStyle w:val="TableContents"/>
              <w:bidi w:val="0"/>
              <w:spacing w:before="0" w:after="40"/>
              <w:ind w:left="0" w:right="0" w:hanging="0"/>
              <w:jc w:val="left"/>
              <w:rPr/>
            </w:pPr>
            <w:r>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r>
              <w:rPr/>
              <w:t>​</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r:id="rId7">
              <w:r>
                <w:rPr>
                  <w:rStyle w:val="InternetLink"/>
                  <w:rFonts w:ascii="Times New Roman;Times;serif" w:hAnsi="Times New Roman;Times;serif"/>
                  <w:b w:val="false"/>
                  <w:i w:val="false"/>
                  <w:caps w:val="false"/>
                  <w:smallCaps w:val="false"/>
                  <w:sz w:val="20"/>
                </w:rPr>
                <w:t>Description of the Common Stock Registered Under Section 12 of the Securities Exchange Act of 1934 (incorporated by reference to Exhibit 4.3 to the registrant’s Annual Report on Form 10-K for the year ended December 31, 2019).</w:t>
              </w:r>
            </w:hyperlink>
          </w:p>
        </w:tc>
      </w:tr>
      <w:tr>
        <w:trPr/>
        <w:tc>
          <w:tcPr>
            <w:tcW w:w="706" w:type="dxa"/>
            <w:tcBorders/>
            <w:vAlign w:val="center"/>
          </w:tcPr>
          <w:p>
            <w:pPr>
              <w:pStyle w:val="TableContents"/>
              <w:bidi w:val="0"/>
              <w:spacing w:before="0" w:after="40"/>
              <w:ind w:left="0" w:right="0" w:hanging="0"/>
              <w:jc w:val="left"/>
              <w:rPr/>
            </w:pPr>
            <w:r>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r:id="rId8">
              <w:r>
                <w:rPr>
                  <w:rStyle w:val="InternetLink"/>
                  <w:rFonts w:ascii="Times New Roman;Times;serif" w:hAnsi="Times New Roman;Times;serif"/>
                  <w:b w:val="false"/>
                  <w:i w:val="false"/>
                  <w:caps w:val="false"/>
                  <w:smallCaps w:val="false"/>
                  <w:sz w:val="20"/>
                </w:rPr>
                <w:t>Form of Indemnification Agreement for Directors and Officers (incorporated by reference to Exhibit 10.1 to the registrant’s Current Report on Form 8-K filed on February 13, 2009).</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Restricted Stock Award (Executive Officers) (incorporated by reference to Exhibit 10.1 to the registrant’s Quarterly Report on Form 10-Q for the quarter ended March 31, 2022).</w:t>
              </w:r>
            </w:hyperlink>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Restricted Stock Award (CEO) (incorporated by reference to Exhibit 10.2 to the registrant’s Quarterly Report on Form 10-Q for the quarter ended June 30, 2022).</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r:id="rId11">
              <w:r>
                <w:rPr>
                  <w:rStyle w:val="InternetLink"/>
                  <w:rFonts w:ascii="Times New Roman;Times;serif" w:hAnsi="Times New Roman;Times;serif"/>
                  <w:b w:val="false"/>
                  <w:i w:val="false"/>
                  <w:caps w:val="false"/>
                  <w:smallCaps w:val="false"/>
                  <w:sz w:val="20"/>
                </w:rPr>
                <w:t>Master Airport Access Agreement dated November 22, 2010 by and between the registrant and the Panama City-Bay County Airport and Industrial District (the “Airport District”) (including as attachments the Land Donation Agreement dated August 22, 2006, by and between the registrant and the Airport District, and the Special Warranty Deed dated November 29, 2007, granted by St. Joe Timberland Company of Delaware, LLC to the Airport District) (incorporated by reference to Exhibit 10.1 to the registrant’s Current Report on Form 8-K filed on November 30, 2010).</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346"/>
        <w:gridCol w:w="915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4155" cy="175260"/>
                      <wp:effectExtent l="0" t="0" r="0" b="0"/>
                      <wp:wrapNone/>
                      <wp:docPr id="286" name="Frame28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09855" cy="175260"/>
                      <wp:effectExtent l="0" t="0" r="0" b="0"/>
                      <wp:wrapNone/>
                      <wp:docPr id="287" name="Frame286"/>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1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905760" cy="175260"/>
                      <wp:effectExtent l="0" t="0" r="0" b="0"/>
                      <wp:wrapNone/>
                      <wp:docPr id="288" name="Frame287"/>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0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bottom w:val="single" w:sz="8" w:space="0" w:color="000000"/>
            </w:tcBorders>
            <w:tcMar>
              <w:bottom w:w="28" w:type="dxa"/>
            </w:tcMar>
            <w:vAlign w:val="center"/>
          </w:tcPr>
          <w:p>
            <w:pPr>
              <w:pStyle w:val="TableHeading"/>
              <w:bidi w:val="0"/>
              <w:spacing w:before="0" w:after="40"/>
              <w:ind w:left="0" w:right="0" w:hanging="0"/>
              <w:jc w:val="left"/>
              <w:rPr/>
            </w:pPr>
            <w:r>
              <w:rPr/>
              <w:t>  ​ ​ ​</w:t>
            </w:r>
          </w:p>
        </w:tc>
        <w:tc>
          <w:tcPr>
            <w:tcW w:w="9153" w:type="dxa"/>
            <w:tcBorders>
              <w:bottom w:val="single" w:sz="8" w:space="0" w:color="000000"/>
            </w:tcBorders>
            <w:tcMar>
              <w:bottom w:w="28" w:type="dxa"/>
            </w:tcMar>
            <w:vAlign w:val="center"/>
          </w:tcPr>
          <w:p>
            <w:pPr>
              <w:pStyle w:val="TableHeading"/>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r:id="rId12">
              <w:r>
                <w:rPr>
                  <w:rStyle w:val="InternetLink"/>
                  <w:rFonts w:ascii="Times New Roman;Times;serif" w:hAnsi="Times New Roman;Times;serif"/>
                  <w:b w:val="false"/>
                  <w:i w:val="false"/>
                  <w:caps w:val="false"/>
                  <w:smallCaps w:val="false"/>
                  <w:sz w:val="20"/>
                </w:rPr>
                <w:t>2015 Performance and Equity Incentive Plan (incorporated by reference to Exhibit 10.22a to the registrant’s Annual Report on Form 10-K for the year ended December 31, 2015).</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2025 Performance and Equity Incentive Plan (incorporated by reference to Annex A to the Company’s Definitive Proxy Statement filed on April 1, 2025)</w:t>
              </w:r>
            </w:hyperlink>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r:id="rId14">
              <w:r>
                <w:rPr>
                  <w:rStyle w:val="InternetLink"/>
                  <w:rFonts w:ascii="Times New Roman;Times;serif" w:hAnsi="Times New Roman;Times;serif"/>
                  <w:b w:val="false"/>
                  <w:i w:val="false"/>
                  <w:caps w:val="false"/>
                  <w:smallCaps w:val="false"/>
                  <w:sz w:val="20"/>
                </w:rPr>
                <w:t>Employment Agreement, dated October 1, 2013, between Marek Bakun and The St. Joe Company (incorporated by reference to Exhibit 10.52 to the registrant’s Current Report on Form 8-K filed on October 3, 2013).</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r:id="rId15">
              <w:r>
                <w:rPr>
                  <w:rStyle w:val="InternetLink"/>
                  <w:rFonts w:ascii="Times New Roman;Times;serif" w:hAnsi="Times New Roman;Times;serif"/>
                  <w:b w:val="false"/>
                  <w:i w:val="false"/>
                  <w:caps w:val="false"/>
                  <w:smallCaps w:val="false"/>
                  <w:sz w:val="20"/>
                </w:rPr>
                <w:t>Form of Note Purchase Agreement (incorporated by reference to Exhibit 10.58 to the registrant’s Current Report on Form 8-K filed on April 9, 2014).</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19.1</w:t>
            </w:r>
            <w:r>
              <w:rPr>
                <w:rFonts w:ascii="Times New Roman;Times;serif" w:hAnsi="Times New Roman;Times;serif"/>
                <w:sz w:val="15"/>
              </w:rPr>
              <w:t>**</w:t>
            </w:r>
          </w:p>
        </w:tc>
        <w:tc>
          <w:tcPr>
            <w:tcW w:w="346" w:type="dxa"/>
            <w:tcBorders/>
            <w:vAlign w:val="center"/>
          </w:tcPr>
          <w:p>
            <w:pPr>
              <w:pStyle w:val="TableContents"/>
              <w:bidi w:val="0"/>
              <w:spacing w:before="0" w:after="40"/>
              <w:ind w:left="0" w:right="0" w:hanging="0"/>
              <w:jc w:val="center"/>
              <w:rPr/>
            </w:pPr>
            <w:r>
              <w:rPr/>
              <w:t>​</w:t>
            </w:r>
          </w:p>
        </w:tc>
        <w:tc>
          <w:tcPr>
            <w:tcW w:w="9153" w:type="dxa"/>
            <w:tcBorders/>
            <w:vAlign w:val="center"/>
          </w:tcPr>
          <w:p>
            <w:pPr>
              <w:pStyle w:val="TableContents"/>
              <w:bidi w:val="0"/>
              <w:spacing w:before="0" w:after="40"/>
              <w:ind w:left="0" w:right="0" w:hanging="0"/>
              <w:jc w:val="left"/>
              <w:rPr/>
            </w:pPr>
            <w:hyperlink w:anchor="joe-20251231xex19d1.htm">
              <w:r>
                <w:rPr>
                  <w:rStyle w:val="InternetLink"/>
                  <w:rFonts w:ascii="Times New Roman;Times;serif" w:hAnsi="Times New Roman;Times;serif"/>
                  <w:b w:val="false"/>
                  <w:i w:val="false"/>
                  <w:caps w:val="false"/>
                  <w:smallCaps w:val="false"/>
                  <w:sz w:val="20"/>
                </w:rPr>
                <w:t>Insider Trading Policy</w:t>
              </w:r>
            </w:hyperlink>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21.1</w:t>
            </w:r>
            <w:r>
              <w:rPr>
                <w:rFonts w:ascii="Times New Roman;Times;serif" w:hAnsi="Times New Roman;Times;serif"/>
                <w:sz w:val="15"/>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w:anchor="joe-20251231xex21d1.htm">
              <w:r>
                <w:rPr>
                  <w:rStyle w:val="InternetLink"/>
                  <w:rFonts w:ascii="Times New Roman;Times;serif" w:hAnsi="Times New Roman;Times;serif"/>
                  <w:b w:val="false"/>
                  <w:i w:val="false"/>
                  <w:caps w:val="false"/>
                  <w:smallCaps w:val="false"/>
                  <w:sz w:val="20"/>
                </w:rPr>
                <w:t>Subsidiaries of The St. Joe Company.</w:t>
              </w:r>
            </w:hyperlink>
          </w:p>
        </w:tc>
      </w:tr>
      <w:tr>
        <w:trPr/>
        <w:tc>
          <w:tcPr>
            <w:tcW w:w="706"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153"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23.1</w:t>
            </w:r>
            <w:r>
              <w:rPr>
                <w:rFonts w:ascii="Times New Roman;Times;serif" w:hAnsi="Times New Roman;Times;serif"/>
                <w:sz w:val="15"/>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w:anchor="joe-20251231xex23d1.htm">
              <w:r>
                <w:rPr>
                  <w:rStyle w:val="InternetLink"/>
                  <w:rFonts w:ascii="Times New Roman;Times;serif" w:hAnsi="Times New Roman;Times;serif"/>
                  <w:b w:val="false"/>
                  <w:i w:val="false"/>
                  <w:caps w:val="false"/>
                  <w:smallCaps w:val="false"/>
                  <w:sz w:val="20"/>
                </w:rPr>
                <w:t>Consent of Grant Thornton LLP, independent registered public accounting firm for the registrant.</w:t>
              </w:r>
            </w:hyperlink>
          </w:p>
        </w:tc>
      </w:tr>
      <w:tr>
        <w:trPr/>
        <w:tc>
          <w:tcPr>
            <w:tcW w:w="706" w:type="dxa"/>
            <w:tcBorders/>
            <w:vAlign w:val="center"/>
          </w:tcPr>
          <w:p>
            <w:pPr>
              <w:pStyle w:val="TableContents"/>
              <w:bidi w:val="0"/>
              <w:spacing w:before="0" w:after="40"/>
              <w:ind w:left="0" w:right="0" w:hanging="0"/>
              <w:jc w:val="center"/>
              <w:rPr/>
            </w:pPr>
            <w:r>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23.2</w:t>
            </w:r>
            <w:r>
              <w:rPr>
                <w:rFonts w:ascii="Times New Roman;Times;serif" w:hAnsi="Times New Roman;Times;serif"/>
                <w:sz w:val="15"/>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w:anchor="joe-20251231xex23d2.htm">
              <w:r>
                <w:rPr>
                  <w:rStyle w:val="InternetLink"/>
                  <w:rFonts w:ascii="Times New Roman;Times;serif" w:hAnsi="Times New Roman;Times;serif"/>
                  <w:b w:val="false"/>
                  <w:i w:val="false"/>
                  <w:caps w:val="false"/>
                  <w:smallCaps w:val="false"/>
                  <w:sz w:val="20"/>
                </w:rPr>
                <w:t>Consent of independent auditors regarding opinion in Exhibit 99.1.</w:t>
              </w:r>
            </w:hyperlink>
          </w:p>
        </w:tc>
      </w:tr>
      <w:tr>
        <w:trPr/>
        <w:tc>
          <w:tcPr>
            <w:tcW w:w="706" w:type="dxa"/>
            <w:tcBorders/>
            <w:vAlign w:val="center"/>
          </w:tcPr>
          <w:p>
            <w:pPr>
              <w:pStyle w:val="TableContents"/>
              <w:bidi w:val="0"/>
              <w:spacing w:before="0" w:after="40"/>
              <w:ind w:left="0" w:right="0" w:hanging="0"/>
              <w:jc w:val="center"/>
              <w:rPr/>
            </w:pPr>
            <w:r>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31.1</w:t>
            </w:r>
            <w:r>
              <w:rPr>
                <w:rFonts w:ascii="Times New Roman;Times;serif" w:hAnsi="Times New Roman;Times;serif"/>
                <w:sz w:val="15"/>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w:anchor="joe-20251231xex31d1.htm">
              <w:r>
                <w:rPr>
                  <w:rStyle w:val="InternetLink"/>
                  <w:rFonts w:ascii="Times New Roman;Times;serif" w:hAnsi="Times New Roman;Times;serif"/>
                  <w:b w:val="false"/>
                  <w:i w:val="false"/>
                  <w:caps w:val="false"/>
                  <w:smallCaps w:val="false"/>
                  <w:sz w:val="20"/>
                </w:rPr>
                <w:t>Certification by Chief Executive Officer.</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31.2</w:t>
            </w:r>
            <w:r>
              <w:rPr>
                <w:rFonts w:ascii="Times New Roman;Times;serif" w:hAnsi="Times New Roman;Times;serif"/>
                <w:sz w:val="15"/>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w:anchor="joe-20251231xex31d2.htm">
              <w:r>
                <w:rPr>
                  <w:rStyle w:val="InternetLink"/>
                  <w:rFonts w:ascii="Times New Roman;Times;serif" w:hAnsi="Times New Roman;Times;serif"/>
                  <w:b w:val="false"/>
                  <w:i w:val="false"/>
                  <w:caps w:val="false"/>
                  <w:smallCaps w:val="false"/>
                  <w:sz w:val="20"/>
                </w:rPr>
                <w:t>Certification by Chief Financial Officer.</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32.1</w:t>
            </w:r>
            <w:r>
              <w:rPr>
                <w:rFonts w:ascii="Times New Roman;Times;serif" w:hAnsi="Times New Roman;Times;serif"/>
                <w:sz w:val="15"/>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w:anchor="joe-20251231xex32d1.htm">
              <w:r>
                <w:rPr>
                  <w:rStyle w:val="InternetLink"/>
                  <w:rFonts w:ascii="Times New Roman;Times;serif" w:hAnsi="Times New Roman;Times;serif"/>
                  <w:b w:val="false"/>
                  <w:i w:val="false"/>
                  <w:caps w:val="false"/>
                  <w:smallCaps w:val="false"/>
                  <w:sz w:val="20"/>
                </w:rPr>
                <w:t>Certification by Chief Executive Officer.</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32.2</w:t>
            </w:r>
            <w:r>
              <w:rPr>
                <w:rFonts w:ascii="Times New Roman;Times;serif" w:hAnsi="Times New Roman;Times;serif"/>
                <w:sz w:val="15"/>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w:anchor="joe-20251231xex32d2.htm">
              <w:r>
                <w:rPr>
                  <w:rStyle w:val="InternetLink"/>
                  <w:rFonts w:ascii="Times New Roman;Times;serif" w:hAnsi="Times New Roman;Times;serif"/>
                  <w:b w:val="false"/>
                  <w:i w:val="false"/>
                  <w:caps w:val="false"/>
                  <w:smallCaps w:val="false"/>
                  <w:sz w:val="20"/>
                </w:rPr>
                <w:t>Certification by Chief Financial Officer.</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Clawback Policy (incorporated by reference to Exhibit 97 to the registrant’s Annual Report on Form 10-K for the year ended December 31, 2023).</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99.1</w:t>
            </w:r>
            <w:r>
              <w:rPr>
                <w:rFonts w:ascii="Times New Roman;Times;serif" w:hAnsi="Times New Roman;Times;serif"/>
                <w:sz w:val="15"/>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hyperlink w:anchor="joe-20251231xex99d1.htm">
              <w:r>
                <w:rPr>
                  <w:rStyle w:val="InternetLink"/>
                  <w:rFonts w:ascii="Times New Roman;Times;serif" w:hAnsi="Times New Roman;Times;serif"/>
                  <w:b w:val="false"/>
                  <w:i w:val="false"/>
                  <w:caps w:val="false"/>
                  <w:smallCaps w:val="false"/>
                  <w:sz w:val="20"/>
                </w:rPr>
                <w:t>Financial Statements of LMWS, LLC as of December 31, 2025 and 2024 and for the years ended December 31, 2025, 2024 and 2023</w:t>
              </w:r>
            </w:hyperlink>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pPr>
            <w:r>
              <w:rPr/>
              <w:t>​</w:t>
            </w:r>
          </w:p>
        </w:tc>
      </w:tr>
      <w:tr>
        <w:trPr/>
        <w:tc>
          <w:tcPr>
            <w:tcW w:w="70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sz w:val="20"/>
              </w:rPr>
              <w:t>101</w:t>
            </w:r>
            <w:r>
              <w:rPr>
                <w:rFonts w:ascii="Times New Roman;Times;serif" w:hAnsi="Times New Roman;Times;serif"/>
                <w:sz w:val="15"/>
              </w:rPr>
              <w:t>**</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The following information from the registrant’s Annual Report on Form 10-K for the year ended December 31, 2025, formatted in Inline XBRL (eXtensible Business Reporting Language): (i) the Consolidated Balance Sheets, (ii) the Consolidated Statements of Income, (iii) the Consolidated Statements of Comprehensive Income, (iv) the Consolidated Statements of Equity, (v) the Consolidated Statements of Cash Flows and (vi) Notes to the Consolidated Financial Statements.</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40"/>
              <w:ind w:left="0" w:right="0" w:hanging="0"/>
              <w:jc w:val="left"/>
              <w:rPr/>
            </w:pPr>
            <w:r>
              <w:rPr/>
              <w:t>​</w:t>
            </w:r>
          </w:p>
        </w:tc>
        <w:tc>
          <w:tcPr>
            <w:tcW w:w="9153"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pBdr/>
        <w:bidi w:val="0"/>
        <w:spacing w:before="0" w:after="0"/>
        <w:ind w:left="0" w:right="0" w:hanging="576"/>
        <w:jc w:val="left"/>
        <w:rPr>
          <w:rFonts w:ascii="Times New Roman;Times;serif" w:hAnsi="Times New Roman;Times;serif"/>
          <w:sz w:val="18"/>
        </w:rPr>
      </w:pPr>
      <w:r>
        <w:rPr>
          <w:rFonts w:ascii="Times New Roman;Times;serif" w:hAnsi="Times New Roman;Times;serif"/>
          <w:sz w:val="18"/>
        </w:rPr>
        <w:t>*      Furnished herewith.</w:t>
      </w:r>
    </w:p>
    <w:p>
      <w:pPr>
        <w:pStyle w:val="TextBody"/>
        <w:pBdr/>
        <w:bidi w:val="0"/>
        <w:spacing w:before="0" w:after="0"/>
        <w:ind w:left="0" w:right="0" w:hanging="576"/>
        <w:jc w:val="left"/>
        <w:rPr>
          <w:rFonts w:ascii="Times New Roman;Times;serif" w:hAnsi="Times New Roman;Times;serif"/>
          <w:sz w:val="18"/>
        </w:rPr>
      </w:pPr>
      <w:r>
        <w:rPr>
          <w:rFonts w:ascii="Times New Roman;Times;serif" w:hAnsi="Times New Roman;Times;serif"/>
          <w:sz w:val="18"/>
        </w:rPr>
        <w:t>**    Filed herewith.</w:t>
      </w:r>
    </w:p>
    <w:p>
      <w:pPr>
        <w:pStyle w:val="TextBody"/>
        <w:pBdr/>
        <w:bidi w:val="0"/>
        <w:spacing w:before="0" w:after="0"/>
        <w:ind w:left="0" w:right="0" w:hanging="576"/>
        <w:jc w:val="left"/>
        <w:rPr/>
      </w:pPr>
      <w:r>
        <w:rPr/>
        <w:t>†      </w:t>
      </w:r>
      <w:r>
        <w:rPr>
          <w:rFonts w:ascii="Times New Roman;Times;serif" w:hAnsi="Times New Roman;Times;serif"/>
          <w:sz w:val="18"/>
        </w:rPr>
        <w:t>Management contract or compensatory plan or arrangement</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4" w:name="SIGNATURES_80104"/>
      <w:bookmarkStart w:id="105" w:name="_5f6f1d9f_4370_49f5_afa6_ae5f29b6b33a"/>
      <w:bookmarkEnd w:id="104"/>
      <w:bookmarkEnd w:id="105"/>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293" w:type="dxa"/>
        <w:jc w:val="left"/>
        <w:tblInd w:w="0" w:type="dxa"/>
        <w:tblLayout w:type="fixed"/>
        <w:tblCellMar>
          <w:top w:w="0" w:type="dxa"/>
          <w:left w:w="0" w:type="dxa"/>
          <w:bottom w:w="0" w:type="dxa"/>
          <w:right w:w="0" w:type="dxa"/>
        </w:tblCellMar>
      </w:tblPr>
      <w:tblGrid>
        <w:gridCol w:w="556"/>
        <w:gridCol w:w="1591"/>
        <w:gridCol w:w="5146"/>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267710" cy="175260"/>
                      <wp:effectExtent l="0" t="0" r="0" b="0"/>
                      <wp:wrapNone/>
                      <wp:docPr id="289" name="Frame288"/>
                      <a:graphic xmlns:a="http://schemas.openxmlformats.org/drawingml/2006/main">
                        <a:graphicData uri="http://schemas.microsoft.com/office/word/2010/wordprocessingShape">
                          <wps:wsp>
                            <wps:cNvSpPr txBox="1"/>
                            <wps:spPr>
                              <a:xfrm>
                                <a:off x="0" y="0"/>
                                <a:ext cx="326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40"/>
              <w:ind w:left="0" w:right="0" w:hanging="0"/>
              <w:jc w:val="left"/>
              <w:rPr/>
            </w:pPr>
            <w:r>
              <w:rPr/>
              <w:t>​</w:t>
            </w:r>
          </w:p>
        </w:tc>
        <w:tc>
          <w:tcPr>
            <w:tcW w:w="1591" w:type="dxa"/>
            <w:tcBorders/>
            <w:vAlign w:val="center"/>
          </w:tcPr>
          <w:p>
            <w:pPr>
              <w:pStyle w:val="TableContents"/>
              <w:bidi w:val="0"/>
              <w:spacing w:before="0" w:after="40"/>
              <w:ind w:left="0" w:right="0" w:hanging="0"/>
              <w:jc w:val="left"/>
              <w:rPr/>
            </w:pPr>
            <w:r>
              <w:rPr/>
              <w:t>​</w:t>
            </w:r>
          </w:p>
        </w:tc>
        <w:tc>
          <w:tcPr>
            <w:tcW w:w="5146"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THE ST. JOE COMPANY</w:t>
            </w:r>
          </w:p>
        </w:tc>
      </w:tr>
      <w:tr>
        <w:trPr/>
        <w:tc>
          <w:tcPr>
            <w:tcW w:w="556" w:type="dxa"/>
            <w:tcBorders/>
            <w:vAlign w:val="center"/>
          </w:tcPr>
          <w:p>
            <w:pPr>
              <w:pStyle w:val="TableContents"/>
              <w:bidi w:val="0"/>
              <w:spacing w:before="0" w:after="40"/>
              <w:ind w:left="0" w:right="0" w:hanging="0"/>
              <w:jc w:val="left"/>
              <w:rPr/>
            </w:pPr>
            <w:r>
              <w:rPr/>
              <w:t>​</w:t>
            </w:r>
          </w:p>
        </w:tc>
        <w:tc>
          <w:tcPr>
            <w:tcW w:w="1591" w:type="dxa"/>
            <w:tcBorders/>
            <w:vAlign w:val="center"/>
          </w:tcPr>
          <w:p>
            <w:pPr>
              <w:pStyle w:val="TableContents"/>
              <w:bidi w:val="0"/>
              <w:spacing w:before="0" w:after="40"/>
              <w:ind w:left="0" w:right="0" w:hanging="0"/>
              <w:jc w:val="left"/>
              <w:rPr/>
            </w:pPr>
            <w:r>
              <w:rPr/>
              <w:t>​</w:t>
            </w:r>
          </w:p>
        </w:tc>
        <w:tc>
          <w:tcPr>
            <w:tcW w:w="5146" w:type="dxa"/>
            <w:tcBorders/>
            <w:vAlign w:val="center"/>
          </w:tcPr>
          <w:p>
            <w:pPr>
              <w:pStyle w:val="TableContents"/>
              <w:bidi w:val="0"/>
              <w:spacing w:before="0" w:after="40"/>
              <w:ind w:left="0" w:right="0" w:hanging="0"/>
              <w:jc w:val="left"/>
              <w:rPr/>
            </w:pPr>
            <w:r>
              <w:rPr/>
              <w:t>​</w:t>
            </w:r>
          </w:p>
        </w:tc>
      </w:tr>
      <w:tr>
        <w:trPr/>
        <w:tc>
          <w:tcPr>
            <w:tcW w:w="556"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February 25, 2026</w:t>
            </w:r>
          </w:p>
        </w:tc>
        <w:tc>
          <w:tcPr>
            <w:tcW w:w="5146"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 Jorge L. Gonzalez</w:t>
            </w:r>
          </w:p>
        </w:tc>
      </w:tr>
      <w:tr>
        <w:trPr/>
        <w:tc>
          <w:tcPr>
            <w:tcW w:w="556" w:type="dxa"/>
            <w:tcBorders/>
            <w:vAlign w:val="center"/>
          </w:tcPr>
          <w:p>
            <w:pPr>
              <w:pStyle w:val="TableContents"/>
              <w:bidi w:val="0"/>
              <w:spacing w:before="0" w:after="40"/>
              <w:ind w:left="0" w:right="0" w:hanging="0"/>
              <w:jc w:val="left"/>
              <w:rPr/>
            </w:pPr>
            <w:r>
              <w:rPr/>
              <w:t>​</w:t>
            </w:r>
          </w:p>
        </w:tc>
        <w:tc>
          <w:tcPr>
            <w:tcW w:w="1591" w:type="dxa"/>
            <w:tcBorders/>
            <w:vAlign w:val="center"/>
          </w:tcPr>
          <w:p>
            <w:pPr>
              <w:pStyle w:val="TableContents"/>
              <w:bidi w:val="0"/>
              <w:spacing w:before="0" w:after="40"/>
              <w:ind w:left="0" w:right="0" w:hanging="0"/>
              <w:jc w:val="left"/>
              <w:rPr/>
            </w:pPr>
            <w:r>
              <w:rPr/>
              <w:t>​</w:t>
            </w:r>
          </w:p>
        </w:tc>
        <w:tc>
          <w:tcPr>
            <w:tcW w:w="5146"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Jorge L. Gonzalez</w:t>
            </w:r>
          </w:p>
        </w:tc>
      </w:tr>
      <w:tr>
        <w:trPr/>
        <w:tc>
          <w:tcPr>
            <w:tcW w:w="556" w:type="dxa"/>
            <w:tcBorders/>
            <w:vAlign w:val="center"/>
          </w:tcPr>
          <w:p>
            <w:pPr>
              <w:pStyle w:val="TableContents"/>
              <w:bidi w:val="0"/>
              <w:spacing w:before="0" w:after="40"/>
              <w:ind w:left="0" w:right="0" w:hanging="0"/>
              <w:jc w:val="left"/>
              <w:rPr/>
            </w:pPr>
            <w:r>
              <w:rPr/>
              <w:t>​</w:t>
            </w:r>
          </w:p>
        </w:tc>
        <w:tc>
          <w:tcPr>
            <w:tcW w:w="1591" w:type="dxa"/>
            <w:tcBorders/>
            <w:vAlign w:val="center"/>
          </w:tcPr>
          <w:p>
            <w:pPr>
              <w:pStyle w:val="TableContents"/>
              <w:bidi w:val="0"/>
              <w:spacing w:before="0" w:after="40"/>
              <w:ind w:left="0" w:right="0" w:hanging="0"/>
              <w:jc w:val="left"/>
              <w:rPr/>
            </w:pPr>
            <w:r>
              <w:rPr/>
              <w:t>​</w:t>
            </w:r>
          </w:p>
        </w:tc>
        <w:tc>
          <w:tcPr>
            <w:tcW w:w="5146"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President, Chief Executive Officer and Chairman of the Board</w:t>
            </w:r>
          </w:p>
        </w:tc>
      </w:tr>
      <w:tr>
        <w:trPr/>
        <w:tc>
          <w:tcPr>
            <w:tcW w:w="556" w:type="dxa"/>
            <w:tcBorders/>
            <w:vAlign w:val="center"/>
          </w:tcPr>
          <w:p>
            <w:pPr>
              <w:pStyle w:val="TableContents"/>
              <w:bidi w:val="0"/>
              <w:spacing w:before="0" w:after="40"/>
              <w:ind w:left="0" w:right="0" w:hanging="0"/>
              <w:jc w:val="left"/>
              <w:rPr/>
            </w:pPr>
            <w:r>
              <w:rPr/>
              <w:t>​</w:t>
            </w:r>
          </w:p>
        </w:tc>
        <w:tc>
          <w:tcPr>
            <w:tcW w:w="1591" w:type="dxa"/>
            <w:tcBorders/>
            <w:vAlign w:val="center"/>
          </w:tcPr>
          <w:p>
            <w:pPr>
              <w:pStyle w:val="TableContents"/>
              <w:bidi w:val="0"/>
              <w:spacing w:before="0" w:after="40"/>
              <w:ind w:left="0" w:right="0" w:hanging="0"/>
              <w:jc w:val="left"/>
              <w:rPr/>
            </w:pPr>
            <w:r>
              <w:rPr/>
              <w:t>​</w:t>
            </w:r>
          </w:p>
        </w:tc>
        <w:tc>
          <w:tcPr>
            <w:tcW w:w="5146" w:type="dxa"/>
            <w:tcBorders/>
            <w:vAlign w:val="center"/>
          </w:tcPr>
          <w:p>
            <w:pPr>
              <w:pStyle w:val="TableContents"/>
              <w:bidi w:val="0"/>
              <w:spacing w:before="0" w:after="40"/>
              <w:ind w:left="0" w:right="0" w:hanging="0"/>
              <w:jc w:val="left"/>
              <w:rPr>
                <w:rFonts w:ascii="Times New Roman;Times;serif" w:hAnsi="Times New Roman;Times;serif"/>
                <w:i/>
                <w:sz w:val="20"/>
              </w:rPr>
            </w:pPr>
            <w:r>
              <w:rPr>
                <w:rFonts w:ascii="Times New Roman;Times;serif" w:hAnsi="Times New Roman;Times;serif"/>
                <w:i/>
                <w:sz w:val="20"/>
              </w:rPr>
              <w:t>(Duly Authorized Officer)</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9326" w:type="dxa"/>
        <w:jc w:val="left"/>
        <w:tblInd w:w="0" w:type="dxa"/>
        <w:tblLayout w:type="fixed"/>
        <w:tblCellMar>
          <w:top w:w="0" w:type="dxa"/>
          <w:left w:w="0" w:type="dxa"/>
          <w:bottom w:w="0" w:type="dxa"/>
          <w:right w:w="0" w:type="dxa"/>
        </w:tblCellMar>
      </w:tblPr>
      <w:tblGrid>
        <w:gridCol w:w="2176"/>
        <w:gridCol w:w="109"/>
        <w:gridCol w:w="5296"/>
        <w:gridCol w:w="109"/>
        <w:gridCol w:w="163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81760" cy="175260"/>
                      <wp:effectExtent l="0" t="0" r="0" b="0"/>
                      <wp:wrapNone/>
                      <wp:docPr id="290" name="Frame289"/>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1"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362960" cy="175260"/>
                      <wp:effectExtent l="0" t="0" r="0" b="0"/>
                      <wp:wrapNone/>
                      <wp:docPr id="292" name="Frame291"/>
                      <a:graphic xmlns:a="http://schemas.openxmlformats.org/drawingml/2006/main">
                        <a:graphicData uri="http://schemas.microsoft.com/office/word/2010/wordprocessingShape">
                          <wps:wsp>
                            <wps:cNvSpPr txBox="1"/>
                            <wps:spPr>
                              <a:xfrm>
                                <a:off x="0" y="0"/>
                                <a:ext cx="336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3"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038860" cy="175260"/>
                      <wp:effectExtent l="0" t="0" r="0" b="0"/>
                      <wp:wrapNone/>
                      <wp:docPr id="294" name="Frame293"/>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Jorge L. Gonzalez</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Chief Executive Officer and Chairman of the Board</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25, 2026</w:t>
            </w:r>
          </w:p>
        </w:tc>
      </w:tr>
      <w:tr>
        <w:trPr/>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Jorge L. Gonzalez</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Marek Bakun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25, 2026</w:t>
            </w:r>
          </w:p>
        </w:tc>
      </w:tr>
      <w:tr>
        <w:trPr/>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Marek Bakun</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 and Principal Accounting Officer)</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Howard S. Frank</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Lead Independent Director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25, 2026</w:t>
            </w:r>
          </w:p>
        </w:tc>
      </w:tr>
      <w:tr>
        <w:trPr/>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Howard S. Frank</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Cesar L. Alvarez</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25, 2026</w:t>
            </w:r>
          </w:p>
        </w:tc>
      </w:tr>
      <w:tr>
        <w:trPr/>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Cesar L. Alvarez</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Elizabeth D. Franklin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25, 2026</w:t>
            </w:r>
          </w:p>
        </w:tc>
      </w:tr>
      <w:tr>
        <w:trPr/>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Elizabeth D. Franklin</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P. Murphy, Jr.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25, 2026</w:t>
            </w:r>
          </w:p>
        </w:tc>
      </w:tr>
      <w:tr>
        <w:trPr/>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P. Murphy, Jr.</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Rhea Goff</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Administrative Officer and Director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25, 2026</w:t>
            </w:r>
          </w:p>
        </w:tc>
      </w:tr>
      <w:tr>
        <w:trPr/>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Rhea Goff</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6" w:name="_91508d40_4d4f_43a5_bb57_8c4d925e9d49"/>
      <w:bookmarkEnd w:id="106"/>
      <w:r>
        <w:rPr>
          <w:rFonts w:ascii="Times New Roman;Times;serif" w:hAnsi="Times New Roman;Times;serif"/>
          <w:b/>
          <w:sz w:val="20"/>
        </w:rPr>
        <w:t>INDEX TO FINANCIAL STATEMENTS AND FINANCIAL STATEMENT SCHEDULES</w:t>
      </w:r>
    </w:p>
    <w:tbl>
      <w:tblPr>
        <w:tblW w:w="8927" w:type="dxa"/>
        <w:jc w:val="left"/>
        <w:tblInd w:w="0" w:type="dxa"/>
        <w:tblLayout w:type="fixed"/>
        <w:tblCellMar>
          <w:top w:w="0" w:type="dxa"/>
          <w:left w:w="0" w:type="dxa"/>
          <w:bottom w:w="0" w:type="dxa"/>
          <w:right w:w="0" w:type="dxa"/>
        </w:tblCellMar>
      </w:tblPr>
      <w:tblGrid>
        <w:gridCol w:w="8116"/>
        <w:gridCol w:w="811"/>
      </w:tblGrid>
      <w:tr>
        <w:trPr/>
        <w:tc>
          <w:tcPr>
            <w:tcW w:w="8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153660" cy="175260"/>
                      <wp:effectExtent l="0" t="0" r="0" b="0"/>
                      <wp:wrapNone/>
                      <wp:docPr id="295" name="Frame294"/>
                      <a:graphic xmlns:a="http://schemas.openxmlformats.org/drawingml/2006/main">
                        <a:graphicData uri="http://schemas.microsoft.com/office/word/2010/wordprocessingShape">
                          <wps:wsp>
                            <wps:cNvSpPr txBox="1"/>
                            <wps:spPr>
                              <a:xfrm>
                                <a:off x="0" y="0"/>
                                <a:ext cx="515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14985" cy="175260"/>
                      <wp:effectExtent l="0" t="0" r="0" b="0"/>
                      <wp:wrapNone/>
                      <wp:docPr id="296" name="Frame29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6" w:type="dxa"/>
            <w:tcBorders/>
            <w:vAlign w:val="center"/>
          </w:tcPr>
          <w:p>
            <w:pPr>
              <w:pStyle w:val="TableContents"/>
              <w:bidi w:val="0"/>
              <w:spacing w:before="0" w:after="0"/>
              <w:ind w:left="0" w:right="0" w:hanging="0"/>
              <w:jc w:val="left"/>
              <w:rPr/>
            </w:pPr>
            <w:r>
              <w:rPr/>
              <w:t>​</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 No.</w:t>
            </w:r>
          </w:p>
        </w:tc>
      </w:tr>
      <w:tr>
        <w:trPr/>
        <w:tc>
          <w:tcPr>
            <w:tcW w:w="8116" w:type="dxa"/>
            <w:tcBorders/>
            <w:vAlign w:val="center"/>
          </w:tcPr>
          <w:p>
            <w:pPr>
              <w:pStyle w:val="TableContents"/>
              <w:bidi w:val="0"/>
              <w:spacing w:before="0" w:after="0"/>
              <w:ind w:left="0" w:right="0" w:hanging="0"/>
              <w:jc w:val="left"/>
              <w:rPr/>
            </w:pPr>
            <w:hyperlink w:anchor="REPORTOFINDEPENDENTREGISTERED_646233">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 Grant Thornton LLP (PCAOB ID 248)</w:t>
            </w:r>
          </w:p>
        </w:tc>
        <w:tc>
          <w:tcPr>
            <w:tcW w:w="81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2</w:t>
            </w:r>
          </w:p>
        </w:tc>
      </w:tr>
      <w:tr>
        <w:trPr/>
        <w:tc>
          <w:tcPr>
            <w:tcW w:w="8116" w:type="dxa"/>
            <w:tcBorders/>
            <w:vAlign w:val="center"/>
          </w:tcPr>
          <w:p>
            <w:pPr>
              <w:pStyle w:val="TableContents"/>
              <w:bidi w:val="0"/>
              <w:spacing w:before="0" w:after="0"/>
              <w:ind w:left="0" w:right="0" w:hanging="0"/>
              <w:jc w:val="left"/>
              <w:rPr/>
            </w:pPr>
            <w:hyperlink w:anchor="CONSOLIDATEDBALANCESHEETS_841675">
              <w:r>
                <w:rPr>
                  <w:rStyle w:val="InternetLink"/>
                  <w:rFonts w:ascii="Times New Roman;Times;serif" w:hAnsi="Times New Roman;Times;serif"/>
                  <w:b w:val="false"/>
                  <w:i w:val="false"/>
                  <w:caps w:val="false"/>
                  <w:smallCaps w:val="false"/>
                  <w:sz w:val="20"/>
                </w:rPr>
                <w:t>Consolidated Balance Sheets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3</w:t>
            </w:r>
          </w:p>
        </w:tc>
      </w:tr>
      <w:tr>
        <w:trPr/>
        <w:tc>
          <w:tcPr>
            <w:tcW w:w="8116" w:type="dxa"/>
            <w:tcBorders/>
            <w:vAlign w:val="center"/>
          </w:tcPr>
          <w:p>
            <w:pPr>
              <w:pStyle w:val="TableContents"/>
              <w:bidi w:val="0"/>
              <w:spacing w:before="0" w:after="0"/>
              <w:ind w:left="0" w:right="0" w:hanging="0"/>
              <w:jc w:val="left"/>
              <w:rPr/>
            </w:pPr>
            <w:hyperlink w:anchor="CONSOLIDATEDSTATEMENTSOFOPERATIONS_25391">
              <w:r>
                <w:rPr>
                  <w:rStyle w:val="InternetLink"/>
                  <w:rFonts w:ascii="Times New Roman;Times;serif" w:hAnsi="Times New Roman;Times;serif"/>
                  <w:b w:val="false"/>
                  <w:i w:val="false"/>
                  <w:caps w:val="false"/>
                  <w:smallCaps w:val="false"/>
                  <w:sz w:val="20"/>
                </w:rPr>
                <w:t>Consolidated Statements of Income</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5</w:t>
            </w:r>
          </w:p>
        </w:tc>
      </w:tr>
      <w:tr>
        <w:trPr/>
        <w:tc>
          <w:tcPr>
            <w:tcW w:w="8116" w:type="dxa"/>
            <w:tcBorders/>
            <w:vAlign w:val="center"/>
          </w:tcPr>
          <w:p>
            <w:pPr>
              <w:pStyle w:val="TableContents"/>
              <w:bidi w:val="0"/>
              <w:spacing w:before="0" w:after="0"/>
              <w:ind w:left="0" w:right="0" w:hanging="0"/>
              <w:jc w:val="left"/>
              <w:rPr/>
            </w:pPr>
            <w:hyperlink w:anchor="COMPREHENSIVEINCOMELOSS_854491">
              <w:r>
                <w:rPr>
                  <w:rStyle w:val="InternetLink"/>
                  <w:rFonts w:ascii="Times New Roman;Times;serif" w:hAnsi="Times New Roman;Times;serif"/>
                  <w:b w:val="false"/>
                  <w:i w:val="false"/>
                  <w:caps w:val="false"/>
                  <w:smallCaps w:val="false"/>
                  <w:sz w:val="20"/>
                </w:rPr>
                <w:t>Consolidated Statements of Comprehensive Income</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6</w:t>
            </w:r>
          </w:p>
        </w:tc>
      </w:tr>
      <w:tr>
        <w:trPr/>
        <w:tc>
          <w:tcPr>
            <w:tcW w:w="8116" w:type="dxa"/>
            <w:tcBorders/>
            <w:vAlign w:val="center"/>
          </w:tcPr>
          <w:p>
            <w:pPr>
              <w:pStyle w:val="TableContents"/>
              <w:bidi w:val="0"/>
              <w:spacing w:before="0" w:after="0"/>
              <w:ind w:left="0" w:right="0" w:hanging="0"/>
              <w:jc w:val="left"/>
              <w:rPr/>
            </w:pPr>
            <w:hyperlink w:anchor="STOCKHOLDERSEQUITY_922728">
              <w:r>
                <w:rPr>
                  <w:rStyle w:val="InternetLink"/>
                  <w:rFonts w:ascii="Times New Roman;Times;serif" w:hAnsi="Times New Roman;Times;serif"/>
                  <w:b w:val="false"/>
                  <w:i w:val="false"/>
                  <w:caps w:val="false"/>
                  <w:smallCaps w:val="false"/>
                  <w:sz w:val="20"/>
                </w:rPr>
                <w:t>Consolidated Statements of Equity</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7</w:t>
            </w:r>
          </w:p>
        </w:tc>
      </w:tr>
      <w:tr>
        <w:trPr/>
        <w:tc>
          <w:tcPr>
            <w:tcW w:w="8116" w:type="dxa"/>
            <w:tcBorders/>
            <w:vAlign w:val="center"/>
          </w:tcPr>
          <w:p>
            <w:pPr>
              <w:pStyle w:val="TableContents"/>
              <w:bidi w:val="0"/>
              <w:spacing w:before="0" w:after="0"/>
              <w:ind w:left="0" w:right="0" w:hanging="0"/>
              <w:jc w:val="left"/>
              <w:rPr/>
            </w:pPr>
            <w:hyperlink w:anchor="STATEMENTSOFCASHFLOWS_522443">
              <w:r>
                <w:rPr>
                  <w:rStyle w:val="InternetLink"/>
                  <w:rFonts w:ascii="Times New Roman;Times;serif" w:hAnsi="Times New Roman;Times;serif"/>
                  <w:b w:val="false"/>
                  <w:i w:val="false"/>
                  <w:caps w:val="false"/>
                  <w:smallCaps w:val="false"/>
                  <w:sz w:val="20"/>
                </w:rPr>
                <w:t>Consolidated Statements of Cash Flows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8</w:t>
            </w:r>
          </w:p>
        </w:tc>
      </w:tr>
      <w:tr>
        <w:trPr/>
        <w:tc>
          <w:tcPr>
            <w:tcW w:w="8116" w:type="dxa"/>
            <w:tcBorders/>
            <w:vAlign w:val="center"/>
          </w:tcPr>
          <w:p>
            <w:pPr>
              <w:pStyle w:val="TableContents"/>
              <w:bidi w:val="0"/>
              <w:spacing w:before="0" w:after="0"/>
              <w:ind w:left="0" w:right="0" w:hanging="0"/>
              <w:jc w:val="left"/>
              <w:rPr/>
            </w:pPr>
            <w:hyperlink w:anchor="NOTESTOCONSOLIDATEDFINANCIALSTATEMENTS_3">
              <w:r>
                <w:rPr>
                  <w:rStyle w:val="InternetLink"/>
                  <w:rFonts w:ascii="Times New Roman;Times;serif" w:hAnsi="Times New Roman;Times;serif"/>
                  <w:b w:val="false"/>
                  <w:i w:val="false"/>
                  <w:caps w:val="false"/>
                  <w:smallCaps w:val="false"/>
                  <w:sz w:val="20"/>
                </w:rPr>
                <w:t>Notes to Consolidated Financial Statements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10</w:t>
            </w:r>
          </w:p>
        </w:tc>
      </w:tr>
      <w:tr>
        <w:trPr/>
        <w:tc>
          <w:tcPr>
            <w:tcW w:w="8116" w:type="dxa"/>
            <w:tcBorders/>
            <w:vAlign w:val="center"/>
          </w:tcPr>
          <w:p>
            <w:pPr>
              <w:pStyle w:val="TableContents"/>
              <w:bidi w:val="0"/>
              <w:spacing w:before="0" w:after="0"/>
              <w:ind w:left="0" w:right="0" w:hanging="0"/>
              <w:jc w:val="left"/>
              <w:rPr/>
            </w:pPr>
            <w:hyperlink w:anchor="SCHEDULEIIICONSOLIDATEDREALESTATE_827615">
              <w:r>
                <w:rPr>
                  <w:rStyle w:val="InternetLink"/>
                  <w:rFonts w:ascii="Times New Roman;Times;serif" w:hAnsi="Times New Roman;Times;serif"/>
                  <w:b w:val="false"/>
                  <w:i w:val="false"/>
                  <w:caps w:val="false"/>
                  <w:smallCaps w:val="false"/>
                  <w:sz w:val="20"/>
                </w:rPr>
                <w:t>Schedule III (Consolidated) — Real Estate and Accumulated Depreciation</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56</w:t>
            </w:r>
          </w:p>
        </w:tc>
      </w:tr>
      <w:tr>
        <w:trPr/>
        <w:tc>
          <w:tcPr>
            <w:tcW w:w="8116" w:type="dxa"/>
            <w:tcBorders/>
            <w:vAlign w:val="center"/>
          </w:tcPr>
          <w:p>
            <w:pPr>
              <w:pStyle w:val="TableContents"/>
              <w:bidi w:val="0"/>
              <w:spacing w:before="0" w:after="0"/>
              <w:ind w:left="0" w:right="0" w:hanging="0"/>
              <w:jc w:val="left"/>
              <w:rPr/>
            </w:pPr>
            <w:hyperlink w:anchor="SCHEDULEIVCONSOLIDATEDMORTGAGELOANS_8613">
              <w:r>
                <w:rPr>
                  <w:rStyle w:val="InternetLink"/>
                  <w:rFonts w:ascii="Times New Roman;Times;serif" w:hAnsi="Times New Roman;Times;serif"/>
                  <w:b w:val="false"/>
                  <w:i w:val="false"/>
                  <w:caps w:val="false"/>
                  <w:smallCaps w:val="false"/>
                  <w:sz w:val="20"/>
                </w:rPr>
                <w:t>Schedule IV (Consolidated) — Mortgage Loans on Real Estate</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7" w:name="REPORTOFINDEPENDENTREGISTERED_646233"/>
      <w:bookmarkStart w:id="108" w:name="_c626274a_9811_4e76_b17f_917704caa478"/>
      <w:bookmarkEnd w:id="107"/>
      <w:bookmarkEnd w:id="108"/>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 and 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St. Joe Company</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w:t>
      </w:r>
      <w:r>
        <w:rPr>
          <w:rFonts w:ascii="Times New Roman;Times;serif" w:hAnsi="Times New Roman;Times;serif"/>
          <w:color w:val="0000FF"/>
          <w:sz w:val="20"/>
        </w:rPr>
        <w:t xml:space="preserve"> </w:t>
      </w:r>
      <w:r>
        <w:rPr>
          <w:rFonts w:ascii="Times New Roman;Times;serif" w:hAnsi="Times New Roman;Times;serif"/>
          <w:sz w:val="20"/>
        </w:rPr>
        <w:t>balance sheets of The St. Joe Company (a Florida corporation) and subsidiaries (the “Company”) as of December 31, 2025 and 2024, the related consolidated statements of income, comprehensive income, equity, and cash flows for each of the three years in the period ended December 31, 2025, and the related notes and financial statement schedules included under Item 15(a) (collectively referred to as the “consolidated financial statements”). In our opinion, the consolidated financial statements present fairly, in all material respects, the financial position of the Company</w:t>
      </w:r>
      <w:r>
        <w:rPr>
          <w:rFonts w:ascii="Times New Roman;Times;serif" w:hAnsi="Times New Roman;Times;serif"/>
          <w:color w:val="0000FF"/>
          <w:sz w:val="20"/>
        </w:rPr>
        <w:t xml:space="preserve"> </w:t>
      </w:r>
      <w:r>
        <w:rPr>
          <w:rFonts w:ascii="Times New Roman;Times;serif" w:hAnsi="Times New Roman;Times;serif"/>
          <w:sz w:val="20"/>
        </w:rPr>
        <w:t>as of December 31, 2025 and 2024, and the results of its</w:t>
      </w:r>
      <w:r>
        <w:rPr>
          <w:rFonts w:ascii="Times New Roman;Times;serif" w:hAnsi="Times New Roman;Times;serif"/>
          <w:color w:val="0000FF"/>
          <w:sz w:val="20"/>
        </w:rPr>
        <w:t xml:space="preserve"> </w:t>
      </w:r>
      <w:r>
        <w:rPr>
          <w:rFonts w:ascii="Times New Roman;Times;serif" w:hAnsi="Times New Roman;Times;serif"/>
          <w:sz w:val="20"/>
        </w:rPr>
        <w:t>operations and its</w:t>
      </w:r>
      <w:r>
        <w:rPr>
          <w:rFonts w:ascii="Times New Roman;Times;serif" w:hAnsi="Times New Roman;Times;serif"/>
          <w:color w:val="0000FF"/>
          <w:sz w:val="20"/>
        </w:rPr>
        <w:t xml:space="preserve"> </w:t>
      </w:r>
      <w:r>
        <w:rPr>
          <w:rFonts w:ascii="Times New Roman;Times;serif" w:hAnsi="Times New Roman;Times;serif"/>
          <w:sz w:val="20"/>
        </w:rPr>
        <w:t xml:space="preserve">cash flows for each of the three years in the period ended December 31, 2025, in conformity with accounting principles generally accepted in the United States of America.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and our report dated February 25, 2026, expressed an unqualified opinion.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Jacksonville, Florida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25,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0"/>
        <w:ind w:left="0" w:right="0" w:hanging="0"/>
        <w:jc w:val="center"/>
        <w:rPr>
          <w:rFonts w:ascii="Times New Roman;Times;serif" w:hAnsi="Times New Roman;Times;serif"/>
          <w:b/>
          <w:sz w:val="20"/>
        </w:rPr>
      </w:pPr>
      <w:bookmarkStart w:id="109" w:name="_9a5dd1e6_4dfc_43e0_9acf_1540a558503d"/>
      <w:bookmarkEnd w:id="109"/>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110" w:name="CONSOLIDATEDBALANCESHEETS_841675"/>
      <w:bookmarkEnd w:id="110"/>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Normal"/>
        <w:bidi w:val="0"/>
        <w:spacing w:before="0" w:after="0"/>
        <w:jc w:val="left"/>
        <w:rPr>
          <w:sz w:val="4"/>
          <w:szCs w:val="4"/>
        </w:rPr>
      </w:pPr>
      <w:r>
        <w:rPr>
          <w:sz w:val="4"/>
          <w:szCs w:val="4"/>
        </w:rPr>
      </w:r>
      <w:bookmarkStart w:id="111" w:name="Tc_a_6EoIK9_Eq-OKsSgd0t6A_29_5"/>
      <w:bookmarkStart w:id="112" w:name="Tc_CGJ0pszUqkmvsGSNFn86-g_29_2"/>
      <w:bookmarkStart w:id="113" w:name="Tc_gm2SC5VFPU29uve7f6doFA_29_0"/>
      <w:bookmarkStart w:id="114" w:name="Tc_DuNviRPrUUqBvR0f1hFeNw_28_0"/>
      <w:bookmarkStart w:id="115" w:name="Tc_4ygfmB1f302B1hke4w2NaQ_27_0"/>
      <w:bookmarkStart w:id="116" w:name="Tc_fJ7ioQYFj0u67jlBsUJUmA_26_0"/>
      <w:bookmarkStart w:id="117" w:name="Tc_8twXelljxkycwXVDXlt8iw_25_0"/>
      <w:bookmarkStart w:id="118" w:name="Tc_hQ3O_qlOP0-bsBFhMnj7sw_24_0"/>
      <w:bookmarkStart w:id="119" w:name="Tc_wQvd82PSAk-XsNgnBA48eQ_23_0"/>
      <w:bookmarkStart w:id="120" w:name="Tc_b7tI9peID0OPmZT4eo7Yrw_22_0"/>
      <w:bookmarkStart w:id="121" w:name="Tc_Yui53HlYukuD1QfwBY0pbQ_20_0"/>
      <w:bookmarkStart w:id="122" w:name="Tc_JfnnP6bCEk2gGHok4EBmeQ_18_0"/>
      <w:bookmarkStart w:id="123" w:name="Tc_sMnAlviUf0qccn-aB8AynQ_17_0"/>
      <w:bookmarkStart w:id="124" w:name="Tc_VqnVf_ybOUiQUP4vRtJZJQ_16_0"/>
      <w:bookmarkStart w:id="125" w:name="Tc_kup_ejwKXEq3R_94YBH-pQ_15_0"/>
      <w:bookmarkStart w:id="126" w:name="Tc_37jvvDlE80-QrOtgIFqoSg_14_0"/>
      <w:bookmarkStart w:id="127" w:name="Tc_lzv1laTHTkm4seRb2SVJ6Q_13_5"/>
      <w:bookmarkStart w:id="128" w:name="Tc_rNm8Tjz6Yka6hduVA0AC7g_13_2"/>
      <w:bookmarkStart w:id="129" w:name="Tc_f7_lZ3ySk0OmVzEo71oXHA_13_0"/>
      <w:bookmarkStart w:id="130" w:name="Tc_ShDd-HTu4EySKA2eEw21-A_12_0"/>
      <w:bookmarkStart w:id="131" w:name="Tc_Kaz7ovS41Ey6PqmGN3-w0g_11_0"/>
      <w:bookmarkStart w:id="132" w:name="Tc_IWHvxosWhUqhpJ-BUjb1BA_10_5"/>
      <w:bookmarkStart w:id="133" w:name="Tc_DB1GJiGdQUWLDtvpJitNdA_10_2"/>
      <w:bookmarkStart w:id="134" w:name="Tc_4V5YsUp8Dki5Lta_8dFcDQ_10_0"/>
      <w:bookmarkStart w:id="135" w:name="Tc_naaNrmEyeUOpLf2K6KH2YA_9_0"/>
      <w:bookmarkStart w:id="136" w:name="Tc_cxRd7TldAkKNMcTWFGLR0g_8_0"/>
      <w:bookmarkStart w:id="137" w:name="Tc_vqpufwlLz0eUfQ2nPiXqwg_7_0"/>
      <w:bookmarkStart w:id="138" w:name="Tc_cvW8YZvap0-Le5pTgOdeRw_6_0"/>
      <w:bookmarkStart w:id="139" w:name="Tc_b3Ovuj9RUUelAv48eI3W2g_5_0"/>
      <w:bookmarkStart w:id="140" w:name="Tc_kCqcGpeIvkGIdryh2xjt_g_4_5"/>
      <w:bookmarkStart w:id="141" w:name="Tc_zb63jdQ0TUavdMNY0WWZdQ_4_2"/>
      <w:bookmarkStart w:id="142" w:name="Tc_5EnesspZukGBCNDFlv9g7g_4_0"/>
      <w:bookmarkStart w:id="143" w:name="Tc_QcTSDRQIZEeeCPcWmnlauQ_3_0"/>
      <w:bookmarkStart w:id="144" w:name="Tc_CxGSCvY6ZEqGLxMURmDLAw_2_5"/>
      <w:bookmarkStart w:id="145" w:name="Tc_-cP8TlaKZEywIL9ehr7mpg_2_2"/>
      <w:bookmarkStart w:id="146" w:name="Tc_RrOoRmL1gkamJdVGl8UdGA_1_5"/>
      <w:bookmarkStart w:id="147" w:name="Tc_AohBoItDREabI_OTW9v5Sg_1_2"/>
      <w:bookmarkStart w:id="148" w:name="_5a8ecfc8_28c3_4a68_a0db_d18a7ae1ef48"/>
      <w:bookmarkStart w:id="149" w:name="Tc_a_6EoIK9_Eq-OKsSgd0t6A_29_5"/>
      <w:bookmarkStart w:id="150" w:name="Tc_CGJ0pszUqkmvsGSNFn86-g_29_2"/>
      <w:bookmarkStart w:id="151" w:name="Tc_gm2SC5VFPU29uve7f6doFA_29_0"/>
      <w:bookmarkStart w:id="152" w:name="Tc_DuNviRPrUUqBvR0f1hFeNw_28_0"/>
      <w:bookmarkStart w:id="153" w:name="Tc_4ygfmB1f302B1hke4w2NaQ_27_0"/>
      <w:bookmarkStart w:id="154" w:name="Tc_fJ7ioQYFj0u67jlBsUJUmA_26_0"/>
      <w:bookmarkStart w:id="155" w:name="Tc_8twXelljxkycwXVDXlt8iw_25_0"/>
      <w:bookmarkStart w:id="156" w:name="Tc_hQ3O_qlOP0-bsBFhMnj7sw_24_0"/>
      <w:bookmarkStart w:id="157" w:name="Tc_wQvd82PSAk-XsNgnBA48eQ_23_0"/>
      <w:bookmarkStart w:id="158" w:name="Tc_b7tI9peID0OPmZT4eo7Yrw_22_0"/>
      <w:bookmarkStart w:id="159" w:name="Tc_Yui53HlYukuD1QfwBY0pbQ_20_0"/>
      <w:bookmarkStart w:id="160" w:name="Tc_JfnnP6bCEk2gGHok4EBmeQ_18_0"/>
      <w:bookmarkStart w:id="161" w:name="Tc_sMnAlviUf0qccn-aB8AynQ_17_0"/>
      <w:bookmarkStart w:id="162" w:name="Tc_VqnVf_ybOUiQUP4vRtJZJQ_16_0"/>
      <w:bookmarkStart w:id="163" w:name="Tc_kup_ejwKXEq3R_94YBH-pQ_15_0"/>
      <w:bookmarkStart w:id="164" w:name="Tc_37jvvDlE80-QrOtgIFqoSg_14_0"/>
      <w:bookmarkStart w:id="165" w:name="Tc_lzv1laTHTkm4seRb2SVJ6Q_13_5"/>
      <w:bookmarkStart w:id="166" w:name="Tc_rNm8Tjz6Yka6hduVA0AC7g_13_2"/>
      <w:bookmarkStart w:id="167" w:name="Tc_f7_lZ3ySk0OmVzEo71oXHA_13_0"/>
      <w:bookmarkStart w:id="168" w:name="Tc_ShDd-HTu4EySKA2eEw21-A_12_0"/>
      <w:bookmarkStart w:id="169" w:name="Tc_Kaz7ovS41Ey6PqmGN3-w0g_11_0"/>
      <w:bookmarkStart w:id="170" w:name="Tc_IWHvxosWhUqhpJ-BUjb1BA_10_5"/>
      <w:bookmarkStart w:id="171" w:name="Tc_DB1GJiGdQUWLDtvpJitNdA_10_2"/>
      <w:bookmarkStart w:id="172" w:name="Tc_4V5YsUp8Dki5Lta_8dFcDQ_10_0"/>
      <w:bookmarkStart w:id="173" w:name="Tc_naaNrmEyeUOpLf2K6KH2YA_9_0"/>
      <w:bookmarkStart w:id="174" w:name="Tc_cxRd7TldAkKNMcTWFGLR0g_8_0"/>
      <w:bookmarkStart w:id="175" w:name="Tc_vqpufwlLz0eUfQ2nPiXqwg_7_0"/>
      <w:bookmarkStart w:id="176" w:name="Tc_cvW8YZvap0-Le5pTgOdeRw_6_0"/>
      <w:bookmarkStart w:id="177" w:name="Tc_b3Ovuj9RUUelAv48eI3W2g_5_0"/>
      <w:bookmarkStart w:id="178" w:name="Tc_kCqcGpeIvkGIdryh2xjt_g_4_5"/>
      <w:bookmarkStart w:id="179" w:name="Tc_zb63jdQ0TUavdMNY0WWZdQ_4_2"/>
      <w:bookmarkStart w:id="180" w:name="Tc_5EnesspZukGBCNDFlv9g7g_4_0"/>
      <w:bookmarkStart w:id="181" w:name="Tc_QcTSDRQIZEeeCPcWmnlauQ_3_0"/>
      <w:bookmarkStart w:id="182" w:name="Tc_CxGSCvY6ZEqGLxMURmDLAw_2_5"/>
      <w:bookmarkStart w:id="183" w:name="Tc_-cP8TlaKZEywIL9ehr7mpg_2_2"/>
      <w:bookmarkStart w:id="184" w:name="Tc_RrOoRmL1gkamJdVGl8UdGA_1_5"/>
      <w:bookmarkStart w:id="185" w:name="Tc_AohBoItDREabI_OTW9v5Sg_1_2"/>
      <w:bookmarkStart w:id="186" w:name="_5a8ecfc8_28c3_4a68_a0db_d18a7ae1ef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523740" cy="175260"/>
                      <wp:effectExtent l="0" t="0" r="0" b="0"/>
                      <wp:wrapNone/>
                      <wp:docPr id="297" name="Frame296"/>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98"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299"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91185" cy="175260"/>
                      <wp:effectExtent l="0" t="0" r="0" b="0"/>
                      <wp:wrapNone/>
                      <wp:docPr id="300" name="Frame2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1"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2"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57860" cy="175260"/>
                      <wp:effectExtent l="0" t="0" r="0" b="0"/>
                      <wp:wrapNone/>
                      <wp:docPr id="303" name="Frame3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24"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real estate,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1,004,858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1,040,428</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66,454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88,756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80,318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59,107</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special purpose entities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203,511</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1,538,574</w:t>
            </w:r>
          </w:p>
        </w:tc>
      </w:tr>
      <w:tr>
        <w:trPr/>
        <w:tc>
          <w:tcPr>
            <w:tcW w:w="7124"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391,159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437,754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53,969</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59,274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72,358</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held by special purpose entity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178,484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742,801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801,839</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no par value; 180,000,000 shares authorized; 57,547,307 and 58,326,521 issued and outstanding at December 31, 2025 and December 31, 2024,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268,668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454,193</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766,290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724,280</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12,455</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775,625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736,735</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1,538,574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following presents the portion of the consolidated balances attributable to the Company’s consolidated JVs, which as of December 31, 2025 and 2024, include the Pier Park North JV, Pier Park Crossings JV, Watersound Origins Crossings JV, Watercrest JV, Pier Park Crossings Phase II JV, Mexico Beach Crossings JV, </w:t>
      </w:r>
      <w:r>
        <w:rPr>
          <w:rFonts w:ascii="TimesNewRomanPSMT" w:hAnsi="TimesNewRomanPSMT"/>
          <w:sz w:val="20"/>
        </w:rPr>
        <w:t xml:space="preserve">Pier Park Resort Hotel JV, </w:t>
      </w:r>
      <w:r>
        <w:rPr>
          <w:rFonts w:ascii="Times New Roman;Times;serif" w:hAnsi="Times New Roman;Times;serif"/>
          <w:sz w:val="20"/>
        </w:rPr>
        <w:t xml:space="preserve">The Lodge 30A JV, Panama City Timber Finance Company, LLC and Northwest Florida Timber Finance, LLC. In September 2025, the Watercrest JV sold its senior living community property to a third party and ceased operating activities. As of December 31, 2024, consolidated balances attributable to the Company’s consolidated JVs also include Watersound Closings &amp; Escrow, LLC (the “Watersound Closings JV”). See Note 2. </w:t>
      </w:r>
      <w:r>
        <w:rPr>
          <w:rFonts w:ascii="Times New Roman;Times;serif" w:hAnsi="Times New Roman;Times;serif"/>
          <w:i/>
          <w:sz w:val="20"/>
        </w:rPr>
        <w:t xml:space="preserve">Significant Accounting Policies. Basis of Presentation and Principles of Consolidation </w:t>
      </w:r>
      <w:r>
        <w:rPr>
          <w:rFonts w:ascii="Times New Roman;Times;serif" w:hAnsi="Times New Roman;Times;serif"/>
          <w:sz w:val="20"/>
        </w:rPr>
        <w:t xml:space="preserve">and Note 4. </w:t>
      </w:r>
      <w:r>
        <w:rPr>
          <w:rFonts w:ascii="Times New Roman;Times;serif" w:hAnsi="Times New Roman;Times;serif"/>
          <w:i/>
          <w:sz w:val="20"/>
        </w:rPr>
        <w:t xml:space="preserve">Joint Ventures </w:t>
      </w:r>
      <w:r>
        <w:rPr>
          <w:rFonts w:ascii="Times New Roman;Times;serif" w:hAnsi="Times New Roman;Times;serif"/>
          <w:sz w:val="20"/>
        </w:rPr>
        <w:t xml:space="preserve">for additional information. The following assets may only be used to settle obligations of the consolidated JVs and the following liabilities are only obligations of the consolidated JVs and do not have recourse to the general credit of the Company, except for covenants and guarantees discussed in Note 9. </w:t>
      </w:r>
      <w:r>
        <w:rPr>
          <w:rFonts w:ascii="Times New Roman;Times;serif" w:hAnsi="Times New Roman;Times;serif"/>
          <w:i/>
          <w:sz w:val="20"/>
        </w:rPr>
        <w:t>Debt, Net</w:t>
      </w:r>
      <w:r>
        <w:rPr>
          <w:rFonts w:ascii="Times New Roman;Times;serif" w:hAnsi="Times New Roman;Times;serif"/>
          <w:sz w:val="20"/>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7" w:name="Tc_e6Enfg8VbUaZglNQLp_jxQ_15_5"/>
      <w:bookmarkStart w:id="188" w:name="Tc_UKZuZuTZiUCcZeYqmJ8XzQ_15_2"/>
      <w:bookmarkStart w:id="189" w:name="Tc_FLcGKnqZd0Shpt3HJVsjKw_15_0"/>
      <w:bookmarkStart w:id="190" w:name="Tc_z2CK1_do6Um6TnyfoeICAQ_14_0"/>
      <w:bookmarkStart w:id="191" w:name="Tc_sqaDj9A2yk2bv8oRTUAZfA_13_0"/>
      <w:bookmarkStart w:id="192" w:name="Tc_smAnJ1Q1IkSeFPnvOZUzLw_12_0"/>
      <w:bookmarkStart w:id="193" w:name="Tc_xK37tQRGwEG0t061_hwQLg_11_5"/>
      <w:bookmarkStart w:id="194" w:name="Tc_xrvZqEDTfUip8Zmq4qgWXg_11_2"/>
      <w:bookmarkStart w:id="195" w:name="Tc_5zZsKUp3YUCjbzP4nJ8cyQ_11_0"/>
      <w:bookmarkStart w:id="196" w:name="Tc_dmhxhQd-ckOpd9xdUl0RnA_10_0"/>
      <w:bookmarkStart w:id="197" w:name="Tc_O8pLiKDaqEqvmwEDkhYlDQ_9_5"/>
      <w:bookmarkStart w:id="198" w:name="Tc_0JADPsTb9Uai7jkVj0dxwA_9_2"/>
      <w:bookmarkStart w:id="199" w:name="Tc_ke3Ub3Yql0qyV1nWogr4Rg_9_0"/>
      <w:bookmarkStart w:id="200" w:name="Tc_0rlRBw0zjk61z5JIDnFW8g_8_0"/>
      <w:bookmarkStart w:id="201" w:name="Tc_bsmONa8FbkaJ3LQTdoaw7A_7_0"/>
      <w:bookmarkStart w:id="202" w:name="Tc_bgN38BReA0adF-bvpef6ow_6_0"/>
      <w:bookmarkStart w:id="203" w:name="Tc_jl27wMw0GUuqNjX8lMTTow_5_0"/>
      <w:bookmarkStart w:id="204" w:name="Tc_DB2HQz7-TkWn9QA0Vd6Jww_4_5"/>
      <w:bookmarkStart w:id="205" w:name="Tc_t5nCKOzbB0-kaHrqx7FMeg_4_2"/>
      <w:bookmarkStart w:id="206" w:name="Tc_UTaxQL3XN0Of18uamTCqFg_4_0"/>
      <w:bookmarkStart w:id="207" w:name="Tc_BEDMgKHvTUOHh0N0SfmLwg_3_0"/>
      <w:bookmarkStart w:id="208" w:name="Tc_MKgMVmRUwEqsDxKCSfr50g_2_5"/>
      <w:bookmarkStart w:id="209" w:name="Tc_EU65YCLkBkWQe9b99tboKg_2_2"/>
      <w:bookmarkStart w:id="210" w:name="Tc_rY3_cUyE70KWwg8VMl_whA_1_5"/>
      <w:bookmarkStart w:id="211" w:name="Tc_e1_FC3ylp0uVG9oLp-Mcdw_1_2"/>
      <w:bookmarkStart w:id="212" w:name="_a0d9f3fb_f356_474e_837e_0a78379d064c"/>
      <w:bookmarkStart w:id="213" w:name="Tc_e6Enfg8VbUaZglNQLp_jxQ_15_5"/>
      <w:bookmarkStart w:id="214" w:name="Tc_UKZuZuTZiUCcZeYqmJ8XzQ_15_2"/>
      <w:bookmarkStart w:id="215" w:name="Tc_FLcGKnqZd0Shpt3HJVsjKw_15_0"/>
      <w:bookmarkStart w:id="216" w:name="Tc_z2CK1_do6Um6TnyfoeICAQ_14_0"/>
      <w:bookmarkStart w:id="217" w:name="Tc_sqaDj9A2yk2bv8oRTUAZfA_13_0"/>
      <w:bookmarkStart w:id="218" w:name="Tc_smAnJ1Q1IkSeFPnvOZUzLw_12_0"/>
      <w:bookmarkStart w:id="219" w:name="Tc_xK37tQRGwEG0t061_hwQLg_11_5"/>
      <w:bookmarkStart w:id="220" w:name="Tc_xrvZqEDTfUip8Zmq4qgWXg_11_2"/>
      <w:bookmarkStart w:id="221" w:name="Tc_5zZsKUp3YUCjbzP4nJ8cyQ_11_0"/>
      <w:bookmarkStart w:id="222" w:name="Tc_dmhxhQd-ckOpd9xdUl0RnA_10_0"/>
      <w:bookmarkStart w:id="223" w:name="Tc_O8pLiKDaqEqvmwEDkhYlDQ_9_5"/>
      <w:bookmarkStart w:id="224" w:name="Tc_0JADPsTb9Uai7jkVj0dxwA_9_2"/>
      <w:bookmarkStart w:id="225" w:name="Tc_ke3Ub3Yql0qyV1nWogr4Rg_9_0"/>
      <w:bookmarkStart w:id="226" w:name="Tc_0rlRBw0zjk61z5JIDnFW8g_8_0"/>
      <w:bookmarkStart w:id="227" w:name="Tc_bsmONa8FbkaJ3LQTdoaw7A_7_0"/>
      <w:bookmarkStart w:id="228" w:name="Tc_bgN38BReA0adF-bvpef6ow_6_0"/>
      <w:bookmarkStart w:id="229" w:name="Tc_jl27wMw0GUuqNjX8lMTTow_5_0"/>
      <w:bookmarkStart w:id="230" w:name="Tc_DB2HQz7-TkWn9QA0Vd6Jww_4_5"/>
      <w:bookmarkStart w:id="231" w:name="Tc_t5nCKOzbB0-kaHrqx7FMeg_4_2"/>
      <w:bookmarkStart w:id="232" w:name="Tc_UTaxQL3XN0Of18uamTCqFg_4_0"/>
      <w:bookmarkStart w:id="233" w:name="Tc_BEDMgKHvTUOHh0N0SfmLwg_3_0"/>
      <w:bookmarkStart w:id="234" w:name="Tc_MKgMVmRUwEqsDxKCSfr50g_2_5"/>
      <w:bookmarkStart w:id="235" w:name="Tc_EU65YCLkBkWQe9b99tboKg_2_2"/>
      <w:bookmarkStart w:id="236" w:name="Tc_rY3_cUyE70KWwg8VMl_whA_1_5"/>
      <w:bookmarkStart w:id="237" w:name="Tc_e1_FC3ylp0uVG9oLp-Mcdw_1_2"/>
      <w:bookmarkStart w:id="238" w:name="_a0d9f3fb_f356_474e_837e_0a78379d064c"/>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tbl>
      <w:tblPr>
        <w:tblW w:w="6723" w:type="dxa"/>
        <w:jc w:val="left"/>
        <w:tblInd w:w="0" w:type="dxa"/>
        <w:tblLayout w:type="fixed"/>
        <w:tblCellMar>
          <w:top w:w="0" w:type="dxa"/>
          <w:left w:w="0" w:type="dxa"/>
          <w:bottom w:w="0" w:type="dxa"/>
          <w:right w:w="0" w:type="dxa"/>
        </w:tblCellMar>
      </w:tblPr>
      <w:tblGrid>
        <w:gridCol w:w="3706"/>
        <w:gridCol w:w="346"/>
        <w:gridCol w:w="242"/>
        <w:gridCol w:w="898"/>
        <w:gridCol w:w="346"/>
        <w:gridCol w:w="228"/>
        <w:gridCol w:w="957"/>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real estate, net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230,380</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256,275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4,788</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10,930</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14,288</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10,219</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17,487</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special purpose entities</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202,806</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203,511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459,123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496,019</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  ​</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248,713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272,102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other liabilities</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6,327</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held by special purpose entity</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178,821</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178,484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434,184</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458,266</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9" w:name="_f8c1353e_dd3c_4a85_94bc_274d3b500e19"/>
      <w:bookmarkEnd w:id="239"/>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240" w:name="CONSOLIDATEDSTATEMENTSOFOPERATIONS_25391"/>
      <w:bookmarkEnd w:id="240"/>
      <w:r>
        <w:rPr>
          <w:rFonts w:ascii="Times New Roman;Times;serif" w:hAnsi="Times New Roman;Times;serif"/>
          <w:b/>
          <w:sz w:val="20"/>
        </w:rPr>
        <w:t>CONSOLIDATED STATEMENTS OF INCOME</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(Dollars in thousands except per share amounts)</w:t>
      </w:r>
    </w:p>
    <w:p>
      <w:pPr>
        <w:pStyle w:val="Normal"/>
        <w:bidi w:val="0"/>
        <w:spacing w:before="0" w:after="0"/>
        <w:jc w:val="left"/>
        <w:rPr>
          <w:sz w:val="4"/>
          <w:szCs w:val="4"/>
        </w:rPr>
      </w:pPr>
      <w:r>
        <w:rPr>
          <w:sz w:val="4"/>
          <w:szCs w:val="4"/>
        </w:rPr>
      </w:r>
      <w:bookmarkStart w:id="241" w:name="Tc_novhxJg74UWeDv50kdMy9Q_35_0"/>
      <w:bookmarkStart w:id="242" w:name="Tc_hk0Bcl001ECoHPseBjVaTQ_34_0"/>
      <w:bookmarkStart w:id="243" w:name="Tc_9S4dmwdoq02oksJZOhZEng_33_0"/>
      <w:bookmarkStart w:id="244" w:name="Tc_1qE1O8rEwkmJzA8iDtRLCw_31_8"/>
      <w:bookmarkStart w:id="245" w:name="Tc_UvHLkvyE4U6OEuHOwOrYmw_31_5"/>
      <w:bookmarkStart w:id="246" w:name="Tc_oQ9Vh5lJ5kavu4MxvrdHnQ_31_2"/>
      <w:bookmarkStart w:id="247" w:name="Tc_txRh6t1WVk2iuBacL8Zc1w_31_0"/>
      <w:bookmarkStart w:id="248" w:name="Tc_BRz3EsYDIkauzu2dyWXAnQ_30_8"/>
      <w:bookmarkStart w:id="249" w:name="Tc_cvQnHLSdg0ioC2VPmc9SKg_30_5"/>
      <w:bookmarkStart w:id="250" w:name="Tc_BbmBeL9AkkCWy214QHObJQ_30_2"/>
      <w:bookmarkStart w:id="251" w:name="Tc_WtcsHeTKPUWalYHfv_0uUA_30_0"/>
      <w:bookmarkStart w:id="252" w:name="Tc_CncWTBGm_kabX-Hn7KAXpw_29_0"/>
      <w:bookmarkStart w:id="253" w:name="Tc_DwVICA3dqUSrHkbcIVqeVA_27_8"/>
      <w:bookmarkStart w:id="254" w:name="Tc_sc29JXL-9kODhAqCgnuaJA_27_5"/>
      <w:bookmarkStart w:id="255" w:name="Tc_L0Bx407jWEakOJg-KKCV8w_27_2"/>
      <w:bookmarkStart w:id="256" w:name="Tc_QCUa16KK-0yumwoZ8yg9vA_27_0"/>
      <w:bookmarkStart w:id="257" w:name="Tc_ZGCv9eg9Q0uXHGq7wPn8aw_26_0"/>
      <w:bookmarkStart w:id="258" w:name="Tc_PB42SNxhiECzcjggfn4kOw_25_0"/>
      <w:bookmarkStart w:id="259" w:name="Tc_VzHRy2bRvUGwbvyIXoICTg_24_0"/>
      <w:bookmarkStart w:id="260" w:name="Tc_I7RObdTyaEKt4qxkneqQBA_23_0"/>
      <w:bookmarkStart w:id="261" w:name="Tc_ixtNNza5tUGv6wk31thYcg_22_0"/>
      <w:bookmarkStart w:id="262" w:name="Tc_MdkAnCL5N0awaawDipdgog_21_0"/>
      <w:bookmarkStart w:id="263" w:name="Tc_Yq87s1086E6x6mMjXSQvKA_20_0"/>
      <w:bookmarkStart w:id="264" w:name="Tc_WIo2lFMoRUqxKOXX268Rbw_19_0"/>
      <w:bookmarkStart w:id="265" w:name="Tc_kzDEttbhcUmFduF2UVf_pQ_18_0"/>
      <w:bookmarkStart w:id="266" w:name="Tc_59Ar2FoUQUa-ibHerZ_gGg_17_0"/>
      <w:bookmarkStart w:id="267" w:name="Tc_Ab6c9DpK10GIA7fjl-chAw_16_0"/>
      <w:bookmarkStart w:id="268" w:name="Tc_RMEa80wc0UKWcw1qXNHPtg_15_0"/>
      <w:bookmarkStart w:id="269" w:name="Tc_XIoPetstzUWi_ZE-GvUglQ_14_0"/>
      <w:bookmarkStart w:id="270" w:name="Tc_B0LiFlsld0yK03CJKyKA_Q_13_0"/>
      <w:bookmarkStart w:id="271" w:name="Tc_NRgSy4B5iEiS9-O3YJHXOQ_12_0"/>
      <w:bookmarkStart w:id="272" w:name="Tc_zQYovwQla0ua0cYKlTfTTg_11_0"/>
      <w:bookmarkStart w:id="273" w:name="Tc_c5eHQWkBzE638QfKeu0TKg_10_0"/>
      <w:bookmarkStart w:id="274" w:name="Tc_AjbXY2g0H0CQmU5j8Iwp6A_9_0"/>
      <w:bookmarkStart w:id="275" w:name="Tc_GKUgMU9cz0S_Wi-ObcSi0g_8_0"/>
      <w:bookmarkStart w:id="276" w:name="Tc_iLbRyH4nf0as4z4n-Y_xrA_7_0"/>
      <w:bookmarkStart w:id="277" w:name="Tc_96rtqJQsyEmx5zTM-CcfFQ_6_0"/>
      <w:bookmarkStart w:id="278" w:name="Tc_-5NqBBAa50KrLLxVDmodxQ_5_8"/>
      <w:bookmarkStart w:id="279" w:name="Tc_Avk8myTJOkmD8WJTOkkNmw_5_5"/>
      <w:bookmarkStart w:id="280" w:name="Tc_x5Nxwy3YbkahbUwwP3GxrQ_5_2"/>
      <w:bookmarkStart w:id="281" w:name="Tc_sFShIbBqDk6xjDtE6Ua6_w_5_0"/>
      <w:bookmarkStart w:id="282" w:name="Tc_CJ1Qheb_40aiRJALrZFEAA_4_0"/>
      <w:bookmarkStart w:id="283" w:name="Tc_UqA_b4O2EU2Gk6DCO_a3vA_3_8"/>
      <w:bookmarkStart w:id="284" w:name="Tc_WDXhsEKpN0G_0u_88vn98A_3_5"/>
      <w:bookmarkStart w:id="285" w:name="Tc_a21EhmM0o0aIQsz4qmpabA_3_2"/>
      <w:bookmarkStart w:id="286" w:name="Tc_95jC63Ewt02Cc_dmio6S3g_2_2"/>
      <w:bookmarkStart w:id="287" w:name="_25b52fb4_48e3_4e98_90e6_c622be3157f3"/>
      <w:bookmarkStart w:id="288" w:name="Tc_novhxJg74UWeDv50kdMy9Q_35_0"/>
      <w:bookmarkStart w:id="289" w:name="Tc_hk0Bcl001ECoHPseBjVaTQ_34_0"/>
      <w:bookmarkStart w:id="290" w:name="Tc_9S4dmwdoq02oksJZOhZEng_33_0"/>
      <w:bookmarkStart w:id="291" w:name="Tc_1qE1O8rEwkmJzA8iDtRLCw_31_8"/>
      <w:bookmarkStart w:id="292" w:name="Tc_UvHLkvyE4U6OEuHOwOrYmw_31_5"/>
      <w:bookmarkStart w:id="293" w:name="Tc_oQ9Vh5lJ5kavu4MxvrdHnQ_31_2"/>
      <w:bookmarkStart w:id="294" w:name="Tc_txRh6t1WVk2iuBacL8Zc1w_31_0"/>
      <w:bookmarkStart w:id="295" w:name="Tc_BRz3EsYDIkauzu2dyWXAnQ_30_8"/>
      <w:bookmarkStart w:id="296" w:name="Tc_cvQnHLSdg0ioC2VPmc9SKg_30_5"/>
      <w:bookmarkStart w:id="297" w:name="Tc_BbmBeL9AkkCWy214QHObJQ_30_2"/>
      <w:bookmarkStart w:id="298" w:name="Tc_WtcsHeTKPUWalYHfv_0uUA_30_0"/>
      <w:bookmarkStart w:id="299" w:name="Tc_CncWTBGm_kabX-Hn7KAXpw_29_0"/>
      <w:bookmarkStart w:id="300" w:name="Tc_DwVICA3dqUSrHkbcIVqeVA_27_8"/>
      <w:bookmarkStart w:id="301" w:name="Tc_sc29JXL-9kODhAqCgnuaJA_27_5"/>
      <w:bookmarkStart w:id="302" w:name="Tc_L0Bx407jWEakOJg-KKCV8w_27_2"/>
      <w:bookmarkStart w:id="303" w:name="Tc_QCUa16KK-0yumwoZ8yg9vA_27_0"/>
      <w:bookmarkStart w:id="304" w:name="Tc_ZGCv9eg9Q0uXHGq7wPn8aw_26_0"/>
      <w:bookmarkStart w:id="305" w:name="Tc_PB42SNxhiECzcjggfn4kOw_25_0"/>
      <w:bookmarkStart w:id="306" w:name="Tc_VzHRy2bRvUGwbvyIXoICTg_24_0"/>
      <w:bookmarkStart w:id="307" w:name="Tc_I7RObdTyaEKt4qxkneqQBA_23_0"/>
      <w:bookmarkStart w:id="308" w:name="Tc_ixtNNza5tUGv6wk31thYcg_22_0"/>
      <w:bookmarkStart w:id="309" w:name="Tc_MdkAnCL5N0awaawDipdgog_21_0"/>
      <w:bookmarkStart w:id="310" w:name="Tc_Yq87s1086E6x6mMjXSQvKA_20_0"/>
      <w:bookmarkStart w:id="311" w:name="Tc_WIo2lFMoRUqxKOXX268Rbw_19_0"/>
      <w:bookmarkStart w:id="312" w:name="Tc_kzDEttbhcUmFduF2UVf_pQ_18_0"/>
      <w:bookmarkStart w:id="313" w:name="Tc_59Ar2FoUQUa-ibHerZ_gGg_17_0"/>
      <w:bookmarkStart w:id="314" w:name="Tc_Ab6c9DpK10GIA7fjl-chAw_16_0"/>
      <w:bookmarkStart w:id="315" w:name="Tc_RMEa80wc0UKWcw1qXNHPtg_15_0"/>
      <w:bookmarkStart w:id="316" w:name="Tc_XIoPetstzUWi_ZE-GvUglQ_14_0"/>
      <w:bookmarkStart w:id="317" w:name="Tc_B0LiFlsld0yK03CJKyKA_Q_13_0"/>
      <w:bookmarkStart w:id="318" w:name="Tc_NRgSy4B5iEiS9-O3YJHXOQ_12_0"/>
      <w:bookmarkStart w:id="319" w:name="Tc_zQYovwQla0ua0cYKlTfTTg_11_0"/>
      <w:bookmarkStart w:id="320" w:name="Tc_c5eHQWkBzE638QfKeu0TKg_10_0"/>
      <w:bookmarkStart w:id="321" w:name="Tc_AjbXY2g0H0CQmU5j8Iwp6A_9_0"/>
      <w:bookmarkStart w:id="322" w:name="Tc_GKUgMU9cz0S_Wi-ObcSi0g_8_0"/>
      <w:bookmarkStart w:id="323" w:name="Tc_iLbRyH4nf0as4z4n-Y_xrA_7_0"/>
      <w:bookmarkStart w:id="324" w:name="Tc_96rtqJQsyEmx5zTM-CcfFQ_6_0"/>
      <w:bookmarkStart w:id="325" w:name="Tc_-5NqBBAa50KrLLxVDmodxQ_5_8"/>
      <w:bookmarkStart w:id="326" w:name="Tc_Avk8myTJOkmD8WJTOkkNmw_5_5"/>
      <w:bookmarkStart w:id="327" w:name="Tc_x5Nxwy3YbkahbUwwP3GxrQ_5_2"/>
      <w:bookmarkStart w:id="328" w:name="Tc_sFShIbBqDk6xjDtE6Ua6_w_5_0"/>
      <w:bookmarkStart w:id="329" w:name="Tc_CJ1Qheb_40aiRJALrZFEAA_4_0"/>
      <w:bookmarkStart w:id="330" w:name="Tc_UqA_b4O2EU2Gk6DCO_a3vA_3_8"/>
      <w:bookmarkStart w:id="331" w:name="Tc_WDXhsEKpN0G_0u_88vn98A_3_5"/>
      <w:bookmarkStart w:id="332" w:name="Tc_a21EhmM0o0aIQsz4qmpabA_3_2"/>
      <w:bookmarkStart w:id="333" w:name="Tc_95jC63Ewt02Cc_dmio6S3g_2_2"/>
      <w:bookmarkStart w:id="334" w:name="_25b52fb4_48e3_4e98_90e6_c622be3157f3"/>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tbl>
      <w:tblPr>
        <w:tblW w:w="10205" w:type="dxa"/>
        <w:jc w:val="left"/>
        <w:tblInd w:w="0" w:type="dxa"/>
        <w:tblLayout w:type="fixed"/>
        <w:tblCellMar>
          <w:top w:w="0" w:type="dxa"/>
          <w:left w:w="0" w:type="dxa"/>
          <w:bottom w:w="0" w:type="dxa"/>
          <w:right w:w="0" w:type="dxa"/>
        </w:tblCellMar>
      </w:tblPr>
      <w:tblGrid>
        <w:gridCol w:w="5521"/>
        <w:gridCol w:w="146"/>
        <w:gridCol w:w="211"/>
        <w:gridCol w:w="1036"/>
        <w:gridCol w:w="346"/>
        <w:gridCol w:w="211"/>
        <w:gridCol w:w="1036"/>
        <w:gridCol w:w="346"/>
        <w:gridCol w:w="211"/>
        <w:gridCol w:w="1141"/>
      </w:tblGrid>
      <w:tr>
        <w:trPr/>
        <w:tc>
          <w:tcPr>
            <w:tcW w:w="5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505835" cy="175260"/>
                      <wp:effectExtent l="0" t="0" r="0" b="0"/>
                      <wp:wrapNone/>
                      <wp:docPr id="304" name="Frame303"/>
                      <a:graphic xmlns:a="http://schemas.openxmlformats.org/drawingml/2006/main">
                        <a:graphicData uri="http://schemas.microsoft.com/office/word/2010/wordprocessingShape">
                          <wps:wsp>
                            <wps:cNvSpPr txBox="1"/>
                            <wps:spPr>
                              <a:xfrm>
                                <a:off x="0" y="0"/>
                                <a:ext cx="3505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2710" cy="175260"/>
                      <wp:effectExtent l="0" t="0" r="0" b="0"/>
                      <wp:wrapNone/>
                      <wp:docPr id="305" name="Frame30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6"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57860" cy="175260"/>
                      <wp:effectExtent l="0" t="0" r="0" b="0"/>
                      <wp:wrapNone/>
                      <wp:docPr id="307" name="Frame30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08"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09"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57860" cy="175260"/>
                      <wp:effectExtent l="0" t="0" r="0" b="0"/>
                      <wp:wrapNone/>
                      <wp:docPr id="310" name="Frame30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1"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2"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24535" cy="175260"/>
                      <wp:effectExtent l="0" t="0" r="0" b="0"/>
                      <wp:wrapNone/>
                      <wp:docPr id="313" name="Frame31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55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5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5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186,008</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152,441</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50,836</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513,246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389,285</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r>
      <w:tr>
        <w:trPr/>
        <w:tc>
          <w:tcPr>
            <w:tcW w:w="55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revenue </w:t>
            </w:r>
            <w:r>
              <w:rPr>
                <w:rFonts w:ascii="Times New Roman;Times;serif" w:hAnsi="Times New Roman;Times;serif"/>
                <w:sz w:val="15"/>
              </w:rPr>
              <w:t>(a)</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87,966</w:t>
            </w:r>
          </w:p>
        </w:tc>
      </w:tr>
      <w:tr>
        <w:trPr/>
        <w:tc>
          <w:tcPr>
            <w:tcW w:w="55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hospitality revenue </w:t>
            </w:r>
            <w:r>
              <w:rPr>
                <w:rFonts w:ascii="Times New Roman;Times;serif" w:hAnsi="Times New Roman;Times;serif"/>
                <w:sz w:val="15"/>
              </w:rPr>
              <w:t>(a)</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122,185</w:t>
            </w:r>
          </w:p>
        </w:tc>
      </w:tr>
      <w:tr>
        <w:trPr/>
        <w:tc>
          <w:tcPr>
            <w:tcW w:w="55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leasing revenue </w:t>
            </w:r>
            <w:r>
              <w:rPr>
                <w:rFonts w:ascii="Times New Roman;Times;serif" w:hAnsi="Times New Roman;Times;serif"/>
                <w:sz w:val="15"/>
              </w:rPr>
              <w:t>(a)</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25,828</w:t>
            </w:r>
          </w:p>
        </w:tc>
      </w:tr>
      <w:tr>
        <w:trPr/>
        <w:tc>
          <w:tcPr>
            <w:tcW w:w="55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and other operating expenses </w:t>
            </w:r>
            <w:r>
              <w:rPr>
                <w:rFonts w:ascii="Times New Roman;Times;serif" w:hAnsi="Times New Roman;Times;serif"/>
                <w:sz w:val="15"/>
              </w:rPr>
              <w:t>(a)</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23,797</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38,776</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298,552</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90,733</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13,282</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(30,618)</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from unconsolidated joint ventures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22,701</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9,328</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100,061</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(26,009)</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74,052</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3,660</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77,712</w:t>
            </w:r>
          </w:p>
        </w:tc>
      </w:tr>
      <w:tr>
        <w:trPr/>
        <w:tc>
          <w:tcPr>
            <w:tcW w:w="552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 ATTRIBUTABLE TO THE COMPANY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552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SHARES OUTSTANDING</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57,944,092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58,326,286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58,312,878</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57,959,936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58,346,726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58,324,254</w:t>
            </w:r>
          </w:p>
        </w:tc>
      </w:tr>
    </w:tbl>
    <w:tbl>
      <w:tblPr>
        <w:tblW w:w="5867" w:type="dxa"/>
        <w:jc w:val="left"/>
        <w:tblInd w:w="0" w:type="dxa"/>
        <w:tblLayout w:type="fixed"/>
        <w:tblCellMar>
          <w:top w:w="0" w:type="dxa"/>
          <w:left w:w="0" w:type="dxa"/>
          <w:bottom w:w="0" w:type="dxa"/>
          <w:right w:w="0" w:type="dxa"/>
        </w:tblCellMar>
      </w:tblPr>
      <w:tblGrid>
        <w:gridCol w:w="316"/>
        <w:gridCol w:w="5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5" w:name="_6f56685a_9e31_4977_9766_ba17cd5fed0a"/>
      <w:bookmarkEnd w:id="335"/>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336" w:name="COMPREHENSIVEINCOMELOSS_854491"/>
      <w:bookmarkEnd w:id="336"/>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Normal"/>
        <w:bidi w:val="0"/>
        <w:spacing w:before="0" w:after="0"/>
        <w:jc w:val="left"/>
        <w:rPr>
          <w:sz w:val="4"/>
          <w:szCs w:val="4"/>
        </w:rPr>
      </w:pPr>
      <w:r>
        <w:rPr>
          <w:sz w:val="4"/>
          <w:szCs w:val="4"/>
        </w:rPr>
      </w:r>
      <w:bookmarkStart w:id="337" w:name="Tc_pTLk5SqMMUaKOxdFmqh1Mw_15_9"/>
      <w:bookmarkStart w:id="338" w:name="Tc_HIWzesEqHk2Cg3uf4HVL_A_15_6"/>
      <w:bookmarkStart w:id="339" w:name="Tc_xyV690SUZ0GkML5yvVmrpw_15_3"/>
      <w:bookmarkStart w:id="340" w:name="Tc_8xDMQ0qndEeL3yRqkxqwtw_15_0"/>
      <w:bookmarkStart w:id="341" w:name="Tc_zl1cVDak90eolGFmJUZ16A_14_0"/>
      <w:bookmarkStart w:id="342" w:name="Tc_kcJv05mXVESuhO2Yje2gSg_13_0"/>
      <w:bookmarkStart w:id="343" w:name="Tc_WVVuQr2zBEOlG_-HmrARrQ_12_0"/>
      <w:bookmarkStart w:id="344" w:name="Tc_ubxAN7Zhp02GZ-AC6imJbA_11_0"/>
      <w:bookmarkStart w:id="345" w:name="Tc_EM3ANP2lBEuUj3hyZdSIXg_10_0"/>
      <w:bookmarkStart w:id="346" w:name="Tc_6kEy4SbwDk2JWUyM0-Cs0w_9_0"/>
      <w:bookmarkStart w:id="347" w:name="Tc_f8_yyV8qL0uBkXM1IK1auw_8_0"/>
      <w:bookmarkStart w:id="348" w:name="Tc_34MtGYj1hUKEzOGI1xFFoA_7_0"/>
      <w:bookmarkStart w:id="349" w:name="Tc_nMF3hZh7qkGzYYo328_nVg_6_7"/>
      <w:bookmarkStart w:id="350" w:name="Tc_APF__-XrdEyIwny4nv027Q_6_4"/>
      <w:bookmarkStart w:id="351" w:name="Tc_nK7gt-6Wu0yw2PnFQ9StVw_6_0"/>
      <w:bookmarkStart w:id="352" w:name="Tc_WDaf6cbIFEO41pe0IzVcZw_5_0"/>
      <w:bookmarkStart w:id="353" w:name="Tc_KbgGuZdGqUeEVW2JYZv6UQ_4_9"/>
      <w:bookmarkStart w:id="354" w:name="Tc_ZS0GvsIGhUez4qwszlPtsA_4_6"/>
      <w:bookmarkStart w:id="355" w:name="Tc_TV1cXY9d8kemCaIylKZaOQ_4_3"/>
      <w:bookmarkStart w:id="356" w:name="Tc_Cr7X9BOjLkWYiE235UXpMA_4_0"/>
      <w:bookmarkStart w:id="357" w:name="Tc_Vhv8eIAg50exD4ggtkWbVw_3_9"/>
      <w:bookmarkStart w:id="358" w:name="Tc_T2JxY_1ZR0Senq3zOSS56Q_3_6"/>
      <w:bookmarkStart w:id="359" w:name="Tc_BcFxHa39hkmwc7RoN_w33Q_3_3"/>
      <w:bookmarkStart w:id="360" w:name="Tc_ZzHZ2ofX50qxCjUVwRKTDA_2_3"/>
      <w:bookmarkStart w:id="361" w:name="_e0da8f8c_cec1_48d4_b708_09454cf64ad2"/>
      <w:bookmarkStart w:id="362" w:name="_8c1a1af2_1d0c_4dbb_bdd4_f6e41163369f"/>
      <w:bookmarkStart w:id="363" w:name="Tc_pTLk5SqMMUaKOxdFmqh1Mw_15_9"/>
      <w:bookmarkStart w:id="364" w:name="Tc_HIWzesEqHk2Cg3uf4HVL_A_15_6"/>
      <w:bookmarkStart w:id="365" w:name="Tc_xyV690SUZ0GkML5yvVmrpw_15_3"/>
      <w:bookmarkStart w:id="366" w:name="Tc_8xDMQ0qndEeL3yRqkxqwtw_15_0"/>
      <w:bookmarkStart w:id="367" w:name="Tc_zl1cVDak90eolGFmJUZ16A_14_0"/>
      <w:bookmarkStart w:id="368" w:name="Tc_kcJv05mXVESuhO2Yje2gSg_13_0"/>
      <w:bookmarkStart w:id="369" w:name="Tc_WVVuQr2zBEOlG_-HmrARrQ_12_0"/>
      <w:bookmarkStart w:id="370" w:name="Tc_ubxAN7Zhp02GZ-AC6imJbA_11_0"/>
      <w:bookmarkStart w:id="371" w:name="Tc_EM3ANP2lBEuUj3hyZdSIXg_10_0"/>
      <w:bookmarkStart w:id="372" w:name="Tc_6kEy4SbwDk2JWUyM0-Cs0w_9_0"/>
      <w:bookmarkStart w:id="373" w:name="Tc_f8_yyV8qL0uBkXM1IK1auw_8_0"/>
      <w:bookmarkStart w:id="374" w:name="Tc_34MtGYj1hUKEzOGI1xFFoA_7_0"/>
      <w:bookmarkStart w:id="375" w:name="Tc_nMF3hZh7qkGzYYo328_nVg_6_7"/>
      <w:bookmarkStart w:id="376" w:name="Tc_APF__-XrdEyIwny4nv027Q_6_4"/>
      <w:bookmarkStart w:id="377" w:name="Tc_nK7gt-6Wu0yw2PnFQ9StVw_6_0"/>
      <w:bookmarkStart w:id="378" w:name="Tc_WDaf6cbIFEO41pe0IzVcZw_5_0"/>
      <w:bookmarkStart w:id="379" w:name="Tc_KbgGuZdGqUeEVW2JYZv6UQ_4_9"/>
      <w:bookmarkStart w:id="380" w:name="Tc_ZS0GvsIGhUez4qwszlPtsA_4_6"/>
      <w:bookmarkStart w:id="381" w:name="Tc_TV1cXY9d8kemCaIylKZaOQ_4_3"/>
      <w:bookmarkStart w:id="382" w:name="Tc_Cr7X9BOjLkWYiE235UXpMA_4_0"/>
      <w:bookmarkStart w:id="383" w:name="Tc_Vhv8eIAg50exD4ggtkWbVw_3_9"/>
      <w:bookmarkStart w:id="384" w:name="Tc_T2JxY_1ZR0Senq3zOSS56Q_3_6"/>
      <w:bookmarkStart w:id="385" w:name="Tc_BcFxHa39hkmwc7RoN_w33Q_3_3"/>
      <w:bookmarkStart w:id="386" w:name="Tc_ZzHZ2ofX50qxCjUVwRKTDA_2_3"/>
      <w:bookmarkStart w:id="387" w:name="_e0da8f8c_cec1_48d4_b708_09454cf64ad2"/>
      <w:bookmarkStart w:id="388" w:name="_8c1a1af2_1d0c_4dbb_bdd4_f6e41163369f"/>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tbl>
      <w:tblPr>
        <w:tblW w:w="9204" w:type="dxa"/>
        <w:jc w:val="left"/>
        <w:tblInd w:w="0" w:type="dxa"/>
        <w:tblLayout w:type="fixed"/>
        <w:tblCellMar>
          <w:top w:w="0" w:type="dxa"/>
          <w:left w:w="0" w:type="dxa"/>
          <w:bottom w:w="0" w:type="dxa"/>
          <w:right w:w="0" w:type="dxa"/>
        </w:tblCellMar>
      </w:tblPr>
      <w:tblGrid>
        <w:gridCol w:w="5371"/>
        <w:gridCol w:w="146"/>
        <w:gridCol w:w="109"/>
        <w:gridCol w:w="211"/>
        <w:gridCol w:w="781"/>
        <w:gridCol w:w="346"/>
        <w:gridCol w:w="211"/>
        <w:gridCol w:w="691"/>
        <w:gridCol w:w="346"/>
        <w:gridCol w:w="211"/>
        <w:gridCol w:w="781"/>
      </w:tblGrid>
      <w:tr>
        <w:trPr/>
        <w:tc>
          <w:tcPr>
            <w:tcW w:w="5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410585" cy="175260"/>
                      <wp:effectExtent l="0" t="0" r="0" b="0"/>
                      <wp:wrapNone/>
                      <wp:docPr id="314" name="Frame313"/>
                      <a:graphic xmlns:a="http://schemas.openxmlformats.org/drawingml/2006/main">
                        <a:graphicData uri="http://schemas.microsoft.com/office/word/2010/wordprocessingShape">
                          <wps:wsp>
                            <wps:cNvSpPr txBox="1"/>
                            <wps:spPr>
                              <a:xfrm>
                                <a:off x="0" y="0"/>
                                <a:ext cx="341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92710" cy="175260"/>
                      <wp:effectExtent l="0" t="0" r="0" b="0"/>
                      <wp:wrapNone/>
                      <wp:docPr id="315" name="Frame31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6"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17"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95935" cy="175260"/>
                      <wp:effectExtent l="0" t="0" r="0" b="0"/>
                      <wp:wrapNone/>
                      <wp:docPr id="318" name="Frame3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19"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0"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38785" cy="175260"/>
                      <wp:effectExtent l="0" t="0" r="0" b="0"/>
                      <wp:wrapNone/>
                      <wp:docPr id="321" name="Frame3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2"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3"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5935" cy="175260"/>
                      <wp:effectExtent l="0" t="0" r="0" b="0"/>
                      <wp:wrapNone/>
                      <wp:docPr id="324" name="Frame3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53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3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74,052</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on available-for-sale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 unconsolidated joint venture</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net realized gain included in earnings</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before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net of tax</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73,058</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 attributable to non-controlling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attributable to the Company</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77,125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9" w:name="_a69b51ce_17b0_4ff0_ad5f_4f3eabab8487"/>
      <w:bookmarkEnd w:id="389"/>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390" w:name="STOCKHOLDERSEQUITY_922728"/>
      <w:bookmarkEnd w:id="390"/>
      <w:r>
        <w:rPr>
          <w:rFonts w:ascii="Times New Roman;Times;serif" w:hAnsi="Times New Roman;Times;serif"/>
          <w:b/>
          <w:sz w:val="20"/>
        </w:rPr>
        <w:t>CONSOLIDATED STATEMENTS OF EQUITY</w:t>
      </w:r>
    </w:p>
    <w:p>
      <w:pPr>
        <w:pStyle w:val="TextBody"/>
        <w:bidi w:val="0"/>
        <w:spacing w:before="0" w:after="12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Normal"/>
        <w:bidi w:val="0"/>
        <w:spacing w:before="0" w:after="0"/>
        <w:jc w:val="left"/>
        <w:rPr>
          <w:sz w:val="4"/>
          <w:szCs w:val="4"/>
        </w:rPr>
      </w:pPr>
      <w:r>
        <w:rPr>
          <w:sz w:val="4"/>
          <w:szCs w:val="4"/>
        </w:rPr>
      </w:r>
      <w:bookmarkStart w:id="391" w:name="Tc_UcEC4e1hD0uNWO-4odTGgA_31_19"/>
      <w:bookmarkStart w:id="392" w:name="Tc_1tMbzaz91UGa4t1YlO3MoA_31_16"/>
      <w:bookmarkStart w:id="393" w:name="Tc_Rf3LUcK1nUGup_aP0ISDNw_31_14"/>
      <w:bookmarkStart w:id="394" w:name="Tc_3FiuSxMfRUmj1uK5fT0zSg_31_13"/>
      <w:bookmarkStart w:id="395" w:name="Tc_VW97eMqLqk2YPRlbjj3kHg_31_10"/>
      <w:bookmarkStart w:id="396" w:name="Tc_WNo5b2uBRkC9qUPyDOFMeA_31_7"/>
      <w:bookmarkStart w:id="397" w:name="Tc_E7TzhuKh2kedx_3my5oLSw_31_4"/>
      <w:bookmarkStart w:id="398" w:name="Tc_vH-dqADfIkOYn-x0-vLaQA_31_0"/>
      <w:bookmarkStart w:id="399" w:name="Tc_HGOGFdTM2kOZX1HYhJM3Lg_30_14"/>
      <w:bookmarkStart w:id="400" w:name="Tc_KRzjmU5XekOP4wC_bPTRFA_30_11"/>
      <w:bookmarkStart w:id="401" w:name="Tc_NTLiURvorESmDW9DzwaNbg_30_5"/>
      <w:bookmarkStart w:id="402" w:name="Tc_sUlRyLOVwE6Kdlq9d-Z-cQ_30_2"/>
      <w:bookmarkStart w:id="403" w:name="Tc_c5xfchT6S0ac7KAYaDI_oA_30_0"/>
      <w:bookmarkStart w:id="404" w:name="Tc_ff8O34JIf0KRjhF59jYS7A_29_14"/>
      <w:bookmarkStart w:id="405" w:name="Tc_GOprspS70UKjqijqbWfPfA_29_8"/>
      <w:bookmarkStart w:id="406" w:name="Tc_VQK1usxwd0aziJ3i1AgkLQ_29_5"/>
      <w:bookmarkStart w:id="407" w:name="Tc_JcmL--6la0SbYV-2p-B5Kg_29_2"/>
      <w:bookmarkStart w:id="408" w:name="Tc_wdqX4ktAikiipHkCnWAFWg_29_0"/>
      <w:bookmarkStart w:id="409" w:name="Tc_Jw3A3JeXyEikgtqK52GotQ_28_17"/>
      <w:bookmarkStart w:id="410" w:name="Tc_C7fC4oNxJk2J99tSBMaQYg_28_14"/>
      <w:bookmarkStart w:id="411" w:name="Tc_GjRtZWFvp0Kyr3XQDnx5iA_28_11"/>
      <w:bookmarkStart w:id="412" w:name="Tc_d8i9DroF_0GcqA87AOxZpA_28_5"/>
      <w:bookmarkStart w:id="413" w:name="Tc_2P8EV6R3P0uTzA3tC0K-jw_28_2"/>
      <w:bookmarkStart w:id="414" w:name="Tc_7ZReuDlgOUmQkSoS5C2UbA_28_0"/>
      <w:bookmarkStart w:id="415" w:name="Tc_KyccD8FIr0C74RObSNdRSw_27_20"/>
      <w:bookmarkStart w:id="416" w:name="Tc_xGCO3rQ6gEqly98qqw5nkw_27_17"/>
      <w:bookmarkStart w:id="417" w:name="Tc_Y03QNFZktU224dJZiaE2JA_27_11"/>
      <w:bookmarkStart w:id="418" w:name="Tc_nz3jjXobYkiZMuutsmeCxA_27_8"/>
      <w:bookmarkStart w:id="419" w:name="Tc_sL4BBrewmEueTEaxunoUMA_27_2"/>
      <w:bookmarkStart w:id="420" w:name="Tc_mbR8kS_TcU-5XpTvwMZZtw_27_0"/>
      <w:bookmarkStart w:id="421" w:name="Tc_56jFEJbcJEGbN8A9ju6tww_26_17"/>
      <w:bookmarkStart w:id="422" w:name="Tc_hgg5TjEuJ0qr8QYnKAh9JQ_26_11"/>
      <w:bookmarkStart w:id="423" w:name="Tc_4yX9vb66cUCzKJFGYFQKNQ_26_8"/>
      <w:bookmarkStart w:id="424" w:name="Tc_pJQ8ioin5U264ZUMd3IgLw_26_5"/>
      <w:bookmarkStart w:id="425" w:name="Tc_4C37Lb43Bk-yTWGu0syRXA_26_0"/>
      <w:bookmarkStart w:id="426" w:name="Tc_mWJzFWOkdkqlL00PMPbxzQ_25_17"/>
      <w:bookmarkStart w:id="427" w:name="Tc_TChQkpm5eUWIwHcyDfur9w_25_14"/>
      <w:bookmarkStart w:id="428" w:name="Tc_cAcXMGfno0ivXDQLtXo0qQ_25_11"/>
      <w:bookmarkStart w:id="429" w:name="Tc_S34jxjkHq0mZ8e9fi2RkPg_25_8"/>
      <w:bookmarkStart w:id="430" w:name="Tc_qOIKmuNWv02QHQfO_XB4iw_25_2"/>
      <w:bookmarkStart w:id="431" w:name="Tc_G-nSuTsCr0ue0J7PddYg1A_25_0"/>
      <w:bookmarkStart w:id="432" w:name="Tc_ewHI76NixECWyB-tfRtZJA_24_20"/>
      <w:bookmarkStart w:id="433" w:name="Tc_PCFH4dEhNky7DXQIbi5MmA_24_17"/>
      <w:bookmarkStart w:id="434" w:name="Tc_j44mvxA8yUStgvoV-fqmCg_24_14"/>
      <w:bookmarkStart w:id="435" w:name="Tc_XiYXwwmSV0i8ixWx4OexrQ_24_11"/>
      <w:bookmarkStart w:id="436" w:name="Tc_io5wS3JdoEqlhbPQ1rCz3w_24_8"/>
      <w:bookmarkStart w:id="437" w:name="Tc_AmE18zSckEa7M6hL8SyInA_24_5"/>
      <w:bookmarkStart w:id="438" w:name="Tc_oKoJP6Kfx0ihmNdOuuENXw_24_0"/>
      <w:bookmarkStart w:id="439" w:name="Tc_k0ctGlOUuECvWSuRSefftg_23_14"/>
      <w:bookmarkStart w:id="440" w:name="Tc_lIsmEVT6qkqYj-3cRcq0Qg_23_11"/>
      <w:bookmarkStart w:id="441" w:name="Tc_Va-8g1kwykinxvxcE2ZqYQ_23_8"/>
      <w:bookmarkStart w:id="442" w:name="Tc_tylvogY0zEuboqwQSX06hw_23_5"/>
      <w:bookmarkStart w:id="443" w:name="Tc_KQ17YhwSOkyaQ2DSsdpjmA_23_2"/>
      <w:bookmarkStart w:id="444" w:name="Tc_u0fUH0QUikmVc7BAA1nhvg_23_0"/>
      <w:bookmarkStart w:id="445" w:name="Tc_lkt3IbpCBESpuRwQWlcuPw_22_19"/>
      <w:bookmarkStart w:id="446" w:name="Tc_rl4HybSVRkCTX1uXmdRqIw_22_16"/>
      <w:bookmarkStart w:id="447" w:name="Tc_v2IjrbkGN0GWJY1iPepKBg_22_14"/>
      <w:bookmarkStart w:id="448" w:name="Tc_L1P_cmO9HkKaMevgeBd83g_22_13"/>
      <w:bookmarkStart w:id="449" w:name="Tc__WuViftw2E6f1WlXk6hMHA_22_10"/>
      <w:bookmarkStart w:id="450" w:name="Tc_HiZd5OdYRkKtbzN7jWEm5A_22_7"/>
      <w:bookmarkStart w:id="451" w:name="Tc_Md_oIo8mWEmFYbpbPSsvLA_22_4"/>
      <w:bookmarkStart w:id="452" w:name="Tc_KuTvAFaL3UOF82jjG06srw_22_0"/>
      <w:bookmarkStart w:id="453" w:name="Tc_PAjO9uxQYU2cVqjYIZNzrw_21_14"/>
      <w:bookmarkStart w:id="454" w:name="Tc_wusPsMEKhkCVLcSRSTQlMw_21_11"/>
      <w:bookmarkStart w:id="455" w:name="Tc_0r6LH_rKzEOwSHezAem4Mg_21_5"/>
      <w:bookmarkStart w:id="456" w:name="Tc_qlwpKyJtFkiZupfl1xCuQg_21_2"/>
      <w:bookmarkStart w:id="457" w:name="Tc_a-K8YTZickWJTW_iAUWLSg_21_0"/>
      <w:bookmarkStart w:id="458" w:name="Tc_p6KtUDfY8UGYA5KBUkkfGg_20_14"/>
      <w:bookmarkStart w:id="459" w:name="Tc_H2rmKhoHckejKRn40x_ZUg_20_8"/>
      <w:bookmarkStart w:id="460" w:name="Tc_5OZFzsyv9kilbNf6O053UA_20_5"/>
      <w:bookmarkStart w:id="461" w:name="Tc_XcAsPWDzdEqOAkSChxHEVw_20_2"/>
      <w:bookmarkStart w:id="462" w:name="Tc_aIyYVZ__w0KkRIz-_oiHpg_20_0"/>
      <w:bookmarkStart w:id="463" w:name="Tc_myrih_kVGkSbQQRF5pwzWQ_19_17"/>
      <w:bookmarkStart w:id="464" w:name="Tc_EmXv8RiFD0Chbn4a35svJw_19_14"/>
      <w:bookmarkStart w:id="465" w:name="Tc_5Bz4UB6oUkWtea4AtSM-MA_19_11"/>
      <w:bookmarkStart w:id="466" w:name="Tc_1zKUtl7QbUmU_3_rOwKApA_19_5"/>
      <w:bookmarkStart w:id="467" w:name="Tc_yoYjUE-skUKySkaoWLW_WQ_19_2"/>
      <w:bookmarkStart w:id="468" w:name="Tc_GDVXabjArk6OYO0-aTiJmA_19_0"/>
      <w:bookmarkStart w:id="469" w:name="Tc_GxYkKwmiq0S8E9bZzJxmYA_18_20"/>
      <w:bookmarkStart w:id="470" w:name="Tc_PfMOeuWUq0S30UwPH3TJAA_18_17"/>
      <w:bookmarkStart w:id="471" w:name="Tc_2e2ytxX7HkeJsdqn5YGALA_18_11"/>
      <w:bookmarkStart w:id="472" w:name="Tc_X9B0HTO4HkSyXLwGrSbGHA_18_8"/>
      <w:bookmarkStart w:id="473" w:name="Tc_hnsdAk01IEGnwdl9X5uRew_18_2"/>
      <w:bookmarkStart w:id="474" w:name="Tc_0Nna6w7s1kWtJ_KQH4H-mA_18_0"/>
      <w:bookmarkStart w:id="475" w:name="Tc_ECGhOsZ480yeDoYB5TzT6g_17_17"/>
      <w:bookmarkStart w:id="476" w:name="Tc_2Df2grQEJk-av2O10WphUQ_17_11"/>
      <w:bookmarkStart w:id="477" w:name="Tc_wP1bnf2Wc0eOrsXYz-Zcbw_17_8"/>
      <w:bookmarkStart w:id="478" w:name="Tc_j5n-_5WP8kqXuolVVO60zA_17_5"/>
      <w:bookmarkStart w:id="479" w:name="Tc_9_XL_txLg0eYy-FBFDWSuw_17_0"/>
      <w:bookmarkStart w:id="480" w:name="Tc_6r5cYUymRkq0dpSeti5Gbg_16_17"/>
      <w:bookmarkStart w:id="481" w:name="Tc_C1I-u2yZw0y6M3AXb5lmaQ_16_14"/>
      <w:bookmarkStart w:id="482" w:name="Tc_Dj5-MwJ3CUKBNsTjTaI-yA_16_11"/>
      <w:bookmarkStart w:id="483" w:name="Tc_7f2kPYHNZkqOpzYOTv1_-g_16_8"/>
      <w:bookmarkStart w:id="484" w:name="Tc_sPUb1452SUW8UabiYe-xSw_16_2"/>
      <w:bookmarkStart w:id="485" w:name="Tc_ipHX1q3jTEeegExQ8CAkKw_16_0"/>
      <w:bookmarkStart w:id="486" w:name="Tc_6gJ9NvZuhE6OP0R67pqfsg_15_20"/>
      <w:bookmarkStart w:id="487" w:name="Tc_0K1TyGI0REitrMb9S5Ej3Q_15_17"/>
      <w:bookmarkStart w:id="488" w:name="Tc_uFLJkkrDHEO5PP-zESnlMA_15_14"/>
      <w:bookmarkStart w:id="489" w:name="Tc_LGdfECVoSU6UClZYg0ycxg_15_11"/>
      <w:bookmarkStart w:id="490" w:name="Tc_auEeUJ_PNkWcLRfFJvFvVQ_15_8"/>
      <w:bookmarkStart w:id="491" w:name="Tc_6-2HlI-2nEGSOjLcWw3h_w_15_5"/>
      <w:bookmarkStart w:id="492" w:name="Tc_iP_6-V2gpUiDkDEApBCOEg_15_0"/>
      <w:bookmarkStart w:id="493" w:name="Tc_CHjGd4cnr0-97Q9g50ZHOg_14_14"/>
      <w:bookmarkStart w:id="494" w:name="Tc_-YtMKqxbsUqbTVw-1E_k4A_14_11"/>
      <w:bookmarkStart w:id="495" w:name="Tc_teUA1390CUOWnB3Q5ssb4w_14_8"/>
      <w:bookmarkStart w:id="496" w:name="Tc_UfZLj5B4HkCGfmq-g8fdVw_14_5"/>
      <w:bookmarkStart w:id="497" w:name="Tc_iiBXxLsF1kO1gdHpuZzW7w_14_2"/>
      <w:bookmarkStart w:id="498" w:name="Tc_bwOlbHBl_0CkYbNaSvASQw_14_0"/>
      <w:bookmarkStart w:id="499" w:name="Tc_aCNP03lwMkeLjUzAgau6WA_13_19"/>
      <w:bookmarkStart w:id="500" w:name="Tc_LLbvpqMsJUWoOo1tArZtlA_13_16"/>
      <w:bookmarkStart w:id="501" w:name="Tc_drKaSBHdMEuzJe_Sxh_-FQ_13_14"/>
      <w:bookmarkStart w:id="502" w:name="Tc_84ji4UHEK0iJgX8yfT1WSg_13_13"/>
      <w:bookmarkStart w:id="503" w:name="Tc_tmjzukihQEuXCsQlobJcOg_13_10"/>
      <w:bookmarkStart w:id="504" w:name="Tc_aW31UGKN6EOq67pfXqQWPA_13_7"/>
      <w:bookmarkStart w:id="505" w:name="Tc_4ohFtIRr3US4_Hge02R5KA_13_4"/>
      <w:bookmarkStart w:id="506" w:name="Tc_hNxhjP9cRkCPoa3hL1m1PQ_13_0"/>
      <w:bookmarkStart w:id="507" w:name="Tc_eni_mdBfNUuv4Wr-AdBi2Q_12_14"/>
      <w:bookmarkStart w:id="508" w:name="Tc_Qy3J5GrxOESZKy8P_dBNYw_12_11"/>
      <w:bookmarkStart w:id="509" w:name="Tc_3qGaI72Om0G9lhKZobKZxQ_12_5"/>
      <w:bookmarkStart w:id="510" w:name="Tc_rDu0OKLVgE-Wyn-3ikdALA_12_2"/>
      <w:bookmarkStart w:id="511" w:name="Tc_46clOwCRYEC0I1BOLoXJSA_12_0"/>
      <w:bookmarkStart w:id="512" w:name="Tc_v1LyiSbwv0asabvKj-gW2Q_11_14"/>
      <w:bookmarkStart w:id="513" w:name="Tc_eNnwZJ5MQ0CQEgvF7Gt49Q_11_8"/>
      <w:bookmarkStart w:id="514" w:name="Tc_XnGFm-CsaEefiS-AUjGlXg_11_5"/>
      <w:bookmarkStart w:id="515" w:name="Tc_7TNPlpfs0069JCJhlmo8iA_11_2"/>
      <w:bookmarkStart w:id="516" w:name="Tc_EPAwv9kJqEmVw4oKjhT4cA_11_0"/>
      <w:bookmarkStart w:id="517" w:name="Tc_cQoXj43vlku1Ti9pB-0Z5Q_10_17"/>
      <w:bookmarkStart w:id="518" w:name="Tc_CCjXlOOrqE61skRTKQkR3Q_10_14"/>
      <w:bookmarkStart w:id="519" w:name="Tc_MYfLEqPU3Eu8Tdh2wdv_yQ_10_11"/>
      <w:bookmarkStart w:id="520" w:name="Tc_akU-rxA7ZEKBzNJBNq81Pg_10_5"/>
      <w:bookmarkStart w:id="521" w:name="Tc_Vruszpio7kGq8t0NSEsPuw_10_2"/>
      <w:bookmarkStart w:id="522" w:name="Tc_yVGwB2y3rEaK6ACqXbDTSw_10_0"/>
      <w:bookmarkStart w:id="523" w:name="Tc_490r3qfTOkKpFo_qkq4KqQ_9_17"/>
      <w:bookmarkStart w:id="524" w:name="Tc_BjMtfKhF-EOA_y5cWrLjCw_9_14"/>
      <w:bookmarkStart w:id="525" w:name="Tc_y7KWuMao8EK1mOKxnhqURA_9_11"/>
      <w:bookmarkStart w:id="526" w:name="Tc_yaOL4eq0tEmajxhI4vGHtg_9_8"/>
      <w:bookmarkStart w:id="527" w:name="Tc_7YI29NqkoUSLAD-Td7KS8Q_9_2"/>
      <w:bookmarkStart w:id="528" w:name="Tc_1HH0t-cNREOAmkbalgkHDw_9_0"/>
      <w:bookmarkStart w:id="529" w:name="Tc_I-Jlg1Cx70GMTVkBtactHw_8_20"/>
      <w:bookmarkStart w:id="530" w:name="Tc_Zwnf4fbzXEmgEPrI29TiNA_8_17"/>
      <w:bookmarkStart w:id="531" w:name="Tc_KRopIMPdk06IK8RFJp7HYg_8_14"/>
      <w:bookmarkStart w:id="532" w:name="Tc_0U4XUHljVUmmrBns0XP39g_8_11"/>
      <w:bookmarkStart w:id="533" w:name="Tc_zeUXK7H_rE-A_PKpMdCDfQ_8_8"/>
      <w:bookmarkStart w:id="534" w:name="Tc_eEWZpCMUfUGAwXqqK1yc1A_8_5"/>
      <w:bookmarkStart w:id="535" w:name="Tc_gDWxnm2vzk69yPYh8Bhd8Q_8_0"/>
      <w:bookmarkStart w:id="536" w:name="Tc_tB7wkskcI0Oz5dy8EgzJUg_7_14"/>
      <w:bookmarkStart w:id="537" w:name="Tc_9OvSxuqBH02kFA78UoWdTw_7_11"/>
      <w:bookmarkStart w:id="538" w:name="Tc_V6D-uK0FDUOpMDOtYpgJmg_7_8"/>
      <w:bookmarkStart w:id="539" w:name="Tc_bzjKRU2C50ulb5xS7edL6w_7_5"/>
      <w:bookmarkStart w:id="540" w:name="Tc_k3FKwxQuk0m-aasoBJsOZQ_7_2"/>
      <w:bookmarkStart w:id="541" w:name="Tc_Pex2sV0BoUi9_mJfW4MQYQ_7_0"/>
      <w:bookmarkStart w:id="542" w:name="Tc_OzQMQnG0UkqNjS9j6MyFSw_6_14"/>
      <w:bookmarkStart w:id="543" w:name="Tc_FupewYHaq0ad606FhXoDMg_6_11"/>
      <w:bookmarkStart w:id="544" w:name="Tc_cM5bsx0zN026nEpfGn_Slw_6_8"/>
      <w:bookmarkStart w:id="545" w:name="Tc_1XCXKXY_z0OgN_BGiqynWg_6_5"/>
      <w:bookmarkStart w:id="546" w:name="Tc_hF0SlnuAkUi6za73SaBN_w_6_2"/>
      <w:bookmarkStart w:id="547" w:name="Tc_Sf0nvqp6vkGE_zDKpVUH8w_6_0"/>
      <w:bookmarkStart w:id="548" w:name="Tc_9jTG6Hrs00uJP7EIFGvNGQ_5_19"/>
      <w:bookmarkStart w:id="549" w:name="Tc_ctyC9iuDwUe-X2KpRmwaQg_5_16"/>
      <w:bookmarkStart w:id="550" w:name="Tc_guQYlMzb6EqX6__5T5ZwSA_5_14"/>
      <w:bookmarkStart w:id="551" w:name="Tc_xQ9sEAj21UGQfI4C8INyZQ_5_13"/>
      <w:bookmarkStart w:id="552" w:name="Tc_kmbkRvMDMUyNMlbZMTZHDg_5_10"/>
      <w:bookmarkStart w:id="553" w:name="Tc_Yph_1TuIu0i2gf1K6b3hQQ_5_7"/>
      <w:bookmarkStart w:id="554" w:name="Tc_OeLUEMTPQUyWsAEXm12a8A_5_4"/>
      <w:bookmarkStart w:id="555" w:name="Tc_o8VS9rlQlkCTH_Ez0BeSxw_5_0"/>
      <w:bookmarkStart w:id="556" w:name="Tc_MjPaMg91G0q2WySD6N6zqw_4_20"/>
      <w:bookmarkStart w:id="557" w:name="Tc_owDwyo2dVEKoGs5i-2hp1g_4_17"/>
      <w:bookmarkStart w:id="558" w:name="Tc_QiPBEewscU64sYyNzCSNBw_4_14"/>
      <w:bookmarkStart w:id="559" w:name="Tc_1P5HASvinEScvDMD20fiqA_4_11"/>
      <w:bookmarkStart w:id="560" w:name="Tc_Wl7XyecgRky5g8E-d6BZcg_4_8"/>
      <w:bookmarkStart w:id="561" w:name="Tc_mWyMriVJrEyDXZKV8HPgLA_4_5"/>
      <w:bookmarkStart w:id="562" w:name="Tc_3kNek2rFGkW4tKYr7kFmWQ_4_2"/>
      <w:bookmarkStart w:id="563" w:name="Tc_-k5PTWdcDUCvCX4-gGpQ-g_3_17"/>
      <w:bookmarkStart w:id="564" w:name="Tc_01KGzlkqqUenxTX6jWYD1w_3_14"/>
      <w:bookmarkStart w:id="565" w:name="Tc_TOITrgsS1062YJeWu4qFdA_3_11"/>
      <w:bookmarkStart w:id="566" w:name="Tc_4twRuIXFIkW3H6hqLIChDQ_3_8"/>
      <w:bookmarkStart w:id="567" w:name="Tc_lnTSh4guHE-VImSLX605WQ_3_2"/>
      <w:bookmarkStart w:id="568" w:name="Tc_1CK4WlcLOk-QtSbj5aHqvw_2_11"/>
      <w:bookmarkStart w:id="569" w:name="Tc_-FTF2_BUXE67w5e2WnBVHg_2_2"/>
      <w:bookmarkStart w:id="570" w:name="_5d0c07c6_eadd_44f9_9643_d2ed1fdbdf5e"/>
      <w:bookmarkStart w:id="571" w:name="Tc_UcEC4e1hD0uNWO-4odTGgA_31_19"/>
      <w:bookmarkStart w:id="572" w:name="Tc_1tMbzaz91UGa4t1YlO3MoA_31_16"/>
      <w:bookmarkStart w:id="573" w:name="Tc_Rf3LUcK1nUGup_aP0ISDNw_31_14"/>
      <w:bookmarkStart w:id="574" w:name="Tc_3FiuSxMfRUmj1uK5fT0zSg_31_13"/>
      <w:bookmarkStart w:id="575" w:name="Tc_VW97eMqLqk2YPRlbjj3kHg_31_10"/>
      <w:bookmarkStart w:id="576" w:name="Tc_WNo5b2uBRkC9qUPyDOFMeA_31_7"/>
      <w:bookmarkStart w:id="577" w:name="Tc_E7TzhuKh2kedx_3my5oLSw_31_4"/>
      <w:bookmarkStart w:id="578" w:name="Tc_vH-dqADfIkOYn-x0-vLaQA_31_0"/>
      <w:bookmarkStart w:id="579" w:name="Tc_HGOGFdTM2kOZX1HYhJM3Lg_30_14"/>
      <w:bookmarkStart w:id="580" w:name="Tc_KRzjmU5XekOP4wC_bPTRFA_30_11"/>
      <w:bookmarkStart w:id="581" w:name="Tc_NTLiURvorESmDW9DzwaNbg_30_5"/>
      <w:bookmarkStart w:id="582" w:name="Tc_sUlRyLOVwE6Kdlq9d-Z-cQ_30_2"/>
      <w:bookmarkStart w:id="583" w:name="Tc_c5xfchT6S0ac7KAYaDI_oA_30_0"/>
      <w:bookmarkStart w:id="584" w:name="Tc_ff8O34JIf0KRjhF59jYS7A_29_14"/>
      <w:bookmarkStart w:id="585" w:name="Tc_GOprspS70UKjqijqbWfPfA_29_8"/>
      <w:bookmarkStart w:id="586" w:name="Tc_VQK1usxwd0aziJ3i1AgkLQ_29_5"/>
      <w:bookmarkStart w:id="587" w:name="Tc_JcmL--6la0SbYV-2p-B5Kg_29_2"/>
      <w:bookmarkStart w:id="588" w:name="Tc_wdqX4ktAikiipHkCnWAFWg_29_0"/>
      <w:bookmarkStart w:id="589" w:name="Tc_Jw3A3JeXyEikgtqK52GotQ_28_17"/>
      <w:bookmarkStart w:id="590" w:name="Tc_C7fC4oNxJk2J99tSBMaQYg_28_14"/>
      <w:bookmarkStart w:id="591" w:name="Tc_GjRtZWFvp0Kyr3XQDnx5iA_28_11"/>
      <w:bookmarkStart w:id="592" w:name="Tc_d8i9DroF_0GcqA87AOxZpA_28_5"/>
      <w:bookmarkStart w:id="593" w:name="Tc_2P8EV6R3P0uTzA3tC0K-jw_28_2"/>
      <w:bookmarkStart w:id="594" w:name="Tc_7ZReuDlgOUmQkSoS5C2UbA_28_0"/>
      <w:bookmarkStart w:id="595" w:name="Tc_KyccD8FIr0C74RObSNdRSw_27_20"/>
      <w:bookmarkStart w:id="596" w:name="Tc_xGCO3rQ6gEqly98qqw5nkw_27_17"/>
      <w:bookmarkStart w:id="597" w:name="Tc_Y03QNFZktU224dJZiaE2JA_27_11"/>
      <w:bookmarkStart w:id="598" w:name="Tc_nz3jjXobYkiZMuutsmeCxA_27_8"/>
      <w:bookmarkStart w:id="599" w:name="Tc_sL4BBrewmEueTEaxunoUMA_27_2"/>
      <w:bookmarkStart w:id="600" w:name="Tc_mbR8kS_TcU-5XpTvwMZZtw_27_0"/>
      <w:bookmarkStart w:id="601" w:name="Tc_56jFEJbcJEGbN8A9ju6tww_26_17"/>
      <w:bookmarkStart w:id="602" w:name="Tc_hgg5TjEuJ0qr8QYnKAh9JQ_26_11"/>
      <w:bookmarkStart w:id="603" w:name="Tc_4yX9vb66cUCzKJFGYFQKNQ_26_8"/>
      <w:bookmarkStart w:id="604" w:name="Tc_pJQ8ioin5U264ZUMd3IgLw_26_5"/>
      <w:bookmarkStart w:id="605" w:name="Tc_4C37Lb43Bk-yTWGu0syRXA_26_0"/>
      <w:bookmarkStart w:id="606" w:name="Tc_mWJzFWOkdkqlL00PMPbxzQ_25_17"/>
      <w:bookmarkStart w:id="607" w:name="Tc_TChQkpm5eUWIwHcyDfur9w_25_14"/>
      <w:bookmarkStart w:id="608" w:name="Tc_cAcXMGfno0ivXDQLtXo0qQ_25_11"/>
      <w:bookmarkStart w:id="609" w:name="Tc_S34jxjkHq0mZ8e9fi2RkPg_25_8"/>
      <w:bookmarkStart w:id="610" w:name="Tc_qOIKmuNWv02QHQfO_XB4iw_25_2"/>
      <w:bookmarkStart w:id="611" w:name="Tc_G-nSuTsCr0ue0J7PddYg1A_25_0"/>
      <w:bookmarkStart w:id="612" w:name="Tc_ewHI76NixECWyB-tfRtZJA_24_20"/>
      <w:bookmarkStart w:id="613" w:name="Tc_PCFH4dEhNky7DXQIbi5MmA_24_17"/>
      <w:bookmarkStart w:id="614" w:name="Tc_j44mvxA8yUStgvoV-fqmCg_24_14"/>
      <w:bookmarkStart w:id="615" w:name="Tc_XiYXwwmSV0i8ixWx4OexrQ_24_11"/>
      <w:bookmarkStart w:id="616" w:name="Tc_io5wS3JdoEqlhbPQ1rCz3w_24_8"/>
      <w:bookmarkStart w:id="617" w:name="Tc_AmE18zSckEa7M6hL8SyInA_24_5"/>
      <w:bookmarkStart w:id="618" w:name="Tc_oKoJP6Kfx0ihmNdOuuENXw_24_0"/>
      <w:bookmarkStart w:id="619" w:name="Tc_k0ctGlOUuECvWSuRSefftg_23_14"/>
      <w:bookmarkStart w:id="620" w:name="Tc_lIsmEVT6qkqYj-3cRcq0Qg_23_11"/>
      <w:bookmarkStart w:id="621" w:name="Tc_Va-8g1kwykinxvxcE2ZqYQ_23_8"/>
      <w:bookmarkStart w:id="622" w:name="Tc_tylvogY0zEuboqwQSX06hw_23_5"/>
      <w:bookmarkStart w:id="623" w:name="Tc_KQ17YhwSOkyaQ2DSsdpjmA_23_2"/>
      <w:bookmarkStart w:id="624" w:name="Tc_u0fUH0QUikmVc7BAA1nhvg_23_0"/>
      <w:bookmarkStart w:id="625" w:name="Tc_lkt3IbpCBESpuRwQWlcuPw_22_19"/>
      <w:bookmarkStart w:id="626" w:name="Tc_rl4HybSVRkCTX1uXmdRqIw_22_16"/>
      <w:bookmarkStart w:id="627" w:name="Tc_v2IjrbkGN0GWJY1iPepKBg_22_14"/>
      <w:bookmarkStart w:id="628" w:name="Tc_L1P_cmO9HkKaMevgeBd83g_22_13"/>
      <w:bookmarkStart w:id="629" w:name="Tc__WuViftw2E6f1WlXk6hMHA_22_10"/>
      <w:bookmarkStart w:id="630" w:name="Tc_HiZd5OdYRkKtbzN7jWEm5A_22_7"/>
      <w:bookmarkStart w:id="631" w:name="Tc_Md_oIo8mWEmFYbpbPSsvLA_22_4"/>
      <w:bookmarkStart w:id="632" w:name="Tc_KuTvAFaL3UOF82jjG06srw_22_0"/>
      <w:bookmarkStart w:id="633" w:name="Tc_PAjO9uxQYU2cVqjYIZNzrw_21_14"/>
      <w:bookmarkStart w:id="634" w:name="Tc_wusPsMEKhkCVLcSRSTQlMw_21_11"/>
      <w:bookmarkStart w:id="635" w:name="Tc_0r6LH_rKzEOwSHezAem4Mg_21_5"/>
      <w:bookmarkStart w:id="636" w:name="Tc_qlwpKyJtFkiZupfl1xCuQg_21_2"/>
      <w:bookmarkStart w:id="637" w:name="Tc_a-K8YTZickWJTW_iAUWLSg_21_0"/>
      <w:bookmarkStart w:id="638" w:name="Tc_p6KtUDfY8UGYA5KBUkkfGg_20_14"/>
      <w:bookmarkStart w:id="639" w:name="Tc_H2rmKhoHckejKRn40x_ZUg_20_8"/>
      <w:bookmarkStart w:id="640" w:name="Tc_5OZFzsyv9kilbNf6O053UA_20_5"/>
      <w:bookmarkStart w:id="641" w:name="Tc_XcAsPWDzdEqOAkSChxHEVw_20_2"/>
      <w:bookmarkStart w:id="642" w:name="Tc_aIyYVZ__w0KkRIz-_oiHpg_20_0"/>
      <w:bookmarkStart w:id="643" w:name="Tc_myrih_kVGkSbQQRF5pwzWQ_19_17"/>
      <w:bookmarkStart w:id="644" w:name="Tc_EmXv8RiFD0Chbn4a35svJw_19_14"/>
      <w:bookmarkStart w:id="645" w:name="Tc_5Bz4UB6oUkWtea4AtSM-MA_19_11"/>
      <w:bookmarkStart w:id="646" w:name="Tc_1zKUtl7QbUmU_3_rOwKApA_19_5"/>
      <w:bookmarkStart w:id="647" w:name="Tc_yoYjUE-skUKySkaoWLW_WQ_19_2"/>
      <w:bookmarkStart w:id="648" w:name="Tc_GDVXabjArk6OYO0-aTiJmA_19_0"/>
      <w:bookmarkStart w:id="649" w:name="Tc_GxYkKwmiq0S8E9bZzJxmYA_18_20"/>
      <w:bookmarkStart w:id="650" w:name="Tc_PfMOeuWUq0S30UwPH3TJAA_18_17"/>
      <w:bookmarkStart w:id="651" w:name="Tc_2e2ytxX7HkeJsdqn5YGALA_18_11"/>
      <w:bookmarkStart w:id="652" w:name="Tc_X9B0HTO4HkSyXLwGrSbGHA_18_8"/>
      <w:bookmarkStart w:id="653" w:name="Tc_hnsdAk01IEGnwdl9X5uRew_18_2"/>
      <w:bookmarkStart w:id="654" w:name="Tc_0Nna6w7s1kWtJ_KQH4H-mA_18_0"/>
      <w:bookmarkStart w:id="655" w:name="Tc_ECGhOsZ480yeDoYB5TzT6g_17_17"/>
      <w:bookmarkStart w:id="656" w:name="Tc_2Df2grQEJk-av2O10WphUQ_17_11"/>
      <w:bookmarkStart w:id="657" w:name="Tc_wP1bnf2Wc0eOrsXYz-Zcbw_17_8"/>
      <w:bookmarkStart w:id="658" w:name="Tc_j5n-_5WP8kqXuolVVO60zA_17_5"/>
      <w:bookmarkStart w:id="659" w:name="Tc_9_XL_txLg0eYy-FBFDWSuw_17_0"/>
      <w:bookmarkStart w:id="660" w:name="Tc_6r5cYUymRkq0dpSeti5Gbg_16_17"/>
      <w:bookmarkStart w:id="661" w:name="Tc_C1I-u2yZw0y6M3AXb5lmaQ_16_14"/>
      <w:bookmarkStart w:id="662" w:name="Tc_Dj5-MwJ3CUKBNsTjTaI-yA_16_11"/>
      <w:bookmarkStart w:id="663" w:name="Tc_7f2kPYHNZkqOpzYOTv1_-g_16_8"/>
      <w:bookmarkStart w:id="664" w:name="Tc_sPUb1452SUW8UabiYe-xSw_16_2"/>
      <w:bookmarkStart w:id="665" w:name="Tc_ipHX1q3jTEeegExQ8CAkKw_16_0"/>
      <w:bookmarkStart w:id="666" w:name="Tc_6gJ9NvZuhE6OP0R67pqfsg_15_20"/>
      <w:bookmarkStart w:id="667" w:name="Tc_0K1TyGI0REitrMb9S5Ej3Q_15_17"/>
      <w:bookmarkStart w:id="668" w:name="Tc_uFLJkkrDHEO5PP-zESnlMA_15_14"/>
      <w:bookmarkStart w:id="669" w:name="Tc_LGdfECVoSU6UClZYg0ycxg_15_11"/>
      <w:bookmarkStart w:id="670" w:name="Tc_auEeUJ_PNkWcLRfFJvFvVQ_15_8"/>
      <w:bookmarkStart w:id="671" w:name="Tc_6-2HlI-2nEGSOjLcWw3h_w_15_5"/>
      <w:bookmarkStart w:id="672" w:name="Tc_iP_6-V2gpUiDkDEApBCOEg_15_0"/>
      <w:bookmarkStart w:id="673" w:name="Tc_CHjGd4cnr0-97Q9g50ZHOg_14_14"/>
      <w:bookmarkStart w:id="674" w:name="Tc_-YtMKqxbsUqbTVw-1E_k4A_14_11"/>
      <w:bookmarkStart w:id="675" w:name="Tc_teUA1390CUOWnB3Q5ssb4w_14_8"/>
      <w:bookmarkStart w:id="676" w:name="Tc_UfZLj5B4HkCGfmq-g8fdVw_14_5"/>
      <w:bookmarkStart w:id="677" w:name="Tc_iiBXxLsF1kO1gdHpuZzW7w_14_2"/>
      <w:bookmarkStart w:id="678" w:name="Tc_bwOlbHBl_0CkYbNaSvASQw_14_0"/>
      <w:bookmarkStart w:id="679" w:name="Tc_aCNP03lwMkeLjUzAgau6WA_13_19"/>
      <w:bookmarkStart w:id="680" w:name="Tc_LLbvpqMsJUWoOo1tArZtlA_13_16"/>
      <w:bookmarkStart w:id="681" w:name="Tc_drKaSBHdMEuzJe_Sxh_-FQ_13_14"/>
      <w:bookmarkStart w:id="682" w:name="Tc_84ji4UHEK0iJgX8yfT1WSg_13_13"/>
      <w:bookmarkStart w:id="683" w:name="Tc_tmjzukihQEuXCsQlobJcOg_13_10"/>
      <w:bookmarkStart w:id="684" w:name="Tc_aW31UGKN6EOq67pfXqQWPA_13_7"/>
      <w:bookmarkStart w:id="685" w:name="Tc_4ohFtIRr3US4_Hge02R5KA_13_4"/>
      <w:bookmarkStart w:id="686" w:name="Tc_hNxhjP9cRkCPoa3hL1m1PQ_13_0"/>
      <w:bookmarkStart w:id="687" w:name="Tc_eni_mdBfNUuv4Wr-AdBi2Q_12_14"/>
      <w:bookmarkStart w:id="688" w:name="Tc_Qy3J5GrxOESZKy8P_dBNYw_12_11"/>
      <w:bookmarkStart w:id="689" w:name="Tc_3qGaI72Om0G9lhKZobKZxQ_12_5"/>
      <w:bookmarkStart w:id="690" w:name="Tc_rDu0OKLVgE-Wyn-3ikdALA_12_2"/>
      <w:bookmarkStart w:id="691" w:name="Tc_46clOwCRYEC0I1BOLoXJSA_12_0"/>
      <w:bookmarkStart w:id="692" w:name="Tc_v1LyiSbwv0asabvKj-gW2Q_11_14"/>
      <w:bookmarkStart w:id="693" w:name="Tc_eNnwZJ5MQ0CQEgvF7Gt49Q_11_8"/>
      <w:bookmarkStart w:id="694" w:name="Tc_XnGFm-CsaEefiS-AUjGlXg_11_5"/>
      <w:bookmarkStart w:id="695" w:name="Tc_7TNPlpfs0069JCJhlmo8iA_11_2"/>
      <w:bookmarkStart w:id="696" w:name="Tc_EPAwv9kJqEmVw4oKjhT4cA_11_0"/>
      <w:bookmarkStart w:id="697" w:name="Tc_cQoXj43vlku1Ti9pB-0Z5Q_10_17"/>
      <w:bookmarkStart w:id="698" w:name="Tc_CCjXlOOrqE61skRTKQkR3Q_10_14"/>
      <w:bookmarkStart w:id="699" w:name="Tc_MYfLEqPU3Eu8Tdh2wdv_yQ_10_11"/>
      <w:bookmarkStart w:id="700" w:name="Tc_akU-rxA7ZEKBzNJBNq81Pg_10_5"/>
      <w:bookmarkStart w:id="701" w:name="Tc_Vruszpio7kGq8t0NSEsPuw_10_2"/>
      <w:bookmarkStart w:id="702" w:name="Tc_yVGwB2y3rEaK6ACqXbDTSw_10_0"/>
      <w:bookmarkStart w:id="703" w:name="Tc_490r3qfTOkKpFo_qkq4KqQ_9_17"/>
      <w:bookmarkStart w:id="704" w:name="Tc_BjMtfKhF-EOA_y5cWrLjCw_9_14"/>
      <w:bookmarkStart w:id="705" w:name="Tc_y7KWuMao8EK1mOKxnhqURA_9_11"/>
      <w:bookmarkStart w:id="706" w:name="Tc_yaOL4eq0tEmajxhI4vGHtg_9_8"/>
      <w:bookmarkStart w:id="707" w:name="Tc_7YI29NqkoUSLAD-Td7KS8Q_9_2"/>
      <w:bookmarkStart w:id="708" w:name="Tc_1HH0t-cNREOAmkbalgkHDw_9_0"/>
      <w:bookmarkStart w:id="709" w:name="Tc_I-Jlg1Cx70GMTVkBtactHw_8_20"/>
      <w:bookmarkStart w:id="710" w:name="Tc_Zwnf4fbzXEmgEPrI29TiNA_8_17"/>
      <w:bookmarkStart w:id="711" w:name="Tc_KRopIMPdk06IK8RFJp7HYg_8_14"/>
      <w:bookmarkStart w:id="712" w:name="Tc_0U4XUHljVUmmrBns0XP39g_8_11"/>
      <w:bookmarkStart w:id="713" w:name="Tc_zeUXK7H_rE-A_PKpMdCDfQ_8_8"/>
      <w:bookmarkStart w:id="714" w:name="Tc_eEWZpCMUfUGAwXqqK1yc1A_8_5"/>
      <w:bookmarkStart w:id="715" w:name="Tc_gDWxnm2vzk69yPYh8Bhd8Q_8_0"/>
      <w:bookmarkStart w:id="716" w:name="Tc_tB7wkskcI0Oz5dy8EgzJUg_7_14"/>
      <w:bookmarkStart w:id="717" w:name="Tc_9OvSxuqBH02kFA78UoWdTw_7_11"/>
      <w:bookmarkStart w:id="718" w:name="Tc_V6D-uK0FDUOpMDOtYpgJmg_7_8"/>
      <w:bookmarkStart w:id="719" w:name="Tc_bzjKRU2C50ulb5xS7edL6w_7_5"/>
      <w:bookmarkStart w:id="720" w:name="Tc_k3FKwxQuk0m-aasoBJsOZQ_7_2"/>
      <w:bookmarkStart w:id="721" w:name="Tc_Pex2sV0BoUi9_mJfW4MQYQ_7_0"/>
      <w:bookmarkStart w:id="722" w:name="Tc_OzQMQnG0UkqNjS9j6MyFSw_6_14"/>
      <w:bookmarkStart w:id="723" w:name="Tc_FupewYHaq0ad606FhXoDMg_6_11"/>
      <w:bookmarkStart w:id="724" w:name="Tc_cM5bsx0zN026nEpfGn_Slw_6_8"/>
      <w:bookmarkStart w:id="725" w:name="Tc_1XCXKXY_z0OgN_BGiqynWg_6_5"/>
      <w:bookmarkStart w:id="726" w:name="Tc_hF0SlnuAkUi6za73SaBN_w_6_2"/>
      <w:bookmarkStart w:id="727" w:name="Tc_Sf0nvqp6vkGE_zDKpVUH8w_6_0"/>
      <w:bookmarkStart w:id="728" w:name="Tc_9jTG6Hrs00uJP7EIFGvNGQ_5_19"/>
      <w:bookmarkStart w:id="729" w:name="Tc_ctyC9iuDwUe-X2KpRmwaQg_5_16"/>
      <w:bookmarkStart w:id="730" w:name="Tc_guQYlMzb6EqX6__5T5ZwSA_5_14"/>
      <w:bookmarkStart w:id="731" w:name="Tc_xQ9sEAj21UGQfI4C8INyZQ_5_13"/>
      <w:bookmarkStart w:id="732" w:name="Tc_kmbkRvMDMUyNMlbZMTZHDg_5_10"/>
      <w:bookmarkStart w:id="733" w:name="Tc_Yph_1TuIu0i2gf1K6b3hQQ_5_7"/>
      <w:bookmarkStart w:id="734" w:name="Tc_OeLUEMTPQUyWsAEXm12a8A_5_4"/>
      <w:bookmarkStart w:id="735" w:name="Tc_o8VS9rlQlkCTH_Ez0BeSxw_5_0"/>
      <w:bookmarkStart w:id="736" w:name="Tc_MjPaMg91G0q2WySD6N6zqw_4_20"/>
      <w:bookmarkStart w:id="737" w:name="Tc_owDwyo2dVEKoGs5i-2hp1g_4_17"/>
      <w:bookmarkStart w:id="738" w:name="Tc_QiPBEewscU64sYyNzCSNBw_4_14"/>
      <w:bookmarkStart w:id="739" w:name="Tc_1P5HASvinEScvDMD20fiqA_4_11"/>
      <w:bookmarkStart w:id="740" w:name="Tc_Wl7XyecgRky5g8E-d6BZcg_4_8"/>
      <w:bookmarkStart w:id="741" w:name="Tc_mWyMriVJrEyDXZKV8HPgLA_4_5"/>
      <w:bookmarkStart w:id="742" w:name="Tc_3kNek2rFGkW4tKYr7kFmWQ_4_2"/>
      <w:bookmarkStart w:id="743" w:name="Tc_-k5PTWdcDUCvCX4-gGpQ-g_3_17"/>
      <w:bookmarkStart w:id="744" w:name="Tc_01KGzlkqqUenxTX6jWYD1w_3_14"/>
      <w:bookmarkStart w:id="745" w:name="Tc_TOITrgsS1062YJeWu4qFdA_3_11"/>
      <w:bookmarkStart w:id="746" w:name="Tc_4twRuIXFIkW3H6hqLIChDQ_3_8"/>
      <w:bookmarkStart w:id="747" w:name="Tc_lnTSh4guHE-VImSLX605WQ_3_2"/>
      <w:bookmarkStart w:id="748" w:name="Tc_1CK4WlcLOk-QtSbj5aHqvw_2_11"/>
      <w:bookmarkStart w:id="749" w:name="Tc_-FTF2_BUXE67w5e2WnBVHg_2_2"/>
      <w:bookmarkStart w:id="750" w:name="_5d0c07c6_eadd_44f9_9643_d2ed1fdbdf5e"/>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tbl>
      <w:tblPr>
        <w:tblW w:w="12831" w:type="dxa"/>
        <w:jc w:val="left"/>
        <w:tblInd w:w="0" w:type="dxa"/>
        <w:tblLayout w:type="fixed"/>
        <w:tblCellMar>
          <w:top w:w="0" w:type="dxa"/>
          <w:left w:w="0" w:type="dxa"/>
          <w:bottom w:w="0" w:type="dxa"/>
          <w:right w:w="0" w:type="dxa"/>
        </w:tblCellMar>
      </w:tblPr>
      <w:tblGrid>
        <w:gridCol w:w="1741"/>
        <w:gridCol w:w="346"/>
        <w:gridCol w:w="1036"/>
        <w:gridCol w:w="346"/>
        <w:gridCol w:w="346"/>
        <w:gridCol w:w="781"/>
        <w:gridCol w:w="346"/>
        <w:gridCol w:w="346"/>
        <w:gridCol w:w="781"/>
        <w:gridCol w:w="346"/>
        <w:gridCol w:w="211"/>
        <w:gridCol w:w="1216"/>
        <w:gridCol w:w="346"/>
        <w:gridCol w:w="346"/>
        <w:gridCol w:w="766"/>
        <w:gridCol w:w="346"/>
        <w:gridCol w:w="346"/>
        <w:gridCol w:w="1261"/>
        <w:gridCol w:w="346"/>
        <w:gridCol w:w="346"/>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105535" cy="175260"/>
                      <wp:effectExtent l="0" t="0" r="0" b="0"/>
                      <wp:wrapNone/>
                      <wp:docPr id="325" name="Frame32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6"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57860" cy="175260"/>
                      <wp:effectExtent l="0" t="0" r="0" b="0"/>
                      <wp:wrapNone/>
                      <wp:docPr id="327" name="Frame3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28"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29"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95935" cy="175260"/>
                      <wp:effectExtent l="0" t="0" r="0" b="0"/>
                      <wp:wrapNone/>
                      <wp:docPr id="330" name="Frame3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1"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2"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95935" cy="175260"/>
                      <wp:effectExtent l="0" t="0" r="0" b="0"/>
                      <wp:wrapNone/>
                      <wp:docPr id="333" name="Frame3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4"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5"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72160" cy="175260"/>
                      <wp:effectExtent l="0" t="0" r="0" b="0"/>
                      <wp:wrapNone/>
                      <wp:docPr id="336" name="Frame335"/>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37"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38"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86410" cy="175260"/>
                      <wp:effectExtent l="0" t="0" r="0" b="0"/>
                      <wp:wrapNone/>
                      <wp:docPr id="339" name="Frame33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0"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1"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00735" cy="175260"/>
                      <wp:effectExtent l="0" t="0" r="0" b="0"/>
                      <wp:wrapNone/>
                      <wp:docPr id="342" name="Frame34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3"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4"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62610" cy="175260"/>
                      <wp:effectExtent l="0" t="0" r="0" b="0"/>
                      <wp:wrapNone/>
                      <wp:docPr id="345" name="Frame3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at December 31, 2022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58,335,541</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270,028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358,344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2,430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20,307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651,109</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 contributions from non-controlling interest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1,430</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 distributions to non-controlling 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(2,242)</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Issuance of restricted stock</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36,499</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 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820</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($0.44</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(25,685)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(994)</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(loss)</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77,712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(3,660)</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74,052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at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58,372,040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270,848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410,371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1,843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15,428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698,490</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 distributions to non-controlling interest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Issuance of restricted stock, net of forfeitures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25,466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 based compensation expense</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1,209</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1,209</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 of common stock, including excise tax</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(70,985)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(3,389)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(3,389)</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Retirement of treasury stock</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(3,389)</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3,389</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($0.52</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(30,367)</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 net of tax</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(424)</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72,396</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at December 31, 2024</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58,326,521</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268,668</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454,193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12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1,419</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12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12,455</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736,735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 distributions to non-controlling 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(2,945)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(2,945)</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Issuance of restricted stock</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19,408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 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1,232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1,232</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 of common stock, including excise tax</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(798,622)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(40,394)</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(40,394)</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Retirement of treasury stock</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(40,394)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40,394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($0.58</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(33,630)</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(1,255)</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115,627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255</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115,882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57,547,307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229,506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536,190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594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9,335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775,625</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See notes to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51" w:name="_a1408241_2405_4b6a_a8ba_40800f3cb416"/>
      <w:bookmarkEnd w:id="751"/>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752" w:name="STATEMENTSOFCASHFLOWS_522443"/>
      <w:bookmarkEnd w:id="752"/>
      <w:r>
        <w:rPr>
          <w:rFonts w:ascii="Times New Roman;Times;serif" w:hAnsi="Times New Roman;Times;serif"/>
          <w:b/>
          <w:sz w:val="20"/>
        </w:rPr>
        <w:t>CONSOLIDATED STATEMENTS OF CASH FLOWS</w:t>
      </w:r>
    </w:p>
    <w:p>
      <w:pPr>
        <w:pStyle w:val="TextBody"/>
        <w:bidi w:val="0"/>
        <w:spacing w:before="0" w:after="12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Normal"/>
        <w:bidi w:val="0"/>
        <w:spacing w:before="0" w:after="0"/>
        <w:jc w:val="left"/>
        <w:rPr>
          <w:sz w:val="4"/>
          <w:szCs w:val="4"/>
        </w:rPr>
      </w:pPr>
      <w:r>
        <w:rPr>
          <w:sz w:val="4"/>
          <w:szCs w:val="4"/>
        </w:rPr>
      </w:r>
      <w:bookmarkStart w:id="753" w:name="Tc_Z8cAsq2EJ0y52XmrekBxVQ_48_8"/>
      <w:bookmarkStart w:id="754" w:name="Tc_vLQeU1ifbE6bBLuzJ1MXcA_48_5"/>
      <w:bookmarkStart w:id="755" w:name="Tc_6QxQNJMyTESCVbRjQfsfEA_48_2"/>
      <w:bookmarkStart w:id="756" w:name="Tc_Qo2WGJO89EG4OZndi7hxMg_48_0"/>
      <w:bookmarkStart w:id="757" w:name="Tc_dxHPx-LRvkqRaJPopU0zcg_47_0"/>
      <w:bookmarkStart w:id="758" w:name="Tc_1Q7h5fTnQk2X_1DRnC6Wdg_46_0"/>
      <w:bookmarkStart w:id="759" w:name="Tc_11zK_ytMo0CNgpj44l6f_g_45_0"/>
      <w:bookmarkStart w:id="760" w:name="Tc_IXoI2sq950etuvm0p2bNcg_44_0"/>
      <w:bookmarkStart w:id="761" w:name="Tc_oaEFRQ4cm0yHOBQLl0h7Jg_43_0"/>
      <w:bookmarkStart w:id="762" w:name="Tc_SjPfV-NVq0-sqv-FvV8Mug_42_0"/>
      <w:bookmarkStart w:id="763" w:name="Tc_jqeqvqA4cEW48Wjrj_37GA_41_0"/>
      <w:bookmarkStart w:id="764" w:name="Tc_80ZkHpH5zEaurw28LX4HWg_40_0"/>
      <w:bookmarkStart w:id="765" w:name="Tc_B6afb4Xn9k6PWzePm08uWQ_39_9"/>
      <w:bookmarkStart w:id="766" w:name="Tc_W9TIbSuhEkS2dnNMlmkSbw_39_0"/>
      <w:bookmarkStart w:id="767" w:name="Tc_dxtFdcA86kuTg0XW1PgIZw_38_0"/>
      <w:bookmarkStart w:id="768" w:name="Tc_novL62VPO0-J-E2RBB5qAw_37_6"/>
      <w:bookmarkStart w:id="769" w:name="Tc_90o62_No30a6T2DZs7HW4g_37_3"/>
      <w:bookmarkStart w:id="770" w:name="Tc_SO4-qxuVXUK8H7eEdlMNxw_37_0"/>
      <w:bookmarkStart w:id="771" w:name="Tc_vneyXJLfgkCbywckSNbKpA_36_0"/>
      <w:bookmarkStart w:id="772" w:name="Tc_-Yj4PUL6mEm44nbjshmZVQ_35_0"/>
      <w:bookmarkStart w:id="773" w:name="Tc_zQkwG56LvU2r7VL_mzakUA_34_0"/>
      <w:bookmarkStart w:id="774" w:name="Tc_V1VLeaCstkezQO989VLaZw_33_3"/>
      <w:bookmarkStart w:id="775" w:name="Tc_IA8iamufKEu-qk8Av5qRFA_33_0"/>
      <w:bookmarkStart w:id="776" w:name="Tc_4z8g-0DVOkeL7CHxRa0rvA_32_0"/>
      <w:bookmarkStart w:id="777" w:name="Tc_dnYBLUcOOkasWHAnc45Z5A_31_6"/>
      <w:bookmarkStart w:id="778" w:name="Tc_5hjSkHk-606rspDn6Vm7Dw_31_3"/>
      <w:bookmarkStart w:id="779" w:name="Tc_AE6OJB31ik63m0ZGgkhI6A_31_0"/>
      <w:bookmarkStart w:id="780" w:name="Tc_wQs_AiD4rUa6DrsVsFA8aw_30_6"/>
      <w:bookmarkStart w:id="781" w:name="Tc_IgTU5DfAD0yLeL7d5k5dnQ_30_3"/>
      <w:bookmarkStart w:id="782" w:name="Tc_WLnVzQoXhUeHisAfVbph1g_30_0"/>
      <w:bookmarkStart w:id="783" w:name="Tc_3C60bKLyMUe5ci5t3Gw8vA_29_9"/>
      <w:bookmarkStart w:id="784" w:name="Tc_DpAVGC-FEEWTWASgf5xebQ_29_3"/>
      <w:bookmarkStart w:id="785" w:name="Tc_JL7FT7mpSkml2tcK9IHtTw_29_0"/>
      <w:bookmarkStart w:id="786" w:name="Tc_etNatg0f2kqxgNhXSQHuCA_28_0"/>
      <w:bookmarkStart w:id="787" w:name="Tc_GE9fwhiH1U6EapTCtWvKMQ_27_0"/>
      <w:bookmarkStart w:id="788" w:name="Tc_8VPt1xLx0UCc3tbdvNHFUg_26_0"/>
      <w:bookmarkStart w:id="789" w:name="Tc_M0MEzl4w_E2vGK4WB2PzGg_25_0"/>
      <w:bookmarkStart w:id="790" w:name="Tc_GRW_jiC0rEOF5vVT8Iqp5g_24_0"/>
      <w:bookmarkStart w:id="791" w:name="Tc_w6FSK8rE-UuQpWTehVuxXg_23_0"/>
      <w:bookmarkStart w:id="792" w:name="Tc_oEaKgFaHF0yLRSN6WW1IJA_22_0"/>
      <w:bookmarkStart w:id="793" w:name="Tc_gORwer5cB0yXUSiqLmeoVg_21_0"/>
      <w:bookmarkStart w:id="794" w:name="Tc_-N8lI9RNCUq0M2CXOYmtOw_20_0"/>
      <w:bookmarkStart w:id="795" w:name="Tc_5jLYsydZbkuVTFXCQzy-_A_19_6"/>
      <w:bookmarkStart w:id="796" w:name="Tc_Sv17QMh1OUitJxFCjaKujg_19_0"/>
      <w:bookmarkStart w:id="797" w:name="Tc_G-iHLjJFxkKEPggD57oiqg_18_9"/>
      <w:bookmarkStart w:id="798" w:name="Tc_sKIkT-5p8kSfS6jLt5V-oA_18_3"/>
      <w:bookmarkStart w:id="799" w:name="Tc_LoRV5NlF00icku2BE1lVSQ_18_0"/>
      <w:bookmarkStart w:id="800" w:name="Tc_llkqS4uDeUGVq3lA3Eoh-g_17_3"/>
      <w:bookmarkStart w:id="801" w:name="Tc_Z5YcSj503EO-0_53EeWzhQ_17_0"/>
      <w:bookmarkStart w:id="802" w:name="Tc_n52p7MGlfE26c4e0eeeEfw_16_0"/>
      <w:bookmarkStart w:id="803" w:name="Tc_SitxLSey_Ea1F6CVrLonFw_15_0"/>
      <w:bookmarkStart w:id="804" w:name="Tc_I8igrVTatEKFVyfQiJwQPg_14_0"/>
      <w:bookmarkStart w:id="805" w:name="Tc_wQNXRwXGp0apommcmXULaQ_13_0"/>
      <w:bookmarkStart w:id="806" w:name="Tc_U_aRlQoQOUqKeBs2BQwcpg_12_0"/>
      <w:bookmarkStart w:id="807" w:name="Tc_B6EfkdaFxEmvudcecZNvKw_11_0"/>
      <w:bookmarkStart w:id="808" w:name="Tc_1Hg2BfPJ0E-4Ek00_vjCCQ_10_0"/>
      <w:bookmarkStart w:id="809" w:name="Tc_edQVidYhQEiBuqpRXVKIUw_9_0"/>
      <w:bookmarkStart w:id="810" w:name="Tc_zKEWvGF2UkKJ-XdDzO-Btw_8_0"/>
      <w:bookmarkStart w:id="811" w:name="Tc_Y7CL6EEdu0mLk7sTYXCWYg_7_0"/>
      <w:bookmarkStart w:id="812" w:name="Tc_PY1uG8SR20uw6p9D6ysYyw_6_0"/>
      <w:bookmarkStart w:id="813" w:name="Tc_L-ZmObKDvEuBEF5NZ7uLIw_5_8"/>
      <w:bookmarkStart w:id="814" w:name="Tc_ckNJJKTy3Ey6gFHYut8kng_5_5"/>
      <w:bookmarkStart w:id="815" w:name="Tc_QjbQoW0xwkO-9vWq-enCXw_5_2"/>
      <w:bookmarkStart w:id="816" w:name="Tc_QGjN3sZuakCJia3-wgTCyg_5_0"/>
      <w:bookmarkStart w:id="817" w:name="Tc_-T8KNVAZ7kaPO8jj7lVZrg_4_0"/>
      <w:bookmarkStart w:id="818" w:name="Tc_fH3_W1bCc0GHXD7_TcFE_w_3_8"/>
      <w:bookmarkStart w:id="819" w:name="Tc_iRfCUat0AkOvObTCz3KWGg_3_5"/>
      <w:bookmarkStart w:id="820" w:name="Tc_S-A_WJZSFkejIEW4HUKelw_3_2"/>
      <w:bookmarkStart w:id="821" w:name="Tc_wcNzyAoiWkKX2PgOqx_-pw_2_2"/>
      <w:bookmarkStart w:id="822" w:name="_3b892a99_30df_4b41_b150_dad76d22d3e3"/>
      <w:bookmarkStart w:id="823" w:name="Tc_Z8cAsq2EJ0y52XmrekBxVQ_48_8"/>
      <w:bookmarkStart w:id="824" w:name="Tc_vLQeU1ifbE6bBLuzJ1MXcA_48_5"/>
      <w:bookmarkStart w:id="825" w:name="Tc_6QxQNJMyTESCVbRjQfsfEA_48_2"/>
      <w:bookmarkStart w:id="826" w:name="Tc_Qo2WGJO89EG4OZndi7hxMg_48_0"/>
      <w:bookmarkStart w:id="827" w:name="Tc_dxHPx-LRvkqRaJPopU0zcg_47_0"/>
      <w:bookmarkStart w:id="828" w:name="Tc_1Q7h5fTnQk2X_1DRnC6Wdg_46_0"/>
      <w:bookmarkStart w:id="829" w:name="Tc_11zK_ytMo0CNgpj44l6f_g_45_0"/>
      <w:bookmarkStart w:id="830" w:name="Tc_IXoI2sq950etuvm0p2bNcg_44_0"/>
      <w:bookmarkStart w:id="831" w:name="Tc_oaEFRQ4cm0yHOBQLl0h7Jg_43_0"/>
      <w:bookmarkStart w:id="832" w:name="Tc_SjPfV-NVq0-sqv-FvV8Mug_42_0"/>
      <w:bookmarkStart w:id="833" w:name="Tc_jqeqvqA4cEW48Wjrj_37GA_41_0"/>
      <w:bookmarkStart w:id="834" w:name="Tc_80ZkHpH5zEaurw28LX4HWg_40_0"/>
      <w:bookmarkStart w:id="835" w:name="Tc_B6afb4Xn9k6PWzePm08uWQ_39_9"/>
      <w:bookmarkStart w:id="836" w:name="Tc_W9TIbSuhEkS2dnNMlmkSbw_39_0"/>
      <w:bookmarkStart w:id="837" w:name="Tc_dxtFdcA86kuTg0XW1PgIZw_38_0"/>
      <w:bookmarkStart w:id="838" w:name="Tc_novL62VPO0-J-E2RBB5qAw_37_6"/>
      <w:bookmarkStart w:id="839" w:name="Tc_90o62_No30a6T2DZs7HW4g_37_3"/>
      <w:bookmarkStart w:id="840" w:name="Tc_SO4-qxuVXUK8H7eEdlMNxw_37_0"/>
      <w:bookmarkStart w:id="841" w:name="Tc_vneyXJLfgkCbywckSNbKpA_36_0"/>
      <w:bookmarkStart w:id="842" w:name="Tc_-Yj4PUL6mEm44nbjshmZVQ_35_0"/>
      <w:bookmarkStart w:id="843" w:name="Tc_zQkwG56LvU2r7VL_mzakUA_34_0"/>
      <w:bookmarkStart w:id="844" w:name="Tc_V1VLeaCstkezQO989VLaZw_33_3"/>
      <w:bookmarkStart w:id="845" w:name="Tc_IA8iamufKEu-qk8Av5qRFA_33_0"/>
      <w:bookmarkStart w:id="846" w:name="Tc_4z8g-0DVOkeL7CHxRa0rvA_32_0"/>
      <w:bookmarkStart w:id="847" w:name="Tc_dnYBLUcOOkasWHAnc45Z5A_31_6"/>
      <w:bookmarkStart w:id="848" w:name="Tc_5hjSkHk-606rspDn6Vm7Dw_31_3"/>
      <w:bookmarkStart w:id="849" w:name="Tc_AE6OJB31ik63m0ZGgkhI6A_31_0"/>
      <w:bookmarkStart w:id="850" w:name="Tc_wQs_AiD4rUa6DrsVsFA8aw_30_6"/>
      <w:bookmarkStart w:id="851" w:name="Tc_IgTU5DfAD0yLeL7d5k5dnQ_30_3"/>
      <w:bookmarkStart w:id="852" w:name="Tc_WLnVzQoXhUeHisAfVbph1g_30_0"/>
      <w:bookmarkStart w:id="853" w:name="Tc_3C60bKLyMUe5ci5t3Gw8vA_29_9"/>
      <w:bookmarkStart w:id="854" w:name="Tc_DpAVGC-FEEWTWASgf5xebQ_29_3"/>
      <w:bookmarkStart w:id="855" w:name="Tc_JL7FT7mpSkml2tcK9IHtTw_29_0"/>
      <w:bookmarkStart w:id="856" w:name="Tc_etNatg0f2kqxgNhXSQHuCA_28_0"/>
      <w:bookmarkStart w:id="857" w:name="Tc_GE9fwhiH1U6EapTCtWvKMQ_27_0"/>
      <w:bookmarkStart w:id="858" w:name="Tc_8VPt1xLx0UCc3tbdvNHFUg_26_0"/>
      <w:bookmarkStart w:id="859" w:name="Tc_M0MEzl4w_E2vGK4WB2PzGg_25_0"/>
      <w:bookmarkStart w:id="860" w:name="Tc_GRW_jiC0rEOF5vVT8Iqp5g_24_0"/>
      <w:bookmarkStart w:id="861" w:name="Tc_w6FSK8rE-UuQpWTehVuxXg_23_0"/>
      <w:bookmarkStart w:id="862" w:name="Tc_oEaKgFaHF0yLRSN6WW1IJA_22_0"/>
      <w:bookmarkStart w:id="863" w:name="Tc_gORwer5cB0yXUSiqLmeoVg_21_0"/>
      <w:bookmarkStart w:id="864" w:name="Tc_-N8lI9RNCUq0M2CXOYmtOw_20_0"/>
      <w:bookmarkStart w:id="865" w:name="Tc_5jLYsydZbkuVTFXCQzy-_A_19_6"/>
      <w:bookmarkStart w:id="866" w:name="Tc_Sv17QMh1OUitJxFCjaKujg_19_0"/>
      <w:bookmarkStart w:id="867" w:name="Tc_G-iHLjJFxkKEPggD57oiqg_18_9"/>
      <w:bookmarkStart w:id="868" w:name="Tc_sKIkT-5p8kSfS6jLt5V-oA_18_3"/>
      <w:bookmarkStart w:id="869" w:name="Tc_LoRV5NlF00icku2BE1lVSQ_18_0"/>
      <w:bookmarkStart w:id="870" w:name="Tc_llkqS4uDeUGVq3lA3Eoh-g_17_3"/>
      <w:bookmarkStart w:id="871" w:name="Tc_Z5YcSj503EO-0_53EeWzhQ_17_0"/>
      <w:bookmarkStart w:id="872" w:name="Tc_n52p7MGlfE26c4e0eeeEfw_16_0"/>
      <w:bookmarkStart w:id="873" w:name="Tc_SitxLSey_Ea1F6CVrLonFw_15_0"/>
      <w:bookmarkStart w:id="874" w:name="Tc_I8igrVTatEKFVyfQiJwQPg_14_0"/>
      <w:bookmarkStart w:id="875" w:name="Tc_wQNXRwXGp0apommcmXULaQ_13_0"/>
      <w:bookmarkStart w:id="876" w:name="Tc_U_aRlQoQOUqKeBs2BQwcpg_12_0"/>
      <w:bookmarkStart w:id="877" w:name="Tc_B6EfkdaFxEmvudcecZNvKw_11_0"/>
      <w:bookmarkStart w:id="878" w:name="Tc_1Hg2BfPJ0E-4Ek00_vjCCQ_10_0"/>
      <w:bookmarkStart w:id="879" w:name="Tc_edQVidYhQEiBuqpRXVKIUw_9_0"/>
      <w:bookmarkStart w:id="880" w:name="Tc_zKEWvGF2UkKJ-XdDzO-Btw_8_0"/>
      <w:bookmarkStart w:id="881" w:name="Tc_Y7CL6EEdu0mLk7sTYXCWYg_7_0"/>
      <w:bookmarkStart w:id="882" w:name="Tc_PY1uG8SR20uw6p9D6ysYyw_6_0"/>
      <w:bookmarkStart w:id="883" w:name="Tc_L-ZmObKDvEuBEF5NZ7uLIw_5_8"/>
      <w:bookmarkStart w:id="884" w:name="Tc_ckNJJKTy3Ey6gFHYut8kng_5_5"/>
      <w:bookmarkStart w:id="885" w:name="Tc_QjbQoW0xwkO-9vWq-enCXw_5_2"/>
      <w:bookmarkStart w:id="886" w:name="Tc_QGjN3sZuakCJia3-wgTCyg_5_0"/>
      <w:bookmarkStart w:id="887" w:name="Tc_-T8KNVAZ7kaPO8jj7lVZrg_4_0"/>
      <w:bookmarkStart w:id="888" w:name="Tc_fH3_W1bCc0GHXD7_TcFE_w_3_8"/>
      <w:bookmarkStart w:id="889" w:name="Tc_iRfCUat0AkOvObTCz3KWGg_3_5"/>
      <w:bookmarkStart w:id="890" w:name="Tc_S-A_WJZSFkejIEW4HUKelw_3_2"/>
      <w:bookmarkStart w:id="891" w:name="Tc_wcNzyAoiWkKX2PgOqx_-pw_2_2"/>
      <w:bookmarkStart w:id="892" w:name="_3b892a99_30df_4b41_b150_dad76d22d3e3"/>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tbl>
      <w:tblPr>
        <w:tblW w:w="9805" w:type="dxa"/>
        <w:jc w:val="left"/>
        <w:tblInd w:w="0" w:type="dxa"/>
        <w:tblLayout w:type="fixed"/>
        <w:tblCellMar>
          <w:top w:w="0" w:type="dxa"/>
          <w:left w:w="0" w:type="dxa"/>
          <w:bottom w:w="0" w:type="dxa"/>
          <w:right w:w="0" w:type="dxa"/>
        </w:tblCellMar>
      </w:tblPr>
      <w:tblGrid>
        <w:gridCol w:w="5791"/>
        <w:gridCol w:w="346"/>
        <w:gridCol w:w="196"/>
        <w:gridCol w:w="811"/>
        <w:gridCol w:w="346"/>
        <w:gridCol w:w="196"/>
        <w:gridCol w:w="721"/>
        <w:gridCol w:w="346"/>
        <w:gridCol w:w="196"/>
        <w:gridCol w:w="85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677285" cy="175260"/>
                      <wp:effectExtent l="0" t="0" r="0" b="0"/>
                      <wp:wrapNone/>
                      <wp:docPr id="346" name="Frame345"/>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7"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24460" cy="175260"/>
                      <wp:effectExtent l="0" t="0" r="0" b="0"/>
                      <wp:wrapNone/>
                      <wp:docPr id="348" name="Frame3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14985" cy="175260"/>
                      <wp:effectExtent l="0" t="0" r="0" b="0"/>
                      <wp:wrapNone/>
                      <wp:docPr id="349" name="Frame34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0"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24460" cy="175260"/>
                      <wp:effectExtent l="0" t="0" r="0" b="0"/>
                      <wp:wrapNone/>
                      <wp:docPr id="351" name="Frame3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57835" cy="175260"/>
                      <wp:effectExtent l="0" t="0" r="0" b="0"/>
                      <wp:wrapNone/>
                      <wp:docPr id="352" name="Frame35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3"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24460" cy="175260"/>
                      <wp:effectExtent l="0" t="0" r="0" b="0"/>
                      <wp:wrapNone/>
                      <wp:docPr id="354" name="Frame3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43560" cy="175260"/>
                      <wp:effectExtent l="0" t="0" r="0" b="0"/>
                      <wp:wrapNone/>
                      <wp:docPr id="355" name="Frame35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pPr>
            <w:r>
              <w:rPr/>
              <w:t>​</w: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66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Year Ended December 31, </w: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46"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115,882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74,052</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depletion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47,471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38,776</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820</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in income from unconsolidated joint ventures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(22,701)</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Distribution of earnings from unconsolidated joint ventures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11,464</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(6,216)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(10,677)</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real estate sold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104,526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65,151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82,610</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Expenditures for and acquisition of real estate to be sold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(84,291)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(79,435)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(77,796)</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income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(5,193)</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debt issuance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1,004</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loss on disposal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contributions to unconsolidated joint ventures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insurance for damage to 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extinguishment of debt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9,669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(9,178)</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11,149</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10,088</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190,696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107,993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103,849</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  ​</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Expenditures for operating property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(133,783)</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Expenditures for property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(6,182)</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the disposition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insurance claims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investments - debt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(37,407)</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Maturities of investments - debt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79,000</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contributions to unconsolidated joint ventures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(2,305)</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distributions from unconsolidated joint ventures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Maturities of assets held by special purpose entities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(26,221)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(50,379)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(99,143)</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contributions from non-controlling interest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1,430</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distributions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(2,242)</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 of common stock, including excise tax</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(40,269)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(25,664)</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Borrowings on debt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121,839</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Principal payments for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(114,452)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(53,491)</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Principal payments for finance leases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(958)</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(used in) provided by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(124,280)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(52,068)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40,761</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increase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40,195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5,546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45,467</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at beginning of the year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96,316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90,770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45,303</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at end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136,511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96,316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90,770</w:t>
            </w:r>
          </w:p>
        </w:tc>
      </w:tr>
    </w:tbl>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893" w:name="DISCLOSURESOFCASHFLOWINFORMATION_317552"/>
      <w:bookmarkEnd w:id="893"/>
      <w:r>
        <w:rPr>
          <w:rFonts w:ascii="Times New Roman;Times;serif" w:hAnsi="Times New Roman;Times;serif"/>
          <w:b/>
          <w:sz w:val="20"/>
        </w:rPr>
        <w:t>SUPPLEMENTAL DISCLOSURES OF CASH FLOW INFORMATION</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consolidated balance sheets that sum to the total of the amounts shown in the consolidated statements of cash flows.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94" w:name="Tc_Je8ZbS4_KUiACXCV5v5mzQ_6_9"/>
      <w:bookmarkStart w:id="895" w:name="Tc_YqZemBhnWUiTZeaZqQlZKQ_6_6"/>
      <w:bookmarkStart w:id="896" w:name="Tc_HWz6n_2crkejWpQ6COwxTA_6_3"/>
      <w:bookmarkStart w:id="897" w:name="Tc_-i75OaDHrkCPV1gf5-nkfw_6_0"/>
      <w:bookmarkStart w:id="898" w:name="Tc_Sjy4ua2NBU6ihVHpE-GQWA_4_9"/>
      <w:bookmarkStart w:id="899" w:name="Tc_uQHYm4-S-EStql0E14sppQ_4_6"/>
      <w:bookmarkStart w:id="900" w:name="Tc_IBC17R5ejEStYurEaU2W9w_4_3"/>
      <w:bookmarkStart w:id="901" w:name="Tc__J6S7c3goEWpSFoDDR39JA_4_0"/>
      <w:bookmarkStart w:id="902" w:name="Tc_hH6N9UGsxUyYp9tSvV_Tuw_3_9"/>
      <w:bookmarkStart w:id="903" w:name="Tc_v28Y5IaZs0SB8qNxiTZbfg_3_6"/>
      <w:bookmarkStart w:id="904" w:name="Tc_0ysgzUroxE6q0Pu-nvFg-g_3_3"/>
      <w:bookmarkStart w:id="905" w:name="Tc_YUSuX9aLlUelwRwBFsEjWw_2_3"/>
      <w:bookmarkStart w:id="906" w:name="_95278385_1294_45ce_bc02_d69f0464c1d6"/>
      <w:bookmarkStart w:id="907" w:name="Tc_Je8ZbS4_KUiACXCV5v5mzQ_6_9"/>
      <w:bookmarkStart w:id="908" w:name="Tc_YqZemBhnWUiTZeaZqQlZKQ_6_6"/>
      <w:bookmarkStart w:id="909" w:name="Tc_HWz6n_2crkejWpQ6COwxTA_6_3"/>
      <w:bookmarkStart w:id="910" w:name="Tc_-i75OaDHrkCPV1gf5-nkfw_6_0"/>
      <w:bookmarkStart w:id="911" w:name="Tc_Sjy4ua2NBU6ihVHpE-GQWA_4_9"/>
      <w:bookmarkStart w:id="912" w:name="Tc_uQHYm4-S-EStql0E14sppQ_4_6"/>
      <w:bookmarkStart w:id="913" w:name="Tc_IBC17R5ejEStYurEaU2W9w_4_3"/>
      <w:bookmarkStart w:id="914" w:name="Tc__J6S7c3goEWpSFoDDR39JA_4_0"/>
      <w:bookmarkStart w:id="915" w:name="Tc_hH6N9UGsxUyYp9tSvV_Tuw_3_9"/>
      <w:bookmarkStart w:id="916" w:name="Tc_v28Y5IaZs0SB8qNxiTZbfg_3_6"/>
      <w:bookmarkStart w:id="917" w:name="Tc_0ysgzUroxE6q0Pu-nvFg-g_3_3"/>
      <w:bookmarkStart w:id="918" w:name="Tc_YUSuX9aLlUelwRwBFsEjWw_2_3"/>
      <w:bookmarkStart w:id="919" w:name="_95278385_1294_45ce_bc02_d69f0464c1d6"/>
      <w:bookmarkEnd w:id="907"/>
      <w:bookmarkEnd w:id="908"/>
      <w:bookmarkEnd w:id="909"/>
      <w:bookmarkEnd w:id="910"/>
      <w:bookmarkEnd w:id="911"/>
      <w:bookmarkEnd w:id="912"/>
      <w:bookmarkEnd w:id="913"/>
      <w:bookmarkEnd w:id="914"/>
      <w:bookmarkEnd w:id="915"/>
      <w:bookmarkEnd w:id="916"/>
      <w:bookmarkEnd w:id="917"/>
      <w:bookmarkEnd w:id="918"/>
      <w:bookmarkEnd w:id="919"/>
    </w:p>
    <w:tbl>
      <w:tblPr>
        <w:tblW w:w="10205" w:type="dxa"/>
        <w:jc w:val="left"/>
        <w:tblInd w:w="0" w:type="dxa"/>
        <w:tblLayout w:type="fixed"/>
        <w:tblCellMar>
          <w:top w:w="0" w:type="dxa"/>
          <w:left w:w="0" w:type="dxa"/>
          <w:bottom w:w="0" w:type="dxa"/>
          <w:right w:w="0" w:type="dxa"/>
        </w:tblCellMar>
      </w:tblPr>
      <w:tblGrid>
        <w:gridCol w:w="6550"/>
        <w:gridCol w:w="346"/>
        <w:gridCol w:w="146"/>
        <w:gridCol w:w="211"/>
        <w:gridCol w:w="781"/>
        <w:gridCol w:w="146"/>
        <w:gridCol w:w="211"/>
        <w:gridCol w:w="676"/>
        <w:gridCol w:w="146"/>
        <w:gridCol w:w="211"/>
        <w:gridCol w:w="781"/>
      </w:tblGrid>
      <w:tr>
        <w:trPr/>
        <w:tc>
          <w:tcPr>
            <w:tcW w:w="6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159250" cy="175260"/>
                      <wp:effectExtent l="0" t="0" r="0" b="0"/>
                      <wp:wrapNone/>
                      <wp:docPr id="356" name="Frame355"/>
                      <a:graphic xmlns:a="http://schemas.openxmlformats.org/drawingml/2006/main">
                        <a:graphicData uri="http://schemas.microsoft.com/office/word/2010/wordprocessingShape">
                          <wps:wsp>
                            <wps:cNvSpPr txBox="1"/>
                            <wps:spPr>
                              <a:xfrm>
                                <a:off x="0" y="0"/>
                                <a:ext cx="415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57"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92710" cy="175260"/>
                      <wp:effectExtent l="0" t="0" r="0" b="0"/>
                      <wp:wrapNone/>
                      <wp:docPr id="358" name="Frame3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59"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95935" cy="175260"/>
                      <wp:effectExtent l="0" t="0" r="0" b="0"/>
                      <wp:wrapNone/>
                      <wp:docPr id="360" name="Frame3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92710" cy="175260"/>
                      <wp:effectExtent l="0" t="0" r="0" b="0"/>
                      <wp:wrapNone/>
                      <wp:docPr id="361" name="Frame3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2"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29260" cy="175260"/>
                      <wp:effectExtent l="0" t="0" r="0" b="0"/>
                      <wp:wrapNone/>
                      <wp:docPr id="363" name="Frame3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92710" cy="175260"/>
                      <wp:effectExtent l="0" t="0" r="0" b="0"/>
                      <wp:wrapNone/>
                      <wp:docPr id="364" name="Frame36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5"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95935" cy="175260"/>
                      <wp:effectExtent l="0" t="0" r="0" b="0"/>
                      <wp:wrapNone/>
                      <wp:docPr id="366" name="Frame3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65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1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5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129,614</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88,756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86,068</w:t>
            </w:r>
          </w:p>
        </w:tc>
      </w:tr>
      <w:tr>
        <w:trPr/>
        <w:tc>
          <w:tcPr>
            <w:tcW w:w="65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included in other assets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4,702</w:t>
            </w:r>
          </w:p>
        </w:tc>
      </w:tr>
      <w:tr>
        <w:trPr/>
        <w:tc>
          <w:tcPr>
            <w:tcW w:w="655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 shown in the accompanying consolidated statements of cash flows</w:t>
            </w:r>
          </w:p>
        </w:tc>
        <w:tc>
          <w:tcPr>
            <w:tcW w:w="3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136,511</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96,316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90,770</w:t>
            </w:r>
          </w:p>
        </w:tc>
      </w:tr>
    </w:tbl>
    <w:p>
      <w:pPr>
        <w:pStyle w:val="TextBody"/>
        <w:bidi w:val="0"/>
        <w:spacing w:before="0" w:after="0"/>
        <w:ind w:left="0" w:right="0" w:firstLine="72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Restricted cash includes amounts reserved as a requirement of financing, development for certain of the Company’s projects, advance draws on construction loans or long-term mitigation bank management.</w:t>
      </w:r>
    </w:p>
    <w:p>
      <w:pPr>
        <w:pStyle w:val="Normal"/>
        <w:bidi w:val="0"/>
        <w:spacing w:before="0" w:after="0"/>
        <w:jc w:val="left"/>
        <w:rPr>
          <w:sz w:val="4"/>
          <w:szCs w:val="4"/>
        </w:rPr>
      </w:pPr>
      <w:r>
        <w:rPr>
          <w:sz w:val="4"/>
          <w:szCs w:val="4"/>
        </w:rPr>
      </w:r>
      <w:bookmarkStart w:id="920" w:name="Tc_r8T5XTDICky2KWJE82SJvQ_18_8"/>
      <w:bookmarkStart w:id="921" w:name="Tc_sqUzwfA2a0atRIdLXFNG3w_18_5"/>
      <w:bookmarkStart w:id="922" w:name="Tc_7-FMECS0K0mNiR9Wn5WhBQ_18_2"/>
      <w:bookmarkStart w:id="923" w:name="Tc_AxnTmc59qUOGUc6Qpn5Eew_18_0"/>
      <w:bookmarkStart w:id="924" w:name="Tc_U0Tzgq-iIEu8WODS4Kix-Q_17_9"/>
      <w:bookmarkStart w:id="925" w:name="Tc_ss3FXz1un0ufgP_O6dpj7A_17_8"/>
      <w:bookmarkStart w:id="926" w:name="Tc_P9Op2bQbwUiU1HG3m_hO-g_17_5"/>
      <w:bookmarkStart w:id="927" w:name="Tc_WryZD6zViEq0s75cG6HZsA_17_2"/>
      <w:bookmarkStart w:id="928" w:name="Tc_qZjMl2qU8kiBbdoVAoZCLA_17_0"/>
      <w:bookmarkStart w:id="929" w:name="Tc_kyFmP_As102R-fFMafgIOg_16_8"/>
      <w:bookmarkStart w:id="930" w:name="Tc_NLeSkA098kGsndjZWJ4V7w_16_5"/>
      <w:bookmarkStart w:id="931" w:name="Tc_j0fHRgRvq0CfrPEs6FhXQA_16_2"/>
      <w:bookmarkStart w:id="932" w:name="Tc_fdC8XZyN00SA7VlPu8ApQA_16_0"/>
      <w:bookmarkStart w:id="933" w:name="Tc_9vKLYOvsFEC4Gu5ky_39oQ_15_8"/>
      <w:bookmarkStart w:id="934" w:name="Tc_blddZ6m34k6hT_iGB96Vlw_15_5"/>
      <w:bookmarkStart w:id="935" w:name="Tc_9TnQ6O1glEmT0OfG2jxUUQ_15_2"/>
      <w:bookmarkStart w:id="936" w:name="Tc_5fL_7fyrDkCwOxnpFjlCKA_15_0"/>
      <w:bookmarkStart w:id="937" w:name="Tc_RzTWmSwMwkmECUUigMhzgw_14_8"/>
      <w:bookmarkStart w:id="938" w:name="Tc_QUv2n-YtGUSlrw53gcrMNA_14_5"/>
      <w:bookmarkStart w:id="939" w:name="Tc_j9HmcOqg4EG_xqJQBuDsmA_14_2"/>
      <w:bookmarkStart w:id="940" w:name="Tc_IQDAsJmDLEmYL6ZNvGztHQ_14_0"/>
      <w:bookmarkStart w:id="941" w:name="Tc_QT28sfSjAkyq1vChrHRlww_13_8"/>
      <w:bookmarkStart w:id="942" w:name="Tc_pnGOHVLY102mYXktCIMfgw_13_5"/>
      <w:bookmarkStart w:id="943" w:name="Tc_uJhUivZzTU6pjJTXOQqksg_13_2"/>
      <w:bookmarkStart w:id="944" w:name="Tc_JCAG5-dftEGdfRqhPKRbcg_13_0"/>
      <w:bookmarkStart w:id="945" w:name="Tc_7KsM2NnlnUWjgyWxvf2j2A_12_8"/>
      <w:bookmarkStart w:id="946" w:name="Tc_R4uTv5Plakyh0VeGosLWyA_12_5"/>
      <w:bookmarkStart w:id="947" w:name="Tc_RHmJtIAFaEKdyTVlCj7eDg_12_2"/>
      <w:bookmarkStart w:id="948" w:name="Tc__-RSLIWxpUi4HRvT04AUJg_12_0"/>
      <w:bookmarkStart w:id="949" w:name="Tc_FDRjFZ100kG9S1XaCHUHQw_11_8"/>
      <w:bookmarkStart w:id="950" w:name="Tc_UWMcY9a4D0mLItSVIi6JBA_11_5"/>
      <w:bookmarkStart w:id="951" w:name="Tc_xkP5nFkPV061MXtVw8UBqw_11_2"/>
      <w:bookmarkStart w:id="952" w:name="Tc_BmfHOeCntk2qaTxNHWLqMw_11_0"/>
      <w:bookmarkStart w:id="953" w:name="Tc_qCo1eB8AgEisBO8DZWRzJw_10_8"/>
      <w:bookmarkStart w:id="954" w:name="Tc_-L6j6BLOIki2V0MHGoqEag_10_6"/>
      <w:bookmarkStart w:id="955" w:name="Tc_qJlSI6z7GUeio6kA-eQnsQ_10_5"/>
      <w:bookmarkStart w:id="956" w:name="Tc_AODVEuIZeUWyjB6fDKWADw_10_3"/>
      <w:bookmarkStart w:id="957" w:name="Tc_TRwfD-s8BkOK7B49o_MJtA_10_2"/>
      <w:bookmarkStart w:id="958" w:name="Tc_IdbMjDtztkuZAcYmsyLjkw_10_0"/>
      <w:bookmarkStart w:id="959" w:name="Tc_ZS89uSJiaECoBndwOMFglw_9_0"/>
      <w:bookmarkStart w:id="960" w:name="Tc_1lBG61V0LEq0idWuqlyqRw_7_8"/>
      <w:bookmarkStart w:id="961" w:name="Tc_YehB8ccdD0C6e-ySqDNPbw_7_5"/>
      <w:bookmarkStart w:id="962" w:name="Tc_P1cdzsYGhEeCyPW_QIZnYw_7_2"/>
      <w:bookmarkStart w:id="963" w:name="Tc_xSAQYuWU4kuAnBjLBzL39A_7_0"/>
      <w:bookmarkStart w:id="964" w:name="Tc_tq9OixV8X0G3mtzTzz2Jpg_6_8"/>
      <w:bookmarkStart w:id="965" w:name="Tc_pFJKld6XWUqJ6Grp6QGvcQ_6_5"/>
      <w:bookmarkStart w:id="966" w:name="Tc__Vmiv1d7tES0Q37CdPb56g_6_2"/>
      <w:bookmarkStart w:id="967" w:name="Tc_q_-LGoEOL0aW-59uezDhQg_6_0"/>
      <w:bookmarkStart w:id="968" w:name="Tc_fimSrjc5D0OqpRR7r9t9sQ_5_8"/>
      <w:bookmarkStart w:id="969" w:name="Tc_b_Ewffvs9EGKZ4eZncUKig_5_5"/>
      <w:bookmarkStart w:id="970" w:name="Tc_NelZqI9300mSDfTbrvFjkQ_5_2"/>
      <w:bookmarkStart w:id="971" w:name="Tc_1dmBvdUZDUmhyVC5CRCKng_5_0"/>
      <w:bookmarkStart w:id="972" w:name="Tc_L5_HpSiiAUeImkAXn4VS6g_4_0"/>
      <w:bookmarkStart w:id="973" w:name="Tc_Bj-KdACM5E2zmJFcHiepUA_3_8"/>
      <w:bookmarkStart w:id="974" w:name="Tc_nHNPNg6EzEmDtIHNu_LH_Q_3_5"/>
      <w:bookmarkStart w:id="975" w:name="Tc_rI84gQYXNkyhMJiKJJUVvw_3_2"/>
      <w:bookmarkStart w:id="976" w:name="Tc_7ix-1aJNSkWts2HQSNfpVw_2_2"/>
      <w:bookmarkStart w:id="977" w:name="_058d98bd_8d00_4696_a6dd_5f14d3758603"/>
      <w:bookmarkStart w:id="978" w:name="Tc_r8T5XTDICky2KWJE82SJvQ_18_8"/>
      <w:bookmarkStart w:id="979" w:name="Tc_sqUzwfA2a0atRIdLXFNG3w_18_5"/>
      <w:bookmarkStart w:id="980" w:name="Tc_7-FMECS0K0mNiR9Wn5WhBQ_18_2"/>
      <w:bookmarkStart w:id="981" w:name="Tc_AxnTmc59qUOGUc6Qpn5Eew_18_0"/>
      <w:bookmarkStart w:id="982" w:name="Tc_U0Tzgq-iIEu8WODS4Kix-Q_17_9"/>
      <w:bookmarkStart w:id="983" w:name="Tc_ss3FXz1un0ufgP_O6dpj7A_17_8"/>
      <w:bookmarkStart w:id="984" w:name="Tc_P9Op2bQbwUiU1HG3m_hO-g_17_5"/>
      <w:bookmarkStart w:id="985" w:name="Tc_WryZD6zViEq0s75cG6HZsA_17_2"/>
      <w:bookmarkStart w:id="986" w:name="Tc_qZjMl2qU8kiBbdoVAoZCLA_17_0"/>
      <w:bookmarkStart w:id="987" w:name="Tc_kyFmP_As102R-fFMafgIOg_16_8"/>
      <w:bookmarkStart w:id="988" w:name="Tc_NLeSkA098kGsndjZWJ4V7w_16_5"/>
      <w:bookmarkStart w:id="989" w:name="Tc_j0fHRgRvq0CfrPEs6FhXQA_16_2"/>
      <w:bookmarkStart w:id="990" w:name="Tc_fdC8XZyN00SA7VlPu8ApQA_16_0"/>
      <w:bookmarkStart w:id="991" w:name="Tc_9vKLYOvsFEC4Gu5ky_39oQ_15_8"/>
      <w:bookmarkStart w:id="992" w:name="Tc_blddZ6m34k6hT_iGB96Vlw_15_5"/>
      <w:bookmarkStart w:id="993" w:name="Tc_9TnQ6O1glEmT0OfG2jxUUQ_15_2"/>
      <w:bookmarkStart w:id="994" w:name="Tc_5fL_7fyrDkCwOxnpFjlCKA_15_0"/>
      <w:bookmarkStart w:id="995" w:name="Tc_RzTWmSwMwkmECUUigMhzgw_14_8"/>
      <w:bookmarkStart w:id="996" w:name="Tc_QUv2n-YtGUSlrw53gcrMNA_14_5"/>
      <w:bookmarkStart w:id="997" w:name="Tc_j9HmcOqg4EG_xqJQBuDsmA_14_2"/>
      <w:bookmarkStart w:id="998" w:name="Tc_IQDAsJmDLEmYL6ZNvGztHQ_14_0"/>
      <w:bookmarkStart w:id="999" w:name="Tc_QT28sfSjAkyq1vChrHRlww_13_8"/>
      <w:bookmarkStart w:id="1000" w:name="Tc_pnGOHVLY102mYXktCIMfgw_13_5"/>
      <w:bookmarkStart w:id="1001" w:name="Tc_uJhUivZzTU6pjJTXOQqksg_13_2"/>
      <w:bookmarkStart w:id="1002" w:name="Tc_JCAG5-dftEGdfRqhPKRbcg_13_0"/>
      <w:bookmarkStart w:id="1003" w:name="Tc_7KsM2NnlnUWjgyWxvf2j2A_12_8"/>
      <w:bookmarkStart w:id="1004" w:name="Tc_R4uTv5Plakyh0VeGosLWyA_12_5"/>
      <w:bookmarkStart w:id="1005" w:name="Tc_RHmJtIAFaEKdyTVlCj7eDg_12_2"/>
      <w:bookmarkStart w:id="1006" w:name="Tc__-RSLIWxpUi4HRvT04AUJg_12_0"/>
      <w:bookmarkStart w:id="1007" w:name="Tc_FDRjFZ100kG9S1XaCHUHQw_11_8"/>
      <w:bookmarkStart w:id="1008" w:name="Tc_UWMcY9a4D0mLItSVIi6JBA_11_5"/>
      <w:bookmarkStart w:id="1009" w:name="Tc_xkP5nFkPV061MXtVw8UBqw_11_2"/>
      <w:bookmarkStart w:id="1010" w:name="Tc_BmfHOeCntk2qaTxNHWLqMw_11_0"/>
      <w:bookmarkStart w:id="1011" w:name="Tc_qCo1eB8AgEisBO8DZWRzJw_10_8"/>
      <w:bookmarkStart w:id="1012" w:name="Tc_-L6j6BLOIki2V0MHGoqEag_10_6"/>
      <w:bookmarkStart w:id="1013" w:name="Tc_qJlSI6z7GUeio6kA-eQnsQ_10_5"/>
      <w:bookmarkStart w:id="1014" w:name="Tc_AODVEuIZeUWyjB6fDKWADw_10_3"/>
      <w:bookmarkStart w:id="1015" w:name="Tc_TRwfD-s8BkOK7B49o_MJtA_10_2"/>
      <w:bookmarkStart w:id="1016" w:name="Tc_IdbMjDtztkuZAcYmsyLjkw_10_0"/>
      <w:bookmarkStart w:id="1017" w:name="Tc_ZS89uSJiaECoBndwOMFglw_9_0"/>
      <w:bookmarkStart w:id="1018" w:name="Tc_1lBG61V0LEq0idWuqlyqRw_7_8"/>
      <w:bookmarkStart w:id="1019" w:name="Tc_YehB8ccdD0C6e-ySqDNPbw_7_5"/>
      <w:bookmarkStart w:id="1020" w:name="Tc_P1cdzsYGhEeCyPW_QIZnYw_7_2"/>
      <w:bookmarkStart w:id="1021" w:name="Tc_xSAQYuWU4kuAnBjLBzL39A_7_0"/>
      <w:bookmarkStart w:id="1022" w:name="Tc_tq9OixV8X0G3mtzTzz2Jpg_6_8"/>
      <w:bookmarkStart w:id="1023" w:name="Tc_pFJKld6XWUqJ6Grp6QGvcQ_6_5"/>
      <w:bookmarkStart w:id="1024" w:name="Tc__Vmiv1d7tES0Q37CdPb56g_6_2"/>
      <w:bookmarkStart w:id="1025" w:name="Tc_q_-LGoEOL0aW-59uezDhQg_6_0"/>
      <w:bookmarkStart w:id="1026" w:name="Tc_fimSrjc5D0OqpRR7r9t9sQ_5_8"/>
      <w:bookmarkStart w:id="1027" w:name="Tc_b_Ewffvs9EGKZ4eZncUKig_5_5"/>
      <w:bookmarkStart w:id="1028" w:name="Tc_NelZqI9300mSDfTbrvFjkQ_5_2"/>
      <w:bookmarkStart w:id="1029" w:name="Tc_1dmBvdUZDUmhyVC5CRCKng_5_0"/>
      <w:bookmarkStart w:id="1030" w:name="Tc_L5_HpSiiAUeImkAXn4VS6g_4_0"/>
      <w:bookmarkStart w:id="1031" w:name="Tc_Bj-KdACM5E2zmJFcHiepUA_3_8"/>
      <w:bookmarkStart w:id="1032" w:name="Tc_nHNPNg6EzEmDtIHNu_LH_Q_3_5"/>
      <w:bookmarkStart w:id="1033" w:name="Tc_rI84gQYXNkyhMJiKJJUVvw_3_2"/>
      <w:bookmarkStart w:id="1034" w:name="Tc_7ix-1aJNSkWts2HQSNfpVw_2_2"/>
      <w:bookmarkStart w:id="1035" w:name="_058d98bd_8d00_4696_a6dd_5f14d3758603"/>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p>
    <w:tbl>
      <w:tblPr>
        <w:tblW w:w="10205" w:type="dxa"/>
        <w:jc w:val="left"/>
        <w:tblInd w:w="0" w:type="dxa"/>
        <w:tblLayout w:type="fixed"/>
        <w:tblCellMar>
          <w:top w:w="0" w:type="dxa"/>
          <w:left w:w="0" w:type="dxa"/>
          <w:bottom w:w="0" w:type="dxa"/>
          <w:right w:w="0" w:type="dxa"/>
        </w:tblCellMar>
      </w:tblPr>
      <w:tblGrid>
        <w:gridCol w:w="7063"/>
        <w:gridCol w:w="109"/>
        <w:gridCol w:w="211"/>
        <w:gridCol w:w="676"/>
        <w:gridCol w:w="109"/>
        <w:gridCol w:w="211"/>
        <w:gridCol w:w="685"/>
        <w:gridCol w:w="109"/>
        <w:gridCol w:w="211"/>
        <w:gridCol w:w="821"/>
      </w:tblGrid>
      <w:tr>
        <w:trPr/>
        <w:tc>
          <w:tcPr>
            <w:tcW w:w="7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485005" cy="175260"/>
                      <wp:effectExtent l="0" t="0" r="0" b="0"/>
                      <wp:wrapNone/>
                      <wp:docPr id="367" name="Frame366"/>
                      <a:graphic xmlns:a="http://schemas.openxmlformats.org/drawingml/2006/main">
                        <a:graphicData uri="http://schemas.microsoft.com/office/word/2010/wordprocessingShape">
                          <wps:wsp>
                            <wps:cNvSpPr txBox="1"/>
                            <wps:spPr>
                              <a:xfrm>
                                <a:off x="0" y="0"/>
                                <a:ext cx="448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68" name="Frame3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69"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29260" cy="175260"/>
                      <wp:effectExtent l="0" t="0" r="0" b="0"/>
                      <wp:wrapNone/>
                      <wp:docPr id="370" name="Frame3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9215" cy="175260"/>
                      <wp:effectExtent l="0" t="0" r="0" b="0"/>
                      <wp:wrapNone/>
                      <wp:docPr id="371"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2"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34975" cy="175260"/>
                      <wp:effectExtent l="0" t="0" r="0" b="0"/>
                      <wp:wrapNone/>
                      <wp:docPr id="373" name="Frame372"/>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4" name="Frame3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5"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21335" cy="175260"/>
                      <wp:effectExtent l="0" t="0" r="0" b="0"/>
                      <wp:wrapNone/>
                      <wp:docPr id="376" name="Frame375"/>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8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21" w:type="dxa"/>
            <w:tcBorders/>
            <w:vAlign w:val="center"/>
          </w:tcPr>
          <w:p>
            <w:pPr>
              <w:pStyle w:val="TableContents"/>
              <w:bidi w:val="0"/>
              <w:spacing w:before="0" w:after="0"/>
              <w:ind w:left="0" w:right="0" w:hanging="0"/>
              <w:jc w:val="center"/>
              <w:rPr/>
            </w:pPr>
            <w:r>
              <w:rPr/>
              <w:t>​</w:t>
            </w:r>
          </w:p>
        </w:tc>
      </w:tr>
      <w:tr>
        <w:trPr/>
        <w:tc>
          <w:tcPr>
            <w:tcW w:w="70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0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70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0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paid during the period for: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  ​</w:t>
            </w:r>
          </w:p>
        </w:tc>
      </w:tr>
      <w:tr>
        <w:trPr/>
        <w:tc>
          <w:tcPr>
            <w:tcW w:w="7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net of interest rate swap</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29,602</w:t>
            </w:r>
          </w:p>
        </w:tc>
      </w:tr>
      <w:tr>
        <w:trPr/>
        <w:tc>
          <w:tcPr>
            <w:tcW w:w="7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income taxes,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26,400</w:t>
            </w:r>
          </w:p>
        </w:tc>
      </w:tr>
      <w:tr>
        <w:trPr/>
        <w:tc>
          <w:tcPr>
            <w:tcW w:w="7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4,518</w:t>
            </w:r>
          </w:p>
        </w:tc>
      </w:tr>
      <w:tr>
        <w:trPr/>
        <w:tc>
          <w:tcPr>
            <w:tcW w:w="706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r>
      <w:tr>
        <w:trPr/>
        <w:tc>
          <w:tcPr>
            <w:tcW w:w="706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pPr>
            <w:r>
              <w:rPr/>
              <w:t>  ​</w:t>
            </w:r>
          </w:p>
        </w:tc>
      </w:tr>
      <w:tr>
        <w:trPr/>
        <w:tc>
          <w:tcPr>
            <w:tcW w:w="7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contributions to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w:t>
            </w:r>
          </w:p>
        </w:tc>
      </w:tr>
      <w:tr>
        <w:trPr/>
        <w:tc>
          <w:tcPr>
            <w:tcW w:w="7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or modified finance lease liabilities, net of terminations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7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or modified operating lease liabilities, net of terminations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r>
      <w:tr>
        <w:trPr/>
        <w:tc>
          <w:tcPr>
            <w:tcW w:w="7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Community Development District debt,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7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 of expenditures for operating property to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35,812</w:t>
            </w:r>
          </w:p>
        </w:tc>
      </w:tr>
      <w:tr>
        <w:trPr/>
        <w:tc>
          <w:tcPr>
            <w:tcW w:w="7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expenditures for operating properties and property and equipment financed through accounts payable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(30,325)</w:t>
            </w:r>
          </w:p>
        </w:tc>
      </w:tr>
      <w:tr>
        <w:trPr/>
        <w:tc>
          <w:tcPr>
            <w:tcW w:w="7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cash flow hedges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7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payable on repurchase of common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pPr>
            <w:r>
              <w:rPr/>
              <w:t>—</w:t>
            </w:r>
          </w:p>
        </w:tc>
      </w:tr>
      <w:tr>
        <w:trPr/>
        <w:tc>
          <w:tcPr>
            <w:tcW w:w="7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1,439</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36" w:name="_9273bee2_756e_4eb6_8e1d_d40f5850b951"/>
      <w:bookmarkEnd w:id="1036"/>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1037" w:name="NOTESTOCONSOLIDATEDFINANCIALSTATEMENTS_3"/>
      <w:bookmarkEnd w:id="1037"/>
      <w:r>
        <w:rPr>
          <w:rFonts w:ascii="Times New Roman;Times;serif" w:hAnsi="Times New Roman;Times;serif"/>
          <w:b/>
          <w:sz w:val="20"/>
        </w:rPr>
        <w:t>NOTES TO CONSOLIDATED FINANCIAL STATEMENTS</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(Dollars in thousands, unless otherwise stated)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St. Joe Company, together with its consolidated subsidiaries, is a diversified Florida real estate development, asset management and operating company with all of its real estate assets and operations in Northwest Florida. Approximately 87% of the Company’s real estate is located in Florida’s Bay, Gulf, and Walton counties. Approximately 90% of the Company’s real estate land holdings are located within fifteen miles of the Gulf.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conducts primarily all of its business in the following three reportable segments: 1) residential, 2) hospitality and 3) commercial. See Note 18. </w:t>
      </w:r>
      <w:r>
        <w:rPr>
          <w:rFonts w:ascii="Times New Roman;Times;serif" w:hAnsi="Times New Roman;Times;serif"/>
          <w:i/>
          <w:sz w:val="20"/>
        </w:rPr>
        <w:t>Segment Information</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References to the number of homes related to the unconsolidated Latitude Margaritaville Watersound JV and any amounts derived from these values in the notes to the consolidated financial statements are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all of its majority-owned and controlled subsidiaries, voting interest entities where the Company has a majority voting interest or control and variable interest entities where the Company deems itself the primary beneficiary. Investments in JVs in which the Company is not the primary beneficiary, or a voting interest entity where the Company does not have a majority voting interest or control, but has significant influence are unconsolidated and accounted for by the equity method of accounting. All significant intercompany transactions and balances have been eliminated in consolidation. Certain prior year amounts in the accompanying consolidated financial statements have been reclassified to conform to the current year presentation. The reclassifications had no effect on the Company’s previously reported total assets and liabilities, equity or net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 variable interest entity (“VIE”) is an entity in which a controlling financial interest may be achieved through arrangements that do not involve voting interests. A VIE is required to be consolidated by its primary beneficiary, which is the entity that possesses the power to direct the activities of the VIE that most significantly impact the VIE’s economic performance and has the obligation to absorb losses or the right to receive benefits from the VIE that are significant to the VIE. The Company consolidates VIEs when it is the primary beneficiary of the VIE. The Company continues to evaluate whether it is the primary beneficiary as needed when assessing reconsideration events.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liabilities and disclosure of contingent assets and liabilities at the date of the financial statements and the reported amounts of revenue and expenses during the reporting period. On an ongoing basis, the Company evaluates its estimates and assumptions including investment in real estate, real estate impairment assessments, other investments, accruals, deferred income taxes, allowance for credit losses and revenue recognition.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Real Estate, Net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capitalizes costs directly associated with development and construction of identified real estate projects. These costs include land and common development costs (such as structures, roads, utilities and amenities). The Company may also capitalize indirect costs that relate to specific projects under development or construction.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indirect costs include construction and development administration, legal fees, project administration, interest (up to total interest expense) and real estate property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portion of real estate development costs and estimates for costs to complete are allocated to each unit based on the relative sales value of each unit as compared to the estimated sales value of the total project. These estimates are reevaluated at least annually, and more frequently if warranted by market conditions, changes in the project’s scope or other factors, with any adjustments being allocated prospectively to the remaining property or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capitalization period relating to direct and indirect project costs is the period in which activities necessary to ready a property for its intended use are in progress. The period begins when such activities commence, typically when the Company begins site work or construction on land already owned, and ends when the asset is substantially complete and ready for its intended use. In the event that the activities to ready the asset for its intended use are suspended, the capitalization period will cease until such activities are resumed. If the Company determines a project will not be completed, any previously capitalized costs that are not recoverable are expensed in the period in which the determination is made and recovery is not deemed probable.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real estate, net is carried at cost, net of depreciation and timber depletion, unless circumstances indicate that the carrying value of the assets may not be recoverable. If the Company determines that an impairment exists due to the inability to recover an asset’s carrying value, an impairment charge is recorded to the extent that the carrying value exceeds estimated fair value. If such assets were held for sale, the provision for loss would be recorded to the extent that the carrying value exceeds estimated fair value, including costs to sell.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for operating property is computed on the straight-line method over the estimated useful life of the assets, as follows:</w:t>
      </w:r>
    </w:p>
    <w:p>
      <w:pPr>
        <w:pStyle w:val="TextBody"/>
        <w:bidi w:val="0"/>
        <w:spacing w:before="0" w:after="0"/>
        <w:ind w:left="0" w:right="0" w:hanging="0"/>
        <w:jc w:val="left"/>
        <w:rPr/>
      </w:pPr>
      <w:r>
        <w:rPr/>
        <w:t>​</w:t>
      </w:r>
    </w:p>
    <w:tbl>
      <w:tblPr>
        <w:tblW w:w="4068" w:type="dxa"/>
        <w:jc w:val="left"/>
        <w:tblInd w:w="0" w:type="dxa"/>
        <w:tblLayout w:type="fixed"/>
        <w:tblCellMar>
          <w:top w:w="0" w:type="dxa"/>
          <w:left w:w="0" w:type="dxa"/>
          <w:bottom w:w="0" w:type="dxa"/>
          <w:right w:w="0" w:type="dxa"/>
        </w:tblCellMar>
      </w:tblPr>
      <w:tblGrid>
        <w:gridCol w:w="2356"/>
        <w:gridCol w:w="346"/>
        <w:gridCol w:w="136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96060" cy="175260"/>
                      <wp:effectExtent l="0" t="0" r="0" b="0"/>
                      <wp:wrapNone/>
                      <wp:docPr id="377" name="Frame376"/>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78"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867410" cy="175260"/>
                      <wp:effectExtent l="0" t="0" r="0" b="0"/>
                      <wp:wrapNone/>
                      <wp:docPr id="379" name="Frame378"/>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20 - 40</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improvements</w:t>
            </w:r>
          </w:p>
        </w:tc>
        <w:tc>
          <w:tcPr>
            <w:tcW w:w="3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5 - 25</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3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15 - 20</w:t>
            </w:r>
          </w:p>
        </w:tc>
      </w:tr>
      <w:tr>
        <w:trPr/>
        <w:tc>
          <w:tcPr>
            <w:tcW w:w="23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Leasehold improvements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2 - 25</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Timber</w:t>
            </w:r>
          </w:p>
        </w:tc>
        <w:tc>
          <w:tcPr>
            <w:tcW w:w="3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bl>
    <w:tbl>
      <w:tblPr>
        <w:tblW w:w="10205" w:type="dxa"/>
        <w:jc w:val="left"/>
        <w:tblInd w:w="0" w:type="dxa"/>
        <w:tblLayout w:type="fixed"/>
        <w:tblCellMar>
          <w:top w:w="28" w:type="dxa"/>
          <w:left w:w="28" w:type="dxa"/>
          <w:bottom w:w="28" w:type="dxa"/>
          <w:right w:w="28" w:type="dxa"/>
        </w:tblCellMar>
      </w:tblPr>
      <w:tblGrid>
        <w:gridCol w:w="124"/>
        <w:gridCol w:w="295"/>
        <w:gridCol w:w="9631"/>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Leasehold improvements are amortized on a straight-line basis over the shorter of the minimum lease term or the estimated useful life of the assets.</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Long-lived assets include the Company’s investments in land holdings, operating and development properties and property and equipment, which are carried at cost, net of depreciation and timber depletion. The Company reviews its long-lived assets for impairment quarterly to determine whether events or changes in circumstances indicate that the carrying value of an asset may not be recoverable. As part of the Company’s review for impairment of its long-lived assets, the Company reviews the long-lived asset’s carrying value, current period actual financial results as compared to prior period and forecasted results contained in the Company’s business plan and any other events or changes in circumstances to identify whether an indicator of potential impairment may exist. Some of the events or changes in circumstances that are considered by the Company as indicators of potential impairment include:</w:t>
      </w:r>
    </w:p>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prolonged decrease in the value to below cost or demand for the Company’s properties;</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expected use or development plans for the Company’s properties;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change in strategy that would affect the value of the Company’s properties;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operating or cash flow loss for an operating property;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accumulation of costs in excess of the projected costs for development or operating property; and</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adverse change that may affect the value of the property.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uses varying methods to determine if an impairment exists, such as (i) considering indicators of potential impairment, (ii) analyzing expected future cash flows and comparing the expected future undiscounted cash flows of the property to its carrying value or (iii) determining market resale values.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projects under development or construction, an estimate of undiscounted future cash flows is performed using estimated future expenditures necessary to develop and maintain the existing project and using management’s best estimates about future sales prices and holding periods. The projection of undiscounted cash flows requires that management develop various assumptions including:</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pace of sales of homesites based on estimated market conditions and the Company’s development plans;</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pricing and projected price appreciation over time;</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trajectory of price appreciation over the estimated selling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the estimated development and selling periods, which can differ depending on the size of the development and the number of phases to be developed;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remaining development costs, including the extent of infrastructure or amenities included in such development costs;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costs to be incurred over the selling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bulk land sales of undeveloped and developed parcels, future pricing is based upon estimated developed homesite pricing less estimated development costs and estimated developer profit;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commercial, multi-family, self-storage and senior living development property, future pricing is based on sales of comparable property in similar markets; and</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liquidity is available to fund continued development.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operating properties, an estimate of undiscounted cash flows also requires management to make assumptions about the use and disposition of such properties. These assumptions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in hotels, other rental units and vacation rental homes, use of average occupancy and room rates, revenue from food and beverage and other amenity operations, operating expenses and capital expenditures, and eventual disposition of such properties as hotels, private residence vacation units or condominiums, based on current prices for similar units appreciated to the expected sale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in commercial, multi-family, self-storage, or retail property, use of future occupancy and rental rates, operating expenses and capital expenditures and the amount of proceeds to be realized upon eventual disposition of such property at a terminal capitalization rate;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in club, marina and retail assets, use of revenue from membership dues, future golf rounds and greens fees, boat slip rentals and boat storage fees, merchandise and other hospitality operations, operating expenses and capital expenditures, and the amount of proceeds to be realized upon eventual disposition of such properties at a multiple of terminal year cash flows.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Homesites substantially completed and ready for sale are measured at the lower of carrying value or fair value, including costs to sell. Management identifies homesites as being substantially completed and ready for sale when the properties are being actively marketed with intent to sell such properties in the near term and under current market conditions. Other homesites, which management does not intend to sell in the near term under current market conditions, are evaluated for impairment based on management’s best estimate of the long-term use and eventual disposition of such property.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properties that management does not intend to sell in the near term under current market conditions and has the ability to hold are evaluated for impairment based on management’s best estimate of the long-term use and eventual disposition of the property. The results of impairment analyses for development and operating properties are particularly dependent on the estimated holding and selling period for each asset group.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 property is considered impaired, the impairment charge is determined by the amount the property’s carrying value exceeds its fair value. The Company uses varying methods to determine fair value, such as (i) analyzing expected future cash flows, (ii) determining resale values in a given market (iii) applying a capitalization rate to net operating income using prevailing rates in a given market or (iv) applying a multiplier to revenue using prevailing rates in a given market. The fair value of a property may be derived either from discounting projected cash flows at an appropriate discount rate, through appraisals of the underlying property, or a combination thereof.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classifies the assets and liabilities of a long-lived asset as held-for-sale when management approves and commits to a formal plan of sale and it is probable that a sale will be completed. The carrying value of the assets held-for-sale are then recorded at the lower of their carrying value or fair value, including costs to sell.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Timber Inventory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estimates its standing timber inventory on an annual basis utilizing a process referred to as a “timber cruise.” Specifically, the Company conducts field measurements of the number of trees, tree height and tree diameter on a sample area equal to approximately 20% of the Company’s timber holdings each year. Inventory data is used to calculate volumes and products along with growth projections to maintain accurate data. Industry practices are used for modeling, including growth projections, volume and product classifications. A depletion rate is established annually by dividing merchantable inventory cost by standing merchantable inventory volume.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entered into JVs in which the Company is not the primary beneficiary or does not have a majority voting interest or control. The Company’s investment in these JVs is accounted for by the equity method of accounting. The Company evaluates its investment in unconsolidated JVs for impairment during each reporting period. A series of operating losses of an investee or other factors may indicate that a decrease in the value of the Company’s investment in the unconsolidated JV has occurred. The amount of impairment recognized is the excess of the investment’s carrying value over its estimated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Distributions from equity method investments are classified in the statements of cash flows using the cumulative earnings approach. Under the cumulative earnings approach, cumulative distributions received that do not exceed cumulative equity in earnings are classified as cash inflows from operating activities and cumulative distributions received in excess of cumulative equity in earnings are classified as cash inflows from investing activities. Some of the Company’s unconsolidated JVs have entered into financing agreements, where the Company or its JV partners have provided guarantees. See Note 4. </w:t>
      </w:r>
      <w:r>
        <w:rPr>
          <w:rFonts w:ascii="Times New Roman;Times;serif" w:hAnsi="Times New Roman;Times;serif"/>
          <w:i/>
          <w:sz w:val="20"/>
        </w:rPr>
        <w:t>Joint Ventures</w:t>
      </w:r>
      <w:r>
        <w:rPr>
          <w:rFonts w:ascii="Times New Roman;Times;serif" w:hAnsi="Times New Roman;Times;serif"/>
          <w:sz w:val="20"/>
        </w:rPr>
        <w:t xml:space="preserve"> and Note 19.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w:t>
      </w:r>
      <w:r>
        <w:rPr>
          <w:rFonts w:ascii="inherit" w:hAnsi="inherit"/>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and cash equivalents can include cash on hand, bank demand accounts, money market instruments and U.S. Treasury Bills having original maturities at acquisition date, of ninety days or less.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Investments – debt securities consist of available-for-sale securities recorded at fair value, which is established through external pricing services that use quoted market prices and pricing data from recently executed market transactions. Unrealized gains and losses on investments, net of tax, are recorded in other comprehensive income (loss). Realized gains and losses on investments are determined using the specific identification method. The amortized cost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debt securities are adjusted for amortization of premiums and accretion of discounts to maturity computed under the effective interest method. Such amortization and accretion are included in investment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available-for-sale securities where fair value is less than cost, credit related impairment, if any, will be recognized through an allowance for credit losses and adjusted each period for changes in credit risk. If the Company intends to sell the security, or more likely than not will be required to sell the security before recovery of its amortized cost basis, any allowance for credit losses will be written off and the amortized cost basis will be written down to the security's fair value at the reporting date with any incremental impairment reported in earnings.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both December 31, 2025 and 2024, the Company did not have investments classified as available-for-sale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Fair value is an exit price, representing the amount that would be received by selling an asset or paying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Level 1. Quoted prices in active markets for identical assets or liabilities;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Level 2. Inputs, other than the quoted prices in active markets, that are observable either directly or indirectly; and</w:t>
      </w:r>
    </w:p>
    <w:p>
      <w:pPr>
        <w:pStyle w:val="TextBody"/>
        <w:pBdr/>
        <w:bidi w:val="0"/>
        <w:spacing w:before="0" w:after="240"/>
        <w:ind w:left="360" w:right="0" w:hanging="720"/>
        <w:jc w:val="left"/>
        <w:rPr>
          <w:rFonts w:ascii="Times New Roman;Times;serif" w:hAnsi="Times New Roman;Times;serif"/>
          <w:sz w:val="20"/>
        </w:rPr>
      </w:pPr>
      <w:r>
        <w:rPr>
          <w:rFonts w:ascii="Times New Roman;Times;serif" w:hAnsi="Times New Roman;Times;serif"/>
          <w:sz w:val="20"/>
        </w:rPr>
        <w:t>Level 3. Unobservable inputs in which there is little or no market data, such as internally-developed valuation models, which require the reporting entity to develop its own assumptions.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Comprehensive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comprehensive income includes unrealized gains and losses on available-for-sale securities. Comprehensive income also includes changes in the fair value of effective cash flow hedges, which are subsequently reclassified into earnings in the period during which the hedged transaction affects earnings.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Derivatives and Hedging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entered into interest rate swap agreements designated as cash flow hedges to manage the interest rate risk associated with variable rate debt. For cash flow hedges that are effective, the gain or loss on the derivative is reported in other comprehensive income and is reclassified into earnings in the same period during which the hedged transaction affects earnings. Cash flows from derivatives are classified in the consolidated statements of cash flows in the same category as the item being hedged. The Company accounts for the changes in fair value of derivatives that do not qualify for hedge accounting treatment directly in earnings.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Receivables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receivables primarily include homesite sales receivable, leasing receivables, membership fees, hospitality receivables and other receivables. At each reporting period, receivables in the scope of Accounting Standards Codification (“ASC”) </w:t>
      </w:r>
      <w:r>
        <w:rPr>
          <w:rFonts w:ascii="Times New Roman;Times;serif" w:hAnsi="Times New Roman;Times;serif"/>
          <w:i/>
          <w:sz w:val="20"/>
        </w:rPr>
        <w:t>Financial Instruments—Credit Losses</w:t>
      </w:r>
      <w:r>
        <w:rPr>
          <w:rFonts w:ascii="Times New Roman;Times;serif" w:hAnsi="Times New Roman;Times;serif"/>
          <w:sz w:val="20"/>
        </w:rPr>
        <w:t xml:space="preserve"> (Topic 326) are pooled by type and judgements are made based on historical losses and expected credit losses based on economic trends to determine the allowance for credit losses primarily using the aging method. Actual losses could differ from those estimates. As of December 31, 2025, the Company adopted ASU 2025-05 and elected the practical expedient to assume current conditions as of the balance sheet date do not change for the remaining life of the assets. Write-offs are recorded when the Company concludes that all or a portion of the receivable is no longer collectible. The Company does not measure an allowance for credit losses for accrued interest receivables and will write off uncollectible balances in a timely manner, which is within 90 days from when it is determined uncollectible.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Inventory primarily consists of retail products, operating supplies and beverages, which are reported at the lower of cost or net realizable value. Cost is determined using weighted-average cost basis or specific identification.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Property and equipment is stated at cost, net of accumulated depreciation. Major improvements are capitalized while maintenance and repairs are expensed in the period the cost is incurred. Depreciation is computed using the straight-line method over the estimated useful life of various assets, as follows:</w:t>
      </w:r>
    </w:p>
    <w:p>
      <w:pPr>
        <w:pStyle w:val="TextBody"/>
        <w:bidi w:val="0"/>
        <w:spacing w:before="0" w:after="0"/>
        <w:ind w:left="0" w:right="0" w:hanging="0"/>
        <w:jc w:val="left"/>
        <w:rPr/>
      </w:pPr>
      <w:r>
        <w:rPr/>
        <w:t>​</w:t>
      </w:r>
    </w:p>
    <w:tbl>
      <w:tblPr>
        <w:tblW w:w="3978" w:type="dxa"/>
        <w:jc w:val="left"/>
        <w:tblInd w:w="0" w:type="dxa"/>
        <w:tblLayout w:type="fixed"/>
        <w:tblCellMar>
          <w:top w:w="0" w:type="dxa"/>
          <w:left w:w="0" w:type="dxa"/>
          <w:bottom w:w="0" w:type="dxa"/>
          <w:right w:w="0" w:type="dxa"/>
        </w:tblCellMar>
      </w:tblPr>
      <w:tblGrid>
        <w:gridCol w:w="2266"/>
        <w:gridCol w:w="346"/>
        <w:gridCol w:w="136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438910" cy="175260"/>
                      <wp:effectExtent l="0" t="0" r="0" b="0"/>
                      <wp:wrapNone/>
                      <wp:docPr id="380" name="Frame379"/>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1"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867410" cy="175260"/>
                      <wp:effectExtent l="0" t="0" r="0" b="0"/>
                      <wp:wrapNone/>
                      <wp:docPr id="382" name="Frame381"/>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Autos, trucks and aircraft</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5 - 10</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5 - 10</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3 - 10</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3 - 5</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Railroad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15 - 30</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 - The Company as Lessee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Finance lease right-of-use assets are included within property and equipment, net and operating lease right-of-use assets are included within other assets on the consolidated balance sheets, which represent the Company’s right to use an underlying asset during a lease term for leases in excess of one year. Corresponding finance lease liabilities and operating lease liabilities are included within accounts payable and other liabilities on the consolidated balance sheets and are related to the Company’s obligation to make lease payments for leases in excess of one year. Right-of-use assets and liabilities are recognized at lease commencement date based on the present value of future minimum lease payments over the lease term. The Company uses its incremental borrowing rate to determine the present value of the lease payments since the rate implicit in each lease is not readily determinable. The Company does not separate lease components from non-lease components, which are presented as a single component when allocating contract consideration. The Company recognizes short-term (twelve months or less) lease payments in profit or loss on a straight-line basis over the term of the lease and variable lease payments in the period in which the obligation for those payments is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Deferred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revenue consists of amounts received related to incomplete performance obligations. Deferred revenue primarily includes club initiation fees, which are recognized as revenue over the estimated average duration of membership, which is evaluated periodically. Deferred revenue also includes land sales that are recognized as revenue once the Company has transferred control to the customer and all revenue recognition criteria are met.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Advertising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Advertising costs are expensed as services are incurred. Advertising costs of $5.0 million, $3.9 million and $3.8 million in 2025, 2024 and 2023, respectively, are included within cost of revenue and corporate and other operating expenses in the consolidated statements of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Company’s provision for income taxes includes the current tax owed on the current period earnings, as well as deferred income taxes, which reflects the future tax consequences attributable to differences between the financial statement carrying amounts of existing assets and liabilities and their respective income tax bases. Deferred tax assets and liabilities are measured using enacted tax rates expected to apply to taxable income in the years in which those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temporary differences are expected to be recovered or settled. Changes in existing tax laws and rates, their related interpretations, as well as the uncertainty generated by the prospect of tax legislation in the future may affect the amounts of deferred tax liabilities or the realizability of deferred tax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tax positions taken or expected to take in the tax returns, the Company applies a more likely than not assessment (i.e., there is a greater than 50 percent chance) about whether the tax position will be sustained upon examination by the appropriate tax authority with full knowledge of all relevant information. Amounts recorded for uncertain tax positions are periodically assessed, including the evaluation of new facts and circumstances, to ensure sustainability of the position. The Company records interest related to unrecognized tax benefits, if any, in interest expense and penalties in other income, net in the consolidated statements of income. The Company applies the aggregate portfolio method to account for income tax effects in accumulated other comprehensive income with respect to available-for-sale debt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Risks and Uncertainties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the Company’s real estate assets are concentrated in Northwest Florida. Uncertain economic conditions could have an adverse impact on the Company’s operations and asset values.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macroeconomic factors such as uncertainty over tariffs, inflation, elevated interest rates and higher insurance costs for consumers and overall consumer confidence, among other things, continued to produce economic headwinds and impacted buyer sentiment in many parts of the country, the Company’s segments continued to generate positive financial results throughout 2025. The Company believes this is primarily due to the continued growth of Northwest Florida as a result of net migration, which the Company attributes to the region’s high quality of life, natural beauty and outstanding amenities.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While elevated interest rates, market conditions in their home states and higher insurance costs have negatively impacted or delayed the ability of some buyers to obtain financing or sell their existing home in their home state, the impact has been partially offset by the net migration into the Company’s markets and the number of cash buyers. Market conditions have not caused an increase in cancellation rates as homebuilders have continued to perform on their contractual obligations with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operations may be affected by seasonal fluctuations. The revenues and earnings from the Company’s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the Company has no, or significantly less, revenue from residential or commercial real estate sales. The Company may also choose to operate rather than lease assets, lease rather than sell assets, or sell improved rather than unimproved assets that may delay revenue and profits.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revenues are typically higher in the second and third quarters, and vary depending on the timing of holidays and school breaks. Commercial real estate sales tend to be non-recurring. Projects depend on uncertain demand. Extraordinary events such as hurricanes may dramatically change demand and pricing for products and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Given the Company’s diverse portfolio of residential holdings, the mix of sales and pricing from different communities may impact revenue and margins period over period. Further discussion of the potential impacts on the Company’s business from the current macroeconomic environment are included in Part I. Item 1A.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Financial instruments that potentially subject the Company to a concentration of credit risk consist of cash, cash equivalents, other receivables and investments held by special purpose entity or entities (“SPE”). The Company deposits and invests cash with local, regional and national financial institutions and as of December 31, 2025 these balances exceed the amount of FDIC insurance provided on such deposits by $60.4 million. In addition, as of December 31, 2025, the Company had $59.0 million invested in short-term U.S. Treasury Bills and $5.1 million invested in U.S. Treasury Money Market Funds classified as cash and cash equivalents. As of December 31, 2025, three homebuilder customers represented approximately 19.6%, 14.4% and 11.1%, respectively, and as of December 31, 2024, one homebuilder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38" w:name="Tc_6uMgrGjv7kSN8sLfB1JsUw_14_9"/>
      <w:bookmarkStart w:id="1039" w:name="Tc_kjXsOGQQBkmaCGlz08BtcQ_14_6"/>
      <w:bookmarkStart w:id="1040" w:name="Tc_PuunJji8VUewIB1t4AL64A_14_3"/>
      <w:bookmarkStart w:id="1041" w:name="Tc_k9M7yWzAyUCaOIU7qyeAoA_14_0"/>
      <w:bookmarkStart w:id="1042" w:name="Tc_uFwR1n0n6E-77AxfwVT6og_13_9"/>
      <w:bookmarkStart w:id="1043" w:name="Tc_ikMd74G0NUapAB7gvOhxaA_13_6"/>
      <w:bookmarkStart w:id="1044" w:name="Tc_bWXDRxHINkWrSfDcjTsVFw_13_3"/>
      <w:bookmarkStart w:id="1045" w:name="Tc_kQ_pbvs7MkqyHd-mElT8Rw_13_0"/>
      <w:bookmarkStart w:id="1046" w:name="Tc_tLqh-fC7i0W6WthnlqG0HQ_12_0"/>
      <w:bookmarkStart w:id="1047" w:name="Tc_rklBTWx8NU-S2G-DvGgPBQ_10_0"/>
      <w:bookmarkStart w:id="1048" w:name="Tc_JV-4hRbaWkWgw6GCypcOUA_9_0"/>
      <w:bookmarkStart w:id="1049" w:name="Tc_q6UKcqIFJkqlWiSKGQP-yw_8_0"/>
      <w:bookmarkStart w:id="1050" w:name="Tc_LD7dMic7EUSgm8cmvGrhCA_7_0"/>
      <w:bookmarkStart w:id="1051" w:name="Tc_V3-wlizBx0qexl626FLJGQ_5_9"/>
      <w:bookmarkStart w:id="1052" w:name="Tc_Vyxd0uFiP0-5KXAjm6_ZwA_5_6"/>
      <w:bookmarkStart w:id="1053" w:name="Tc_am-ApDa-2km3sxZTqSW8PA_5_3"/>
      <w:bookmarkStart w:id="1054" w:name="Tc_xRHwXsiQK0G9nSIwgDUcdA_5_0"/>
      <w:bookmarkStart w:id="1055" w:name="Tc_ZYBKgBBjtkm084txb7XAMw_4_0"/>
      <w:bookmarkStart w:id="1056" w:name="Tc_RWETs1RK70WsTXnKNmsUww_3_3"/>
      <w:bookmarkStart w:id="1057" w:name="Tc_6gROKRuqskeXK2JQm8rK6g_2_9"/>
      <w:bookmarkStart w:id="1058" w:name="Tc_iP3JoYfTpkCFRbX7zHAK-g_2_6"/>
      <w:bookmarkStart w:id="1059" w:name="Tc_ErrWzElK4UK9TQqennmWgQ_2_3"/>
      <w:bookmarkStart w:id="1060" w:name="Tc_WhuN9z2qh0aWtFay2Wb-Tg_1_3"/>
      <w:bookmarkStart w:id="1061" w:name="_d5a228ca_63d5_459a_852d_31fd0a70461c"/>
      <w:bookmarkStart w:id="1062" w:name="_afb95e75_a04a_4ada_989c_698f2feeacc6"/>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r>
        <w:rPr>
          <w:rFonts w:ascii="Times New Roman;Times;serif" w:hAnsi="Times New Roman;Times;serif"/>
          <w:sz w:val="20"/>
        </w:rPr>
        <w:t>customer represented approximately 16.0%, of the Company’s receivables, which consists of accounts receivable, net and homesites sales receivable included in other assets on the consolidated balance sheets.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Basic earnings per share is calculated by dividing net income attributable to the Company by the basic weighted average number of common shares outstanding for the period. Diluted earnings per share is calculated by dividing net income attributable to the Company by the weighted average number of shares of common stock outstanding for the period, including potential dilutive common shares. The treasury stock method is used to determine the effect on diluted earnings. As of December 31, 2025, 2024 and 2023, the Company had 60,217, 65,688 and 57,923 respectively, unvested shares of restricted stock. During 2025, 2024 and 2023, 44,373, 45,248 and 46,547 respectively, potentially dilutive restricted stock units were excluded from the calculation of diluted income per share, since the effect would have been anti-dilutive based on the application of the treasury stock method. See Note 14. </w:t>
      </w:r>
      <w:r>
        <w:rPr>
          <w:rFonts w:ascii="Times New Roman;Times;serif" w:hAnsi="Times New Roman;Times;serif"/>
          <w:i/>
          <w:sz w:val="20"/>
        </w:rPr>
        <w:t>Stockholders’ Equity</w:t>
      </w:r>
      <w:r>
        <w:rPr>
          <w:rFonts w:ascii="Times New Roman;Times;serif" w:hAnsi="Times New Roman;Times;serif"/>
          <w:sz w:val="20"/>
        </w:rPr>
        <w:t xml:space="preserve"> for additional information related to the issuance of common stock for employee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computation of basic and diluted earnings per share are as follows:</w:t>
      </w:r>
    </w:p>
    <w:tbl>
      <w:tblPr>
        <w:tblW w:w="8558" w:type="dxa"/>
        <w:jc w:val="left"/>
        <w:tblInd w:w="0" w:type="dxa"/>
        <w:tblLayout w:type="fixed"/>
        <w:tblCellMar>
          <w:top w:w="0" w:type="dxa"/>
          <w:left w:w="0" w:type="dxa"/>
          <w:bottom w:w="0" w:type="dxa"/>
          <w:right w:w="0" w:type="dxa"/>
        </w:tblCellMar>
      </w:tblPr>
      <w:tblGrid>
        <w:gridCol w:w="4336"/>
        <w:gridCol w:w="109"/>
        <w:gridCol w:w="109"/>
        <w:gridCol w:w="211"/>
        <w:gridCol w:w="1036"/>
        <w:gridCol w:w="109"/>
        <w:gridCol w:w="211"/>
        <w:gridCol w:w="1036"/>
        <w:gridCol w:w="109"/>
        <w:gridCol w:w="211"/>
        <w:gridCol w:w="10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753360" cy="175260"/>
                      <wp:effectExtent l="0" t="0" r="0" b="0"/>
                      <wp:wrapNone/>
                      <wp:docPr id="383" name="Frame382"/>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4"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9215" cy="175260"/>
                      <wp:effectExtent l="0" t="0" r="0" b="0"/>
                      <wp:wrapNone/>
                      <wp:docPr id="385" name="Frame3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6"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57860" cy="175260"/>
                      <wp:effectExtent l="0" t="0" r="0" b="0"/>
                      <wp:wrapNone/>
                      <wp:docPr id="387" name="Frame3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88" name="Frame3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89"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57860" cy="175260"/>
                      <wp:effectExtent l="0" t="0" r="0" b="0"/>
                      <wp:wrapNone/>
                      <wp:docPr id="390" name="Frame3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1" name="Frame3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2"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86435" cy="175260"/>
                      <wp:effectExtent l="0" t="0" r="0" b="0"/>
                      <wp:wrapNone/>
                      <wp:docPr id="393" name="Frame39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400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8558"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004" w:type="dxa"/>
            <w:gridSpan w:val="8"/>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thousands except per share amounts)</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Income </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115,627</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74,189</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77,712</w:t>
            </w:r>
          </w:p>
        </w:tc>
      </w:tr>
      <w:tr>
        <w:trPr/>
        <w:tc>
          <w:tcPr>
            <w:tcW w:w="43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57,944,092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58,326,286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58,312,878</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shares from restricted stock</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15,844</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20,440</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11,376</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57,959,936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58,346,726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58,324,254</w:t>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per share attributable to the Company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income per share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income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1.33</w:t>
            </w:r>
          </w:p>
        </w:tc>
      </w:tr>
    </w:tbl>
    <w:p>
      <w:pPr>
        <w:pStyle w:val="TextBody"/>
        <w:bidi w:val="0"/>
        <w:spacing w:before="0" w:after="20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and Revenue Recognition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consists primarily of real estate sales, hospitality operations and leasing operations. Taxes collected from customers and remitted to governmental authorities (e.g., sales tax) are excluded from revenue, cost of revenue and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accordance with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(“Topic 606”), revenue is recognized to depict the transfer of promised goods or services to customers in an amount that reflects the consideration to which the entity expects to be entitled in exchange for those goods or services by applying the following steps; (i) identifying the contract(s) with a customer, (ii) identifying the performance obligations in the contract, (iii) determining the transaction price, (iv) allocating the transaction price to the performance obligations in the contract and (v) recognizing revenue when (or as) the Company satisfies a performance obligation. Lease related revenue is excluded from ASC Topic 606 and is accounted for under ASC Topic 842, </w:t>
      </w:r>
      <w:r>
        <w:rPr>
          <w:rFonts w:ascii="Times New Roman;Times;serif" w:hAnsi="Times New Roman;Times;serif"/>
          <w:i/>
          <w:sz w:val="20"/>
        </w:rPr>
        <w:t>Leases</w:t>
      </w:r>
      <w:r>
        <w:rPr>
          <w:rFonts w:ascii="Times New Roman;Times;serif" w:hAnsi="Times New Roman;Times;serif"/>
          <w:sz w:val="20"/>
        </w:rPr>
        <w:t xml:space="preserve"> (“Topic 842”). The following summary details the Company’s revenue and the related timing of 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real estate sales, including homesites, homes, commercial properties, operating properties, parcels of entitled or undeveloped land, or land with limited development and/or entitlements and forestry land, is recognized at the point in time when a sale is closed and title and control has been transferred to the buyer.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Residential real estate revenue includes (i) the sale of developed homesites; (ii) the sale of completed homes; (iii) the sale of parcels of entitled or undeveloped land or homesites; (iv) a homesite residual on homebuilder sales that provides the Company a percentage of the sale price of the completed home if the home price exceeds a negotiated threshold; (v) the sale of tap and impact fee credits; (vi) marketing fees; and (vii) other fees on certain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Estimated homesite residuals and certain estimated fees are recognized as revenue at the time of sale to homebuilders, subject to constraints. Any change in material circumstances from the estimated amounts will be updated at each reporting period. The variable consideration for homesite residuals and certain estimated fees are based on historical experience and are recognized as revenue when it can be reasonably estimated and only to the extent it is probable that a significant reversal in the estimated amount of cumulative revenue will not occur when uncertainties are resolved. The years ended December 31, 2025, 2024 and 2023, include real estate revenue of $10.9 million, $3.6 million and $24.0 million, respectively, of estimated homesite residuals and $2.8 million, $2.5 million and $5.0 million, respectively, of estimated fees related to homebuilder homesite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Timber revenue from the sale of the Company’s forestry products is primarily from open market sales of timber on site without the associated delivery costs and is derived from either pay-as-cut sales contracts or timber bid sales.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a pay-as-cut sales contract, the risk of loss and title to the specified timber transfers to the buyer when cut by the buyer, and the buyer or some other third party is responsible for all logging and hauling costs, if any. Revenue is recognized at the point in time when risk of loss and title to the specified timber are transferred.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Timber bid sales are agreements in which the buyer agrees to purchase and harvest specified timber (i.e., mature pulpwood and/or sawlogs) on a tract of land over the term of the contract. Unlike a pay-as-cut sales contract, risk of loss and title to the trees transfer to the buyer when the contract is signed and revenue is recognized at that point in time accordingly. The buyer pays the full purchase price when the contract is signed and the Company does not have any additional performance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real estate revenue includes real estate brokerage and title insurance agency business revenue, which is recognized at the point in time services are provided and represents a single performance obligation with a fixed transaction price. Other real estate revenue also includes the sale of mitigation bank credits, which is recognized at a point in time.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Hospitality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hospitality segment features the Watersound Club, hotel operations, food and beverage operations, golf courses, beach clubs, retail outlets, gulf-front vacation rentals, marinas and other entertainment offerings. The Company’s hospitality operations generate revenue from membership sales, golf courses, lodging at the Company’s hotels, short-term vacation rentals, food and beverage operations, merchandise sales, marina operations (including boat slip rentals, boat storage fees and fuel sales), other resort and entertainment activities and beach clubs, which includes food and beverage operations of the WaterColor Beach Club.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revenue is generally recognized at the point in time services are provided and represent a single performance obligation with a fixed transaction price. Lodging at the Company’s hotels, short-term vacation rentals owned by the Company and food and beverage operations of the WaterColor Beach Club generate revenue from service and/or daily rental fees, recognized at the point in time services are provided. Daily play at the golf courses, food and beverage operations, merchandise sales, marina storage and fuel sales, other resort and entertainment activities, and other service fees are recognized at the point of sale. Hospitality revenue recognized over time includes non-refundable club membership initiation fees, club membership dues, and other membership fees. Non-refundable initiation fees are deferred and recognized ratably over time, which is the estimated membership period. Club membership revenue consists of monthly dues, which are recognized monthly over time as access is provided for the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063" w:name="Tc_7RWgkCsSw0mdGWagGu4sHg_13_14"/>
      <w:bookmarkStart w:id="1064" w:name="Tc_urbOa4OGdEWmkQd2a_eZ8Q_13_11"/>
      <w:bookmarkStart w:id="1065" w:name="Tc_i0U0KaxdH0yW_D_r0-xDtg_13_8"/>
      <w:bookmarkStart w:id="1066" w:name="Tc_CO574tu1q0WkQI5VCnBfLw_13_5"/>
      <w:bookmarkStart w:id="1067" w:name="Tc_9OKgdrf_3EGnwQ7f3dCNZw_13_2"/>
      <w:bookmarkStart w:id="1068" w:name="Tc_kM2a5kMcckGWdDX1d8ftfg_13_0"/>
      <w:bookmarkStart w:id="1069" w:name="Tc_S8R4u2y2Qk6UpueLZATxdw_12_0"/>
      <w:bookmarkStart w:id="1070" w:name="Tc_8WmbWrIFBka6nmQFtPH05w_11_12"/>
      <w:bookmarkStart w:id="1071" w:name="Tc_4rXIpwiPgkqdS-PfYBKBOA_11_9"/>
      <w:bookmarkStart w:id="1072" w:name="Tc_UGjIPWKzcEyaHircfMWS8Q_11_3"/>
      <w:bookmarkStart w:id="1073" w:name="Tc_LvEteIjk_UqC56ehzqN5nw_11_0"/>
      <w:bookmarkStart w:id="1074" w:name="Tc_I0mCvFdprkaw58ZCKVyFpw_10_14"/>
      <w:bookmarkStart w:id="1075" w:name="Tc_o3WM-uwCRUOo3gl7BLlklw_10_11"/>
      <w:bookmarkStart w:id="1076" w:name="Tc_ntDoO1Ru80Gyw3QArOo1oQ_10_8"/>
      <w:bookmarkStart w:id="1077" w:name="Tc_YPHhmDDGekimBU_mi3PDjg_10_5"/>
      <w:bookmarkStart w:id="1078" w:name="Tc_Jy4H28KSMkiZVel1FC6oag_10_2"/>
      <w:bookmarkStart w:id="1079" w:name="Tc_V_Lbjw7sk0umUka01kPVxw_10_0"/>
      <w:bookmarkStart w:id="1080" w:name="Tc_sTjOwqvYLEWI8B_Q9Cv61Q_9_0"/>
      <w:bookmarkStart w:id="1081" w:name="Tc_G2qhUvv7bky8VUKtm2CsaA_7_14"/>
      <w:bookmarkStart w:id="1082" w:name="Tc_KOO6ntUXwku2LVB7LYSk-Q_7_11"/>
      <w:bookmarkStart w:id="1083" w:name="Tc_5jXnyxyqXE-4crQEsgxwOA_7_8"/>
      <w:bookmarkStart w:id="1084" w:name="Tc_FF_UCYkliEyL-1QYqn7C1w_7_5"/>
      <w:bookmarkStart w:id="1085" w:name="Tc_DISdodLOTUSXoZkENUYzAQ_7_2"/>
      <w:bookmarkStart w:id="1086" w:name="Tc_sa5skSdcmEq8drWjQ4HnBw_7_0"/>
      <w:bookmarkStart w:id="1087" w:name="Tc_R9eWVArJq0e8voYj7TMJVg_6_0"/>
      <w:bookmarkStart w:id="1088" w:name="Tc_iuDMnV6C-UatsGBvuX2Egw_5_12"/>
      <w:bookmarkStart w:id="1089" w:name="Tc_33U1tKs-OEOTpJh8cipo7w_5_9"/>
      <w:bookmarkStart w:id="1090" w:name="Tc_rzRKIc3rTEyzlUfHuldFBw_5_3"/>
      <w:bookmarkStart w:id="1091" w:name="Tc_xJAu6oxe1US4ClHttIRRcA_5_0"/>
      <w:bookmarkStart w:id="1092" w:name="Tc_TzjOJ7Req0CGcYw5kDOxTg_4_14"/>
      <w:bookmarkStart w:id="1093" w:name="Tc_okvPGceOokS6JJdGHc0-xQ_4_11"/>
      <w:bookmarkStart w:id="1094" w:name="Tc_cbaoPMuas0q8ZPSa1kc91g_4_8"/>
      <w:bookmarkStart w:id="1095" w:name="Tc_UFCeXeijR0u5Q6_bvq9gTA_4_6"/>
      <w:bookmarkStart w:id="1096" w:name="Tc_mbIft0hop0O4Yq6Thnhfrg_4_5"/>
      <w:bookmarkStart w:id="1097" w:name="Tc_bW87WS54OEqC7G_QCF2-VA_4_2"/>
      <w:bookmarkStart w:id="1098" w:name="Tc_IWeieoPKZkGiYUEHxzN_Fw_4_0"/>
      <w:bookmarkStart w:id="1099" w:name="Tc_fnuIJknsk0eFFGuvamAjAA_3_0"/>
      <w:bookmarkStart w:id="1100" w:name="Tc_eQmCL2JiXEumhWV0_mwoag_2_14"/>
      <w:bookmarkStart w:id="1101" w:name="Tc_it-2kwcAPkeS_bXh9_mgcQ_2_11"/>
      <w:bookmarkStart w:id="1102" w:name="Tc_jEq58_QVbk685jgfXL4VPw_2_8"/>
      <w:bookmarkStart w:id="1103" w:name="Tc_YLlAaS9-p0u0FTmfjlzHFQ_2_5"/>
      <w:bookmarkStart w:id="1104" w:name="Tc_35aurRBeNEedP06vHqsFOA_2_2"/>
      <w:bookmarkStart w:id="1105" w:name="Tc_qnKj2MUBRkmnEzn3RUy0QA_1_2"/>
      <w:bookmarkStart w:id="1106" w:name="_46c289e5_37a0_4da6_a4de_b8c6992be894"/>
      <w:bookmarkStart w:id="1107" w:name="Tc_ttVwPCAM7kWQhhZiM7WHeA_13_14"/>
      <w:bookmarkStart w:id="1108" w:name="Tc_CSEKQerYr0y7C9u1M_OBrw_13_11"/>
      <w:bookmarkStart w:id="1109" w:name="Tc_ROIuB_gSsEy4p008TsAeVw_13_8"/>
      <w:bookmarkStart w:id="1110" w:name="Tc_TI73OcFEhk2ttT7NY6MPkw_13_5"/>
      <w:bookmarkStart w:id="1111" w:name="Tc_VyXNV7zQlESvFUtHOyP1mA_13_2"/>
      <w:bookmarkStart w:id="1112" w:name="Tc_at6PotEQdUCvIkdUcG_6qQ_13_0"/>
      <w:bookmarkStart w:id="1113" w:name="Tc_KtRBaETcf0y5UJ1Uzb5dLg_12_0"/>
      <w:bookmarkStart w:id="1114" w:name="Tc_HU1ZclFMT0q_SLBkj2MVng_11_12"/>
      <w:bookmarkStart w:id="1115" w:name="Tc_xDS5CZOAlEW5i-tIyr5AGw_11_9"/>
      <w:bookmarkStart w:id="1116" w:name="Tc_ntNL--WJ50udTRT93dLUFA_11_3"/>
      <w:bookmarkStart w:id="1117" w:name="Tc_QlGz0GGLbkWS2gErQ_g1Hg_11_0"/>
      <w:bookmarkStart w:id="1118" w:name="Tc_8020WtTlCEqD5njBd35oJw_10_14"/>
      <w:bookmarkStart w:id="1119" w:name="Tc_pPGaM7whLkGM37DkYEVrnQ_10_11"/>
      <w:bookmarkStart w:id="1120" w:name="Tc_4OLPdKUgm0ycZegbBStoCg_10_8"/>
      <w:bookmarkStart w:id="1121" w:name="Tc_HDtj5NwjM0SKWlECT1aVHQ_10_5"/>
      <w:bookmarkStart w:id="1122" w:name="Tc_PHTAJWyyOkK02KYLtOyJPg_10_2"/>
      <w:bookmarkStart w:id="1123" w:name="Tc_IkxGWMnuIUqUCNycoa3bsQ_10_0"/>
      <w:bookmarkStart w:id="1124" w:name="Tc_g4dvTn13CEi9D_aOGE11tQ_9_0"/>
      <w:bookmarkStart w:id="1125" w:name="Tc_irVAL5msKkC0HK0GK6a7og_7_14"/>
      <w:bookmarkStart w:id="1126" w:name="Tc_ux3a8ob7okGX1ZRiH2G3DA_7_11"/>
      <w:bookmarkStart w:id="1127" w:name="Tc_1rppfTtlP0mnm5_IAuwcJw_7_8"/>
      <w:bookmarkStart w:id="1128" w:name="Tc_pjOyYuoDrU2WGCGxWvKElQ_7_5"/>
      <w:bookmarkStart w:id="1129" w:name="Tc_YOXxgfNEeEqdc--BkkxQhg_7_2"/>
      <w:bookmarkStart w:id="1130" w:name="Tc_RP1CADxSxEKVRmtvLYgyuw_7_0"/>
      <w:bookmarkStart w:id="1131" w:name="Tc_VXXQRzEBMkKoAqwt5hLtCg_6_0"/>
      <w:bookmarkStart w:id="1132" w:name="Tc_wSUDpMibYkCGze5ffzFlFg_5_12"/>
      <w:bookmarkStart w:id="1133" w:name="Tc_bMk-0v1CeEuCWU1Td16lbA_5_9"/>
      <w:bookmarkStart w:id="1134" w:name="Tc_LtTTUpLqKkikPU-055KY9A_5_3"/>
      <w:bookmarkStart w:id="1135" w:name="Tc_dG_bGh7XgEujKAuTZqixbQ_5_0"/>
      <w:bookmarkStart w:id="1136" w:name="Tc_mLsVuK110kqyEUyj2pUtjw_4_14"/>
      <w:bookmarkStart w:id="1137" w:name="Tc_47G5b0tAtEqczIuojMmrUA_4_11"/>
      <w:bookmarkStart w:id="1138" w:name="Tc_HGI-F7S75EStO84tiSDGwg_4_8"/>
      <w:bookmarkStart w:id="1139" w:name="Tc_nCuXFf8-h0Gnh9eLXdm38g_4_5"/>
      <w:bookmarkStart w:id="1140" w:name="Tc_F0CEGxur70uB1HEBzNu86Q_4_2"/>
      <w:bookmarkStart w:id="1141" w:name="Tc_QRrzUcp96kSAs1taaQ9EEg_4_0"/>
      <w:bookmarkStart w:id="1142" w:name="Tc_sVUtq2w88Uuh8YORkZLfPw_3_0"/>
      <w:bookmarkStart w:id="1143" w:name="Tc_YiBklgStukayATfQusrpXA_2_14"/>
      <w:bookmarkStart w:id="1144" w:name="Tc_FRCbz_p-IEixNlPkYHOUdQ_2_11"/>
      <w:bookmarkStart w:id="1145" w:name="Tc_cpez-_c5jkmCHW0TaTT2Cw_2_8"/>
      <w:bookmarkStart w:id="1146" w:name="Tc_cwxBbsR8SkaW_O789HwBQA_2_5"/>
      <w:bookmarkStart w:id="1147" w:name="Tc_o3esA1xsKUeU8qBv5LjNvg_2_2"/>
      <w:bookmarkStart w:id="1148" w:name="Tc_7XRAO1XgoU20uyXHodIQpA_1_2"/>
      <w:bookmarkStart w:id="1149" w:name="_d86d210f_8733_4fb0_8201_00f9dd7289b0"/>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r>
        <w:rPr>
          <w:rFonts w:ascii="Times New Roman;Times;serif" w:hAnsi="Times New Roman;Times;serif"/>
          <w:i/>
          <w:sz w:val="20"/>
        </w:rPr>
        <w:t>Leasing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Leasing revenue consists of rental revenue from multi-family, self-storage, retail, office and commercial property; forestry land and other assets; boat slip rentals and boat storage fees at the marinas; as well as senior living prior to the sale of the Watercrest JV’s senior living community property in September 2025.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 Leasing revenue is recognized as earned, using the straight-line method over the life of each lease. Certain leases provide for tenant occupancy during periods for which no rent is due or where minimum rent payments change during the lease term. Accordingly, a receivable or liability is recorded representing the difference between the straight-line rent and the rent that is contractually due from the tenant. The Company does not separate non-lease components from lease components and, instead, accounts for each separate lease component and the non-lease components associated with that lease as a single component if the non-lease components otherwise would be accounted for under ASC Topic 606. Non-lease components primarily include common area maintenance and senior living services provided related to the Watercrest JV. Leasing revenue includes properties located in the Company’s Watersound Town Center, VentureCrossings, FSU/TMH Medical Campus, Beckrich Office Park, North Bay Landing multi-family community, consolidated Pier Park North JV, Pier Park Crossings JV, Pier Park Crossings Phase II JV, Watersound Origins Crossings JV, Mexico Beach Crossings JV and Watercrest JV, as well as the Company’s industrial parks and other properties. See Note 6. Leases for additional information related to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represents revenue disaggregated by segment, good or service and timing:</w:t>
      </w:r>
    </w:p>
    <w:tbl>
      <w:tblPr>
        <w:tblW w:w="8384" w:type="dxa"/>
        <w:jc w:val="left"/>
        <w:tblInd w:w="0" w:type="dxa"/>
        <w:tblLayout w:type="fixed"/>
        <w:tblCellMar>
          <w:top w:w="0" w:type="dxa"/>
          <w:left w:w="0" w:type="dxa"/>
          <w:bottom w:w="0" w:type="dxa"/>
          <w:right w:w="0" w:type="dxa"/>
        </w:tblCellMar>
      </w:tblPr>
      <w:tblGrid>
        <w:gridCol w:w="2941"/>
        <w:gridCol w:w="109"/>
        <w:gridCol w:w="211"/>
        <w:gridCol w:w="781"/>
        <w:gridCol w:w="109"/>
        <w:gridCol w:w="211"/>
        <w:gridCol w:w="781"/>
        <w:gridCol w:w="109"/>
        <w:gridCol w:w="220"/>
        <w:gridCol w:w="815"/>
        <w:gridCol w:w="109"/>
        <w:gridCol w:w="211"/>
        <w:gridCol w:w="571"/>
        <w:gridCol w:w="109"/>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867535" cy="175260"/>
                      <wp:effectExtent l="0" t="0" r="0" b="0"/>
                      <wp:wrapNone/>
                      <wp:docPr id="394" name="Frame393"/>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9215" cy="175260"/>
                      <wp:effectExtent l="0" t="0" r="0" b="0"/>
                      <wp:wrapNone/>
                      <wp:docPr id="395"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6"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95935" cy="175260"/>
                      <wp:effectExtent l="0" t="0" r="0" b="0"/>
                      <wp:wrapNone/>
                      <wp:docPr id="397" name="Frame3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398"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399"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95935" cy="175260"/>
                      <wp:effectExtent l="0" t="0" r="0" b="0"/>
                      <wp:wrapNone/>
                      <wp:docPr id="400" name="Frame3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9215" cy="175260"/>
                      <wp:effectExtent l="0" t="0" r="0" b="0"/>
                      <wp:wrapNone/>
                      <wp:docPr id="401"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9700" cy="175260"/>
                      <wp:effectExtent l="0" t="0" r="0" b="0"/>
                      <wp:wrapNone/>
                      <wp:docPr id="402" name="Frame40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17525" cy="175260"/>
                      <wp:effectExtent l="0" t="0" r="0" b="0"/>
                      <wp:wrapNone/>
                      <wp:docPr id="403" name="Frame402"/>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9215" cy="175260"/>
                      <wp:effectExtent l="0" t="0" r="0" b="0"/>
                      <wp:wrapNone/>
                      <wp:docPr id="404" name="Frame4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5"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362585" cy="175260"/>
                      <wp:effectExtent l="0" t="0" r="0" b="0"/>
                      <wp:wrapNone/>
                      <wp:docPr id="406" name="Frame4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07" name="Frame4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08"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62610" cy="175260"/>
                      <wp:effectExtent l="0" t="0" r="0" b="0"/>
                      <wp:wrapNone/>
                      <wp:docPr id="409" name="Frame4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33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1"/>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164,957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59,912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234,181</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215,431</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215,431</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59,066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63,634</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165,091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220,748</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118,978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513,246</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164,957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161,395</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59,912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394,176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55,436</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55,436</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59,066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63,634</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165,091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220,748</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118,978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513,246</w:t>
            </w:r>
          </w:p>
        </w:tc>
      </w:tr>
    </w:tbl>
    <w:p>
      <w:pPr>
        <w:pStyle w:val="TextBody"/>
        <w:bidi w:val="0"/>
        <w:spacing w:before="0" w:after="240"/>
        <w:ind w:left="0" w:right="0" w:hanging="0"/>
        <w:jc w:val="left"/>
        <w:rPr/>
      </w:pPr>
      <w:r>
        <w:rPr/>
        <w:t>​</w:t>
      </w:r>
    </w:p>
    <w:tbl>
      <w:tblPr>
        <w:tblW w:w="8384" w:type="dxa"/>
        <w:jc w:val="left"/>
        <w:tblInd w:w="0" w:type="dxa"/>
        <w:tblLayout w:type="fixed"/>
        <w:tblCellMar>
          <w:top w:w="0" w:type="dxa"/>
          <w:left w:w="0" w:type="dxa"/>
          <w:bottom w:w="0" w:type="dxa"/>
          <w:right w:w="0" w:type="dxa"/>
        </w:tblCellMar>
      </w:tblPr>
      <w:tblGrid>
        <w:gridCol w:w="2941"/>
        <w:gridCol w:w="109"/>
        <w:gridCol w:w="211"/>
        <w:gridCol w:w="781"/>
        <w:gridCol w:w="109"/>
        <w:gridCol w:w="211"/>
        <w:gridCol w:w="781"/>
        <w:gridCol w:w="109"/>
        <w:gridCol w:w="245"/>
        <w:gridCol w:w="790"/>
        <w:gridCol w:w="109"/>
        <w:gridCol w:w="211"/>
        <w:gridCol w:w="571"/>
        <w:gridCol w:w="109"/>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867535" cy="175260"/>
                      <wp:effectExtent l="0" t="0" r="0" b="0"/>
                      <wp:wrapNone/>
                      <wp:docPr id="410" name="Frame409"/>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75260"/>
                      <wp:effectExtent l="0" t="0" r="0" b="0"/>
                      <wp:wrapNone/>
                      <wp:docPr id="411" name="Frame4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2"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95935" cy="175260"/>
                      <wp:effectExtent l="0" t="0" r="0" b="0"/>
                      <wp:wrapNone/>
                      <wp:docPr id="413" name="Frame4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9215" cy="175260"/>
                      <wp:effectExtent l="0" t="0" r="0" b="0"/>
                      <wp:wrapNone/>
                      <wp:docPr id="414" name="Frame4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5"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95935" cy="175260"/>
                      <wp:effectExtent l="0" t="0" r="0" b="0"/>
                      <wp:wrapNone/>
                      <wp:docPr id="416" name="Frame4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9215" cy="175260"/>
                      <wp:effectExtent l="0" t="0" r="0" b="0"/>
                      <wp:wrapNone/>
                      <wp:docPr id="417"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55575" cy="175260"/>
                      <wp:effectExtent l="0" t="0" r="0" b="0"/>
                      <wp:wrapNone/>
                      <wp:docPr id="418" name="Frame417"/>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01650" cy="175260"/>
                      <wp:effectExtent l="0" t="0" r="0" b="0"/>
                      <wp:wrapNone/>
                      <wp:docPr id="419" name="Frame418"/>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0" name="Frame4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1"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62585" cy="175260"/>
                      <wp:effectExtent l="0" t="0" r="0" b="0"/>
                      <wp:wrapNone/>
                      <wp:docPr id="422" name="Frame4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23"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4"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62610" cy="175260"/>
                      <wp:effectExtent l="0" t="0" r="0" b="0"/>
                      <wp:wrapNone/>
                      <wp:docPr id="425" name="Frame4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33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1"/>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116,815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143,179</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199,242</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199,242</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3,459</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56,399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60,316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117,007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202,701</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78,575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402,737</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116,815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147,513</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290,692</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51,729</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51,729</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3,459</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56,399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60,316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117,007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202,701</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78,575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402,737</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50" w:name="Tc_jRduJ2zIGkKJeJbJoncEjw_13_14"/>
      <w:bookmarkStart w:id="1151" w:name="Tc_peBhL3S3QEaDIQjaEmmP6Q_13_11"/>
      <w:bookmarkStart w:id="1152" w:name="Tc_AvVYKJJy_UaXZmeVneusTg_13_8"/>
      <w:bookmarkStart w:id="1153" w:name="Tc_x-40nHAtPEebX31mlyFN6g_13_5"/>
      <w:bookmarkStart w:id="1154" w:name="Tc_H9LDVnMY_E6w-2FmFWfqFA_13_2"/>
      <w:bookmarkStart w:id="1155" w:name="Tc_cWk4fZj8O0GpkzVsc-Hbhg_13_0"/>
      <w:bookmarkStart w:id="1156" w:name="Tc_MM502nZE10C-Y5S40NJ3ow_12_0"/>
      <w:bookmarkStart w:id="1157" w:name="Tc_nTUaf71kE0WKiAwnOGaFzw_11_12"/>
      <w:bookmarkStart w:id="1158" w:name="Tc_7G6bK0yhaEezsANH_qslfQ_11_9"/>
      <w:bookmarkStart w:id="1159" w:name="Tc_zAgo1mDtNU-4EexdyZWyVA_11_3"/>
      <w:bookmarkStart w:id="1160" w:name="Tc_jhAqBG6ygUGHmc_Jdn1DIw_11_0"/>
      <w:bookmarkStart w:id="1161" w:name="Tc_J8TKCSkjIku970w5I5cokw_10_14"/>
      <w:bookmarkStart w:id="1162" w:name="Tc_YbdvMGhj8UKQztXqkV6eyA_10_11"/>
      <w:bookmarkStart w:id="1163" w:name="Tc_1vgJZYCp70G0M06v8MtxBQ_10_8"/>
      <w:bookmarkStart w:id="1164" w:name="Tc_fDbnE9KipkiPoRE4aNwe_A_10_5"/>
      <w:bookmarkStart w:id="1165" w:name="Tc_XGGxBOrwH0ehP09HMgY1Dw_10_2"/>
      <w:bookmarkStart w:id="1166" w:name="Tc_KfUoaLsS2UiUwgtbLH3IpA_10_0"/>
      <w:bookmarkStart w:id="1167" w:name="Tc_FY68L8CNv0SS4NzGcunMGQ_9_0"/>
      <w:bookmarkStart w:id="1168" w:name="Tc_x7Is_BR8nkyftUQrTKsqPw_7_14"/>
      <w:bookmarkStart w:id="1169" w:name="Tc_GWmL6gL4a0aYQBgiWh2cyw_7_11"/>
      <w:bookmarkStart w:id="1170" w:name="Tc_KEtjYiJI4Ui6iqEDudxYBg_7_8"/>
      <w:bookmarkStart w:id="1171" w:name="Tc_qLihxNyDkUiZHkSTEsxBmg_7_5"/>
      <w:bookmarkStart w:id="1172" w:name="Tc_G7Kfwk9vRkazKxw1X2J6LQ_7_2"/>
      <w:bookmarkStart w:id="1173" w:name="Tc_rREb1sv6fkmcgkDBG-B98g_7_0"/>
      <w:bookmarkStart w:id="1174" w:name="Tc_68GAE152lEyqlG3M8cUzBg_6_0"/>
      <w:bookmarkStart w:id="1175" w:name="Tc_Q31q-D_XzUKd9v_8r3LL6w_5_12"/>
      <w:bookmarkStart w:id="1176" w:name="Tc_R6i0wCUOuUC-tzs92W6EhQ_5_3"/>
      <w:bookmarkStart w:id="1177" w:name="Tc_NMFTzpTqZUyouB_28SCj_Q_5_0"/>
      <w:bookmarkStart w:id="1178" w:name="Tc_Y0CAq-pnoU-561YgNdpOlg_4_14"/>
      <w:bookmarkStart w:id="1179" w:name="Tc_d3sgxdnzd0qCxjsoWCgwZw_4_11"/>
      <w:bookmarkStart w:id="1180" w:name="Tc_CZ3S6dM16E6exClO9y-1Gg_4_8"/>
      <w:bookmarkStart w:id="1181" w:name="Tc_nTQqkga_-0qKljNtfyLRVw_4_6"/>
      <w:bookmarkStart w:id="1182" w:name="Tc_Kw96w5vS7Uy1zWMHH6QNJA_4_5"/>
      <w:bookmarkStart w:id="1183" w:name="Tc_3iVaTK0VwkmdS_IILyWy7g_4_2"/>
      <w:bookmarkStart w:id="1184" w:name="Tc_8_QBXN3V5k-YZ7sb_jkNjQ_4_0"/>
      <w:bookmarkStart w:id="1185" w:name="Tc_CCSgP1S3tka0wmWME87w6A_3_0"/>
      <w:bookmarkStart w:id="1186" w:name="Tc_9FIhqwIukUSYtu_uSogyGw_2_14"/>
      <w:bookmarkStart w:id="1187" w:name="Tc__z8SIok4RkW6DxxLe3pjtQ_2_11"/>
      <w:bookmarkStart w:id="1188" w:name="Tc_BjaitiKt2UG1HUWNFyA2Ow_2_8"/>
      <w:bookmarkStart w:id="1189" w:name="Tc_hsFQwZKyykGHCvnrN66CpQ_2_5"/>
      <w:bookmarkStart w:id="1190" w:name="Tc_ZAjBT80tmUOGTeBY_FspPw_2_2"/>
      <w:bookmarkStart w:id="1191" w:name="Tc_iWGBU4Jla06tdEx8I-F5pQ_1_2"/>
      <w:bookmarkStart w:id="1192" w:name="_0d834114_9142_4ab5_b407_564cc9ccabdc"/>
      <w:bookmarkStart w:id="1193" w:name="Tc_jRduJ2zIGkKJeJbJoncEjw_13_14"/>
      <w:bookmarkStart w:id="1194" w:name="Tc_peBhL3S3QEaDIQjaEmmP6Q_13_11"/>
      <w:bookmarkStart w:id="1195" w:name="Tc_AvVYKJJy_UaXZmeVneusTg_13_8"/>
      <w:bookmarkStart w:id="1196" w:name="Tc_x-40nHAtPEebX31mlyFN6g_13_5"/>
      <w:bookmarkStart w:id="1197" w:name="Tc_H9LDVnMY_E6w-2FmFWfqFA_13_2"/>
      <w:bookmarkStart w:id="1198" w:name="Tc_cWk4fZj8O0GpkzVsc-Hbhg_13_0"/>
      <w:bookmarkStart w:id="1199" w:name="Tc_MM502nZE10C-Y5S40NJ3ow_12_0"/>
      <w:bookmarkStart w:id="1200" w:name="Tc_nTUaf71kE0WKiAwnOGaFzw_11_12"/>
      <w:bookmarkStart w:id="1201" w:name="Tc_7G6bK0yhaEezsANH_qslfQ_11_9"/>
      <w:bookmarkStart w:id="1202" w:name="Tc_zAgo1mDtNU-4EexdyZWyVA_11_3"/>
      <w:bookmarkStart w:id="1203" w:name="Tc_jhAqBG6ygUGHmc_Jdn1DIw_11_0"/>
      <w:bookmarkStart w:id="1204" w:name="Tc_J8TKCSkjIku970w5I5cokw_10_14"/>
      <w:bookmarkStart w:id="1205" w:name="Tc_YbdvMGhj8UKQztXqkV6eyA_10_11"/>
      <w:bookmarkStart w:id="1206" w:name="Tc_1vgJZYCp70G0M06v8MtxBQ_10_8"/>
      <w:bookmarkStart w:id="1207" w:name="Tc_fDbnE9KipkiPoRE4aNwe_A_10_5"/>
      <w:bookmarkStart w:id="1208" w:name="Tc_XGGxBOrwH0ehP09HMgY1Dw_10_2"/>
      <w:bookmarkStart w:id="1209" w:name="Tc_KfUoaLsS2UiUwgtbLH3IpA_10_0"/>
      <w:bookmarkStart w:id="1210" w:name="Tc_FY68L8CNv0SS4NzGcunMGQ_9_0"/>
      <w:bookmarkStart w:id="1211" w:name="Tc_x7Is_BR8nkyftUQrTKsqPw_7_14"/>
      <w:bookmarkStart w:id="1212" w:name="Tc_GWmL6gL4a0aYQBgiWh2cyw_7_11"/>
      <w:bookmarkStart w:id="1213" w:name="Tc_KEtjYiJI4Ui6iqEDudxYBg_7_8"/>
      <w:bookmarkStart w:id="1214" w:name="Tc_qLihxNyDkUiZHkSTEsxBmg_7_5"/>
      <w:bookmarkStart w:id="1215" w:name="Tc_G7Kfwk9vRkazKxw1X2J6LQ_7_2"/>
      <w:bookmarkStart w:id="1216" w:name="Tc_rREb1sv6fkmcgkDBG-B98g_7_0"/>
      <w:bookmarkStart w:id="1217" w:name="Tc_68GAE152lEyqlG3M8cUzBg_6_0"/>
      <w:bookmarkStart w:id="1218" w:name="Tc_Q31q-D_XzUKd9v_8r3LL6w_5_12"/>
      <w:bookmarkStart w:id="1219" w:name="Tc_R6i0wCUOuUC-tzs92W6EhQ_5_3"/>
      <w:bookmarkStart w:id="1220" w:name="Tc_NMFTzpTqZUyouB_28SCj_Q_5_0"/>
      <w:bookmarkStart w:id="1221" w:name="Tc_Y0CAq-pnoU-561YgNdpOlg_4_14"/>
      <w:bookmarkStart w:id="1222" w:name="Tc_d3sgxdnzd0qCxjsoWCgwZw_4_11"/>
      <w:bookmarkStart w:id="1223" w:name="Tc_CZ3S6dM16E6exClO9y-1Gg_4_8"/>
      <w:bookmarkStart w:id="1224" w:name="Tc_nTQqkga_-0qKljNtfyLRVw_4_6"/>
      <w:bookmarkStart w:id="1225" w:name="Tc_Kw96w5vS7Uy1zWMHH6QNJA_4_5"/>
      <w:bookmarkStart w:id="1226" w:name="Tc_3iVaTK0VwkmdS_IILyWy7g_4_2"/>
      <w:bookmarkStart w:id="1227" w:name="Tc_8_QBXN3V5k-YZ7sb_jkNjQ_4_0"/>
      <w:bookmarkStart w:id="1228" w:name="Tc_CCSgP1S3tka0wmWME87w6A_3_0"/>
      <w:bookmarkStart w:id="1229" w:name="Tc_9FIhqwIukUSYtu_uSogyGw_2_14"/>
      <w:bookmarkStart w:id="1230" w:name="Tc__z8SIok4RkW6DxxLe3pjtQ_2_11"/>
      <w:bookmarkStart w:id="1231" w:name="Tc_BjaitiKt2UG1HUWNFyA2Ow_2_8"/>
      <w:bookmarkStart w:id="1232" w:name="Tc_hsFQwZKyykGHCvnrN66CpQ_2_5"/>
      <w:bookmarkStart w:id="1233" w:name="Tc_ZAjBT80tmUOGTeBY_FspPw_2_2"/>
      <w:bookmarkStart w:id="1234" w:name="Tc_iWGBU4Jla06tdEx8I-F5pQ_1_2"/>
      <w:bookmarkStart w:id="1235" w:name="_0d834114_9142_4ab5_b407_564cc9ccabdc"/>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p>
    <w:tbl>
      <w:tblPr>
        <w:tblW w:w="8384" w:type="dxa"/>
        <w:jc w:val="left"/>
        <w:tblInd w:w="0" w:type="dxa"/>
        <w:tblLayout w:type="fixed"/>
        <w:tblCellMar>
          <w:top w:w="0" w:type="dxa"/>
          <w:left w:w="0" w:type="dxa"/>
          <w:bottom w:w="0" w:type="dxa"/>
          <w:right w:w="0" w:type="dxa"/>
        </w:tblCellMar>
      </w:tblPr>
      <w:tblGrid>
        <w:gridCol w:w="2941"/>
        <w:gridCol w:w="109"/>
        <w:gridCol w:w="211"/>
        <w:gridCol w:w="781"/>
        <w:gridCol w:w="109"/>
        <w:gridCol w:w="211"/>
        <w:gridCol w:w="781"/>
        <w:gridCol w:w="109"/>
        <w:gridCol w:w="245"/>
        <w:gridCol w:w="790"/>
        <w:gridCol w:w="109"/>
        <w:gridCol w:w="211"/>
        <w:gridCol w:w="571"/>
        <w:gridCol w:w="109"/>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867535" cy="175260"/>
                      <wp:effectExtent l="0" t="0" r="0" b="0"/>
                      <wp:wrapNone/>
                      <wp:docPr id="426" name="Frame425"/>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9215" cy="175260"/>
                      <wp:effectExtent l="0" t="0" r="0" b="0"/>
                      <wp:wrapNone/>
                      <wp:docPr id="427"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28" name="Frame4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95935" cy="175260"/>
                      <wp:effectExtent l="0" t="0" r="0" b="0"/>
                      <wp:wrapNone/>
                      <wp:docPr id="429" name="Frame4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9215" cy="175260"/>
                      <wp:effectExtent l="0" t="0" r="0" b="0"/>
                      <wp:wrapNone/>
                      <wp:docPr id="430" name="Frame4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1"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95935" cy="175260"/>
                      <wp:effectExtent l="0" t="0" r="0" b="0"/>
                      <wp:wrapNone/>
                      <wp:docPr id="432" name="Frame4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215" cy="175260"/>
                      <wp:effectExtent l="0" t="0" r="0" b="0"/>
                      <wp:wrapNone/>
                      <wp:docPr id="433" name="Frame4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55575" cy="175260"/>
                      <wp:effectExtent l="0" t="0" r="0" b="0"/>
                      <wp:wrapNone/>
                      <wp:docPr id="434" name="Frame43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01650" cy="175260"/>
                      <wp:effectExtent l="0" t="0" r="0" b="0"/>
                      <wp:wrapNone/>
                      <wp:docPr id="435" name="Frame434"/>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9215" cy="175260"/>
                      <wp:effectExtent l="0" t="0" r="0" b="0"/>
                      <wp:wrapNone/>
                      <wp:docPr id="436" name="Frame4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37"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62585" cy="175260"/>
                      <wp:effectExtent l="0" t="0" r="0" b="0"/>
                      <wp:wrapNone/>
                      <wp:docPr id="438" name="Frame43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9215" cy="175260"/>
                      <wp:effectExtent l="0" t="0" r="0" b="0"/>
                      <wp:wrapNone/>
                      <wp:docPr id="439" name="Frame4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0"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62610" cy="175260"/>
                      <wp:effectExtent l="0" t="0" r="0" b="0"/>
                      <wp:wrapNone/>
                      <wp:docPr id="441" name="Frame4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33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1"/>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155,702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186,008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152,437</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152,441</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2,137</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48,253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50,836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155,820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154,574</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74,437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389,285</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155,702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117,982</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303,994</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34,455</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34,455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2,137</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48,253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50,836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155,820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154,574</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74,437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389,285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hanging="0"/>
        <w:jc w:val="left"/>
        <w:rPr>
          <w:rFonts w:ascii="TimesNewRomanPS-ItalicMT" w:hAnsi="TimesNewRomanPS-ItalicMT"/>
          <w:i/>
          <w:sz w:val="20"/>
        </w:rPr>
      </w:pPr>
      <w:r>
        <w:rPr>
          <w:rFonts w:ascii="TimesNewRomanPS-ItalicMT" w:hAnsi="TimesNewRomanPS-ItalicMT"/>
          <w:i/>
          <w:sz w:val="20"/>
        </w:rPr>
        <w:t>Measurement of Credit Losses for Accounts Receivable and Contract Assets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July 2025, the FASB issued ASU 2025-05 that provides a practical expedient for estimating expected credit losses for current accounts receivable and current contract assets arising from transactions accounted for under </w:t>
      </w:r>
      <w:r>
        <w:rPr>
          <w:rFonts w:ascii="Times New Roman;Times;serif" w:hAnsi="Times New Roman;Times;serif"/>
          <w:i/>
          <w:sz w:val="20"/>
        </w:rPr>
        <w:t>Revenue from Contracts with Customers</w:t>
      </w:r>
      <w:r>
        <w:rPr>
          <w:rFonts w:ascii="Times New Roman;Times;serif" w:hAnsi="Times New Roman;Times;serif"/>
          <w:sz w:val="20"/>
        </w:rPr>
        <w:t xml:space="preserve"> (Topic 606). As of December 31, 2025, the Company adopted this guidance, which will be applied prospectively, and elected the practical expedient to assume current conditions as of the balance sheet date do not change for the remaining life of the assets. The adoption of this guidance had no impact on the Company’s financial condition, results of operations, cash flows and related disclosures.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Statement – Reporting Comprehensive Income – Expense Disaggregation Disclosures</w:t>
      </w:r>
    </w:p>
    <w:p>
      <w:pPr>
        <w:pStyle w:val="TextBody"/>
        <w:bidi w:val="0"/>
        <w:spacing w:before="0" w:after="240"/>
        <w:ind w:left="0" w:right="0" w:firstLine="360"/>
        <w:jc w:val="left"/>
        <w:rPr>
          <w:rFonts w:ascii="Times New Roman;Times;serif" w:hAnsi="Times New Roman;Times;serif"/>
          <w:sz w:val="18"/>
        </w:rPr>
      </w:pPr>
      <w:r>
        <w:rPr>
          <w:rFonts w:ascii="Times New Roman;Times;serif" w:hAnsi="Times New Roman;Times;serif"/>
          <w:sz w:val="20"/>
        </w:rPr>
        <w:t>In November 2024, the FASB issued ASU 2024-03 that requires additional disclosure in the notes to the financial statements information about specific costs and expense categories, including purchases of inventory, employee compensation, depreciation, intangible asset amortization and selling expenses, as well as qualitative descriptions for certain other expenses. In January 2025, the FASB issued ASU 2025-01 that clarifies the effective date of ASU 2024-03. This guidance will be effective for annual reporting periods beginning after December 15, 2026, and for interim reporting periods within annual reporting periods beginning after December 15, 2027, with early adoption permitted. The guidance should be applied either prospectively for periods after the effective date or retrospectively to all prior periods presented. The Company is currently evaluating the impact that the adoption of this guidance will have on its financial condition, results of operations, cash flows and related disclosures</w:t>
      </w:r>
      <w:r>
        <w:rPr>
          <w:rFonts w:ascii="TimesNewRomanPSMT" w:hAnsi="TimesNewRomanPSMT"/>
          <w:sz w:val="18"/>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36" w:name="Tc_3Y5YQR1WOkuF5GX8VtUW-Q_8_5"/>
      <w:bookmarkStart w:id="1237" w:name="Tc_RG9mzt-NE0qN9ky95EVQjw_8_2"/>
      <w:bookmarkStart w:id="1238" w:name="Tc_e17hXMlULE-ZQwwRzfqLSw_8_0"/>
      <w:bookmarkStart w:id="1239" w:name="Tc_toYZc_6NLkqfx1X2UUvSYw_7_0"/>
      <w:bookmarkStart w:id="1240" w:name="Tc_vWK1Uev1G0ecv1T41yePTA_5_0"/>
      <w:bookmarkStart w:id="1241" w:name="Tc_2FlRzw5FMEyvLfF_UiDQUQ_4_0"/>
      <w:bookmarkStart w:id="1242" w:name="Tc_HGA2w8WmBkmZjrXhWV1dIQ_3_5"/>
      <w:bookmarkStart w:id="1243" w:name="Tc_pWL-4yFLokCM2d0uDe3pzw_3_2"/>
      <w:bookmarkStart w:id="1244" w:name="Tc_Jgo_A1nTXUGweeYOkd7j_g_3_0"/>
      <w:bookmarkStart w:id="1245" w:name="Tc_r0rraHc8nU2L7bTGAEau8A_2_6"/>
      <w:bookmarkStart w:id="1246" w:name="Tc_cpjEypasIUG8cPz15QmxaA_2_3"/>
      <w:bookmarkStart w:id="1247" w:name="Tc_PseB_j0InkGOCRVGGeEkAQ_1_6"/>
      <w:bookmarkStart w:id="1248" w:name="Tc_isN4fSEvV0KbNNoZ_TSJ_A_1_3"/>
      <w:bookmarkStart w:id="1249" w:name="Tc_eFMeXi0YrE2KnBZnEtk6RQ_18_5"/>
      <w:bookmarkStart w:id="1250" w:name="Tc_E3GgprkZmUaEvGAU9xKWDA_18_2"/>
      <w:bookmarkStart w:id="1251" w:name="Tc_J12ypXzk50G2E_LNgHqC6w_18_0"/>
      <w:bookmarkStart w:id="1252" w:name="Tc__52_UtwjlkyLehytCGl_1w_17_0"/>
      <w:bookmarkStart w:id="1253" w:name="Tc_DlSsabLByECb5EDd3Ixzrw_16_0"/>
      <w:bookmarkStart w:id="1254" w:name="Tc_pcwq2I4CPEGkc9pqM9ZtDA_15_0"/>
      <w:bookmarkStart w:id="1255" w:name="Tc_PsGSCp73pEiMAIoNaMzPPw_14_6"/>
      <w:bookmarkStart w:id="1256" w:name="Tc_HjLmd-Krh0qeUPRF2sAR7w_14_0"/>
      <w:bookmarkStart w:id="1257" w:name="Tc_m6ntszcj00arNyr6TzOM2w_13_0"/>
      <w:bookmarkStart w:id="1258" w:name="Tc_w8JxNDbbN0m8z1gKuHbEIg_12_0"/>
      <w:bookmarkStart w:id="1259" w:name="Tc_jVOMeThnakWpUmg5cJEIBg_11_0"/>
      <w:bookmarkStart w:id="1260" w:name="Tc_cwhN4GBFbEWCj-aomYuoBA_10_0"/>
      <w:bookmarkStart w:id="1261" w:name="Tc_wUsL2v464kS2BYTY8wX1QQ_8_0"/>
      <w:bookmarkStart w:id="1262" w:name="Tc_luP6-PjAG0akHVXRjUNx-A_7_0"/>
      <w:bookmarkStart w:id="1263" w:name="Tc_Zu84iDhAyEGmrjETYX-arw_6_0"/>
      <w:bookmarkStart w:id="1264" w:name="Tc_6ACBEobprkKNWAOhLpoq7A_5_0"/>
      <w:bookmarkStart w:id="1265" w:name="Tc_s2gH6IUlNE6PRIg_6lVM9w_4_5"/>
      <w:bookmarkStart w:id="1266" w:name="Tc_jkrZNA2wyE6rmvLMsukoOg_4_2"/>
      <w:bookmarkStart w:id="1267" w:name="Tc_BYBQErgKgUy5REiFYgt-pA_4_0"/>
      <w:bookmarkStart w:id="1268" w:name="Tc_ZeqFx3cxsEeoKI5DJzTj9g_3_0"/>
      <w:bookmarkStart w:id="1269" w:name="Tc_TXvdpGPipkqXVtu4yg3tKw_2_5"/>
      <w:bookmarkStart w:id="1270" w:name="Tc_j82_VgieSUmcGzO22LsT-Q_2_2"/>
      <w:bookmarkStart w:id="1271" w:name="Tc_ZodzIOpzzEGLNAVAqm_oUQ_1_5"/>
      <w:bookmarkStart w:id="1272" w:name="Tc_SdgRUk8GBkGfHg4p1Uj4JQ_1_2"/>
      <w:bookmarkStart w:id="1273" w:name="_ba344777_7793_422f_95a5_eaa6b422c894"/>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r>
        <w:rPr>
          <w:rFonts w:ascii="Times New Roman;Times;serif" w:hAnsi="Times New Roman;Times;serif"/>
          <w:b/>
          <w:sz w:val="20"/>
        </w:rPr>
        <w:t>3. Investment in Real Estate,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real estate, net, excluding unconsolidated JVs, by property type and segment includes the following:</w:t>
      </w:r>
    </w:p>
    <w:p>
      <w:pPr>
        <w:pStyle w:val="TextBody"/>
        <w:bidi w:val="0"/>
        <w:spacing w:before="0" w:after="0"/>
        <w:ind w:left="0" w:right="0" w:hanging="0"/>
        <w:jc w:val="left"/>
        <w:rPr/>
      </w:pPr>
      <w:r>
        <w:rPr/>
        <w:t>​</w:t>
      </w:r>
    </w:p>
    <w:tbl>
      <w:tblPr>
        <w:tblW w:w="5812" w:type="dxa"/>
        <w:jc w:val="left"/>
        <w:tblInd w:w="0" w:type="dxa"/>
        <w:tblLayout w:type="fixed"/>
        <w:tblCellMar>
          <w:top w:w="0" w:type="dxa"/>
          <w:left w:w="0" w:type="dxa"/>
          <w:bottom w:w="0" w:type="dxa"/>
          <w:right w:w="0" w:type="dxa"/>
        </w:tblCellMar>
      </w:tblPr>
      <w:tblGrid>
        <w:gridCol w:w="2731"/>
        <w:gridCol w:w="346"/>
        <w:gridCol w:w="211"/>
        <w:gridCol w:w="931"/>
        <w:gridCol w:w="346"/>
        <w:gridCol w:w="211"/>
        <w:gridCol w:w="103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734185" cy="175260"/>
                      <wp:effectExtent l="0" t="0" r="0" b="0"/>
                      <wp:wrapNone/>
                      <wp:docPr id="442" name="Frame441"/>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3"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4"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91185" cy="175260"/>
                      <wp:effectExtent l="0" t="0" r="0" b="0"/>
                      <wp:wrapNone/>
                      <wp:docPr id="445" name="Frame4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6"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47"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57860" cy="175260"/>
                      <wp:effectExtent l="0" t="0" r="0" b="0"/>
                      <wp:wrapNone/>
                      <wp:docPr id="448" name="Frame4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Development property: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149,499</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13,342</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78,453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4,234</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development property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257,145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245,528</w:t>
            </w:r>
          </w:p>
        </w:tc>
      </w:tr>
      <w:tr>
        <w:trPr/>
        <w:tc>
          <w:tcPr>
            <w:tcW w:w="27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property: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27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Residential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10,254</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445,295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443,291</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459,601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483,643</w:t>
            </w:r>
          </w:p>
        </w:tc>
      </w:tr>
      <w:tr>
        <w:trPr/>
        <w:tc>
          <w:tcPr>
            <w:tcW w:w="27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property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914,730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937,188</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142,288</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property,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747,713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794,900</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 real estate,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1,004,858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1,040,428</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During 2025, property was transferred from residential to other operating property for use in the Company’s real estate brokerage, title insurance agency and insurance agency businesses.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real estate, net is carried at cost, net of depreciation and timber depletion, unless circumstances indicate that the carrying value of the assets may not be recoverable.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Development property consists of land the Company is developing or intends to develop for sale, lease or future operations and includes direct costs associated with the land, as well as development, construction and indirect costs. Residential development property includes existing and planned residential homesites and related infrastructure. Hospitality development property consists of land, as well as development costs related to improvements to existing properties and design costs for other hospitality assets. Commercial development property primarily consists of land and construction and development costs for planned commercial, multi-family and industrial uses. Development property in the hospitality and commercial segments will be reclassified as operating property as it is placed into service.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property includes the following components:</w:t>
      </w:r>
    </w:p>
    <w:p>
      <w:pPr>
        <w:pStyle w:val="TextBody"/>
        <w:bidi w:val="0"/>
        <w:spacing w:before="0" w:after="0"/>
        <w:ind w:left="0" w:right="0" w:hanging="0"/>
        <w:jc w:val="left"/>
        <w:rPr/>
      </w:pPr>
      <w:r>
        <w:rPr/>
        <w:t>​</w:t>
      </w:r>
    </w:p>
    <w:tbl>
      <w:tblPr>
        <w:tblW w:w="6577" w:type="dxa"/>
        <w:jc w:val="left"/>
        <w:tblInd w:w="0" w:type="dxa"/>
        <w:tblLayout w:type="fixed"/>
        <w:tblCellMar>
          <w:top w:w="0" w:type="dxa"/>
          <w:left w:w="0" w:type="dxa"/>
          <w:bottom w:w="0" w:type="dxa"/>
          <w:right w:w="0" w:type="dxa"/>
        </w:tblCellMar>
      </w:tblPr>
      <w:tblGrid>
        <w:gridCol w:w="3226"/>
        <w:gridCol w:w="346"/>
        <w:gridCol w:w="211"/>
        <w:gridCol w:w="1096"/>
        <w:gridCol w:w="346"/>
        <w:gridCol w:w="211"/>
        <w:gridCol w:w="1141"/>
      </w:tblGrid>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building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662,893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683,440</w:t>
            </w:r>
          </w:p>
        </w:tc>
      </w:tr>
      <w:tr>
        <w:trPr/>
        <w:tc>
          <w:tcPr>
            <w:tcW w:w="32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and land improvements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237,492</w:t>
            </w:r>
          </w:p>
        </w:tc>
      </w:tr>
      <w:tr>
        <w:trPr/>
        <w:tc>
          <w:tcPr>
            <w:tcW w:w="32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16,256</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914,730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937,188</w:t>
            </w:r>
          </w:p>
        </w:tc>
      </w:tr>
      <w:tr>
        <w:trPr/>
        <w:tc>
          <w:tcPr>
            <w:tcW w:w="32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142,288</w:t>
            </w:r>
          </w:p>
        </w:tc>
      </w:tr>
      <w:tr>
        <w:trPr/>
        <w:tc>
          <w:tcPr>
            <w:tcW w:w="322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property,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747,713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794,900</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Operating property includes property that the Company uses for operations and activities. Residential operating property consists primarily of residential utility assets. Hospitality operating property primarily consists of existing hotels, resorts, clubs, vacation rental homes, marinas and other operations. Commercial operating property includes property used for retail, office, self-storage, light industrial, multi-family, commercial rental and timber purposes. Commercial operating property as of December 31, 2024, also includes property used for senior living purposes, prior to the sale of the Watercrest JV property in September 2025. See Note 4. </w:t>
      </w:r>
      <w:r>
        <w:rPr>
          <w:rFonts w:ascii="Times New Roman;Times;serif" w:hAnsi="Times New Roman;Times;serif"/>
          <w:i/>
          <w:sz w:val="20"/>
        </w:rPr>
        <w:t xml:space="preserve">Joint Ventures </w:t>
      </w:r>
      <w:r>
        <w:rPr>
          <w:rFonts w:ascii="Times New Roman;Times;serif" w:hAnsi="Times New Roman;Times;serif"/>
          <w:sz w:val="20"/>
        </w:rPr>
        <w:t xml:space="preserve">for additional information.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property includes property used in the Company’s real estate brokerage, title insurance agency and insurance agency businesses. Operating property may be sold in the future as part of the Company’s principal real estate business. As of December 31, 2025 and 2024, operating property, net related to operating leases was $355.1 million and $395.2 million,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depletion and amortization expense related to real estate investments was $28.9 million, $27.4 million and $23.0 million in 2025, 2024 and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enters into JVs, from time to time, for the purpose of developing real estate and other business activities, in which the Company may or may not have a controlling financial interest. GAAP requires consolidation of voting interest entities where the Company has a majority voting interest or control and VIEs in which an enterprise has a controlling financial interest and is the primary beneficiary. A controlling financial interest will have both of the following characteristics: (i) the power to direct the VIE activities that most significantly impact economic performance and (ii) the obligation to absorb losses or the right to receive benefits from the VIE that could potentially be significant to the VIE. The Company examines specific criteria and uses judgment when determining whether the Company is the primary beneficiary and must consolidate a VIE. The Company continues to evaluate whether it is the primary beneficiary as needed when assessing reconsideration events. Investments in JVs in which the Company is not the primary beneficiary, or a voting interest entity where the Company does not have a majority voting interest or control, but has significant influence are unconsolidated and accounted for by the equity method of accounting.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timing of cash flows for additional required capital contributions related to the Company’s JVs varies by agreement. Some of the Company’s consolidated and unconsolidated JVs have entered into financing agreements where the Company or its JV partners have provided guarantees. See Note 9. </w:t>
      </w:r>
      <w:r>
        <w:rPr>
          <w:rFonts w:ascii="Times New Roman;Times;serif" w:hAnsi="Times New Roman;Times;serif"/>
          <w:i/>
          <w:sz w:val="20"/>
        </w:rPr>
        <w:t>Debt, Net</w:t>
      </w:r>
      <w:r>
        <w:rPr>
          <w:rFonts w:ascii="Times New Roman;Times;serif" w:hAnsi="Times New Roman;Times;serif"/>
          <w:sz w:val="20"/>
        </w:rPr>
        <w:t xml:space="preserve"> and Note 19.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The Company provides land, mitigation bank credits, impact and other fees, property for lease and services to certain unconsolidated JVs and incurs expense for leasing management services from the Watersound Management JV, see Note 20. </w:t>
      </w:r>
      <w:r>
        <w:rPr>
          <w:rFonts w:ascii="Times New Roman;Times;serif" w:hAnsi="Times New Roman;Times;serif"/>
          <w:i/>
          <w:sz w:val="20"/>
        </w:rPr>
        <w:t xml:space="preserve">Related Party Transactions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Joint Ventures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Mexico Beach Crossings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Mexico Beach Crossings JV was formed in 2022, when the Company entered into a JV agreement to develop, manage and lease a 216-unit multi-family community in Mexico Beach, Florida. Construction of the community was completed in the fourth quarter of 2023. As of December 31, 2025 and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Mexico Beach Crossings JV is a voting interest entity as of December 31, 2025 and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Lodge 30A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Lodge 30A JV was formed in 2020, when the Company entered into a JV agreement to develop and operate an 85-room boutique hotel on Scenic County Highway 30A in Seagrove Beach, Florida. The hotel opened in the first quarter of 2023. As of December 31, 2025 and 2024, the Company owned a 52.8% interest in the consolidated JV. A wholly-owned subsidiary of the Company manages the day-to-day operations of the hotel. The Company approves all major decisions, including project development, annual budgets and financing. The Company determined The Lodge 30A JV is a VIE and that the Company is the VIE’s primary beneficiary as of December 31, 2025 and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Resort Hotel JV</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Pier Park Resort Hotel JV was formed in 2020, when the Company entered into a JV agreement to develop and operate a 255-room Embassy Suites by Hilton hotel in the Pier Park area of Panama City Beach, Florida. The hotel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opened in the second quarter of 2023. As of December 31, 2025 and 2024, the Company owned a 70.0% interest in the consolidated JV. A wholly-owned subsidiary of the Company manages the day-to-day operations of the hotel. The Company has significant involvement in the project design and development, annual budgets and financing. The Company determined Pier Park Resort Hotel JV is a VIE and that the Company is the VIE’s primary beneficiary as of December 31, 2025 and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Pier Park Crossings Phase II JV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Pier Park Crossings Phase II JV was formed in 2019, when the Company entered into a JV agreement to develop, manage and lease a 120-unit multi-family community in the Pier Park area of Panama City Beach, Florida. As of December 31, 2025 and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Phase II JV is a VIE and that the Company is the VIE’s primary beneficiary as of December 31, 2025 and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Watersound Closings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Watersound Closings JV was formed in 2019, when the Company entered into a JV agreement to own, operate and manage a real estate title insurance agency business. In the first quarter of 2025, the Watersound Closings JV’s ceased operations of its business, distributed final partner equity and transitioned future business to Watersound Title Agency, LLC, a wholly-owned subsidiary of the Company.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Watercrest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Watercrest JV was formed in 2019, when the Company entered into a JV agreement to develop and operate a 107-unit senior living community in Santa Rosa Beach, Florida. In September 2025, the Watercrest JV sold its senior living community property to a third-party generating revenue of $41.0 million and cost of revenue of $21.6 million, which are presented in real estate revenue and cost of real estate revenue, respectively, in the consolidated statements of income. The sale of the Watercrest JV’s senior living community property resulted in gross profit of $19.4 million and a corresponding cash distribution of $19.1 million was made to the Company. The sale of the Watercrest JV’s property did not meet the definition of a business under ASC Topic 805, </w:t>
      </w:r>
      <w:r>
        <w:rPr>
          <w:rFonts w:ascii="Times New Roman;Times;serif" w:hAnsi="Times New Roman;Times;serif"/>
          <w:i/>
          <w:sz w:val="20"/>
        </w:rPr>
        <w:t xml:space="preserve">Business Combinations </w:t>
      </w:r>
      <w:r>
        <w:rPr>
          <w:rFonts w:ascii="Times New Roman;Times;serif" w:hAnsi="Times New Roman;Times;serif"/>
          <w:sz w:val="20"/>
        </w:rPr>
        <w:t>(“Topic 805”), as substantially all of the fair value of the assets sold were concentrated in a single group of assets. The Company determined the sale represents the sale of goods to a customer that are an output of the Company’s ordinary activities, which includes real estate sales, and therefore would be recognized in accordance with ASC Topic 606 and recognize revenue and costs of revenue. Following the sale, the Watercrest JV ceased operating activities. The Watercrest JV has a contingent gain related to a $0.8 million indemnity holdback, required through June 2026. As of December 31, 2025 and 2024, the Company owned an 87.0% interest in the consolidated JV. The Company determined Watercrest JV is a VIE and that the Company is the VIE’s primary beneficiary as of December 31, 2025 and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Watersound Origins Crossings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Watersound Origins Crossings JV was formed in 2019, when the Company entered into a JV agreement to develop, manage and lease a 217-unit multi-family community near the entrance to the Watersound Origins residential community. As of December 31, 2025 and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Watersound Origins Crossings JV is a VIE and that the Company is the VIE’s primary beneficiary as of December 31, 2025 and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Crossings JV</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Pier Park Crossing JV was formed in 2017, when the Company entered into a JV agreement to develop, manage and lease a 240-unit multi-family community in the Pier Park area of Panama City Beach, Florida. As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74" w:name="Tc_pDiin67IdUeRB6Ail8mblg_20_5"/>
      <w:bookmarkStart w:id="1275" w:name="Tc_tERRIPkdA0imla8VJ5v5IQ_20_2"/>
      <w:bookmarkStart w:id="1276" w:name="Tc__gplHhravUWqCb10OWPhOQ_20_0"/>
      <w:bookmarkStart w:id="1277" w:name="Tc_5X2I7CjqoEKzPLxczbjbNg_19_0"/>
      <w:bookmarkStart w:id="1278" w:name="Tc_v9nQEtRyuES-DPJNu3h-iA_18_0"/>
      <w:bookmarkStart w:id="1279" w:name="Tc_krTuH2LkvUGyaAPC1DwxmA_17_0"/>
      <w:bookmarkStart w:id="1280" w:name="Tc_8tZ0uznC_kamaiiqD7RR_Q_16_0"/>
      <w:bookmarkStart w:id="1281" w:name="Tc_p7ESHF5sJkqSLbjSQcrzGg_15_0"/>
      <w:bookmarkStart w:id="1282" w:name="Tc_cZHbeEX5pEmQ16XO6cO8Jw_14_5"/>
      <w:bookmarkStart w:id="1283" w:name="Tc_dabCW0AjLkC3z_VcWhM5aw_14_3"/>
      <w:bookmarkStart w:id="1284" w:name="Tc_Xp6ubV-rg0ysYzZaxf-MSw_14_2"/>
      <w:bookmarkStart w:id="1285" w:name="Tc_qMzZI-49-UyUHWfwo4zHNg_14_0"/>
      <w:bookmarkStart w:id="1286" w:name="Tc_HNu1NxM12UWlxCespaAkcA_13_0"/>
      <w:bookmarkStart w:id="1287" w:name="Tc_wS8GlVZk3kWrRQ1E4_lJ6Q_11_5"/>
      <w:bookmarkStart w:id="1288" w:name="Tc_8xJB7whxyE2rrHiZujwduw_11_2"/>
      <w:bookmarkStart w:id="1289" w:name="Tc_ThCKSa8AkkCWUI3z5SJbfQ_11_0"/>
      <w:bookmarkStart w:id="1290" w:name="Tc_NHzK7pHUO0qW2tZXT_ewvQ_10_0"/>
      <w:bookmarkStart w:id="1291" w:name="Tc_JRx9-OqVbUmwIVkYkxqyvQ_9_0"/>
      <w:bookmarkStart w:id="1292" w:name="Tc_M4n0v7fq8E2wfR9gtCdSuA_8_0"/>
      <w:bookmarkStart w:id="1293" w:name="Tc_hFw9ftoUkE67nOCaBKFuVg_7_0"/>
      <w:bookmarkStart w:id="1294" w:name="Tc_jXzp9tL1mU-zaQwaoLUefQ_6_6"/>
      <w:bookmarkStart w:id="1295" w:name="Tc_qzABsZUYnkG9kRcd8GMUBw_6_3"/>
      <w:bookmarkStart w:id="1296" w:name="Tc_uV_p3b_4jkW8qj_i4koUQQ_6_0"/>
      <w:bookmarkStart w:id="1297" w:name="Tc_pTsaxFnbx0-ZWmfhLL4QuQ_5_0"/>
      <w:bookmarkStart w:id="1298" w:name="Tc_YRpSsE4tLku6GXe7beb7QQ_4_5"/>
      <w:bookmarkStart w:id="1299" w:name="Tc_GwCPtwuh5EmbAAWtkeOODQ_4_2"/>
      <w:bookmarkStart w:id="1300" w:name="Tc_p7QnL3J6u0-l42iHdMFsbg_4_0"/>
      <w:bookmarkStart w:id="1301" w:name="Tc_cVyr9hEVbEmUe46R0cuzyg_3_0"/>
      <w:bookmarkStart w:id="1302" w:name="Tc__l0nkx5IoEuJqXXeL17xgw_2_5"/>
      <w:bookmarkStart w:id="1303" w:name="Tc_OLE9bM6gKkqf_OvL07nwGw_2_2"/>
      <w:bookmarkStart w:id="1304" w:name="Tc_ORO0uJRmyk-0LTZzk0lXSQ_1_5"/>
      <w:bookmarkStart w:id="1305" w:name="Tc_OF6GJQ4tvE-zkRybn2fryg_1_2"/>
      <w:bookmarkStart w:id="1306" w:name="_071468ba_5d92_408e_ba5d_59c127429dfc"/>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r>
        <w:rPr>
          <w:rFonts w:ascii="Times New Roman;Times;serif" w:hAnsi="Times New Roman;Times;serif"/>
          <w:sz w:val="20"/>
        </w:rPr>
        <w:t>December 31, 2025 and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JV is a VIE and that the Company is the VIE’s primary beneficiary as of December 31, 2025 and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North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2012, the Company entered into a JV agreement with a partner to develop a retail center at Pier Park North. As of December 31, 2025 and 2024, the Company owned a 90.0% interest in the consolidated JV. A wholly-owned subsidiary of the Company’s JV partner is responsible for the day-to-day activities of the retail center. The Company approves all major decisions, including project development, annual budgets and financing. The Company determined the Pier Park North JV is a VIE and that the Company is the VIE’s primary beneficiary as of December 31, 2025 and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Investment in unconsolidated joint ventures includes the Company’s investment accounted for using the equity method. The following table presents detail of the Company’s investment in unconsolidated joint ventures and total outstanding debt of unconsolidated JVs: </w:t>
      </w:r>
    </w:p>
    <w:p>
      <w:pPr>
        <w:pStyle w:val="TextBody"/>
        <w:bidi w:val="0"/>
        <w:spacing w:before="0" w:after="0"/>
        <w:ind w:left="0" w:right="0" w:hanging="0"/>
        <w:jc w:val="left"/>
        <w:rPr/>
      </w:pPr>
      <w:r>
        <w:rPr/>
        <w:t>​</w:t>
      </w:r>
    </w:p>
    <w:tbl>
      <w:tblPr>
        <w:tblW w:w="7758" w:type="dxa"/>
        <w:jc w:val="left"/>
        <w:tblInd w:w="0" w:type="dxa"/>
        <w:tblLayout w:type="fixed"/>
        <w:tblCellMar>
          <w:top w:w="0" w:type="dxa"/>
          <w:left w:w="0" w:type="dxa"/>
          <w:bottom w:w="0" w:type="dxa"/>
          <w:right w:w="0" w:type="dxa"/>
        </w:tblCellMar>
      </w:tblPr>
      <w:tblGrid>
        <w:gridCol w:w="4741"/>
        <w:gridCol w:w="346"/>
        <w:gridCol w:w="271"/>
        <w:gridCol w:w="869"/>
        <w:gridCol w:w="346"/>
        <w:gridCol w:w="228"/>
        <w:gridCol w:w="957"/>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3010535" cy="175260"/>
                      <wp:effectExtent l="0" t="0" r="0" b="0"/>
                      <wp:wrapNone/>
                      <wp:docPr id="449" name="Frame448"/>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0"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72085" cy="175260"/>
                      <wp:effectExtent l="0" t="0" r="0" b="0"/>
                      <wp:wrapNone/>
                      <wp:docPr id="451" name="Frame45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51815" cy="175260"/>
                      <wp:effectExtent l="0" t="0" r="0" b="0"/>
                      <wp:wrapNone/>
                      <wp:docPr id="452" name="Frame451"/>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3"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44780" cy="175260"/>
                      <wp:effectExtent l="0" t="0" r="0" b="0"/>
                      <wp:wrapNone/>
                      <wp:docPr id="454" name="Frame45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07695" cy="175260"/>
                      <wp:effectExtent l="0" t="0" r="0" b="0"/>
                      <wp:wrapNone/>
                      <wp:docPr id="455" name="Frame454"/>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 unconsolidated joint ventures</w:t>
            </w:r>
          </w:p>
        </w:tc>
        <w:tc>
          <w:tcPr>
            <w:tcW w:w="34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  ​</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51,648</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53,399</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Fountains Independent Living JV</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3,159</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3,857</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Pier Park TPS JV </w:t>
            </w:r>
            <w:r>
              <w:rPr>
                <w:rFonts w:ascii="Times New Roman;Times;serif" w:hAnsi="Times New Roman;Times;serif"/>
                <w:sz w:val="15"/>
              </w:rPr>
              <w:t>(b)</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RI JV</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7,494</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5,211</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Busy Bee JV</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 Cart Watersound JV</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Management JV</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in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66,052</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66,454</w:t>
            </w:r>
          </w:p>
        </w:tc>
      </w:tr>
      <w:tr>
        <w:trPr/>
        <w:tc>
          <w:tcPr>
            <w:tcW w:w="47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  ​</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debt principal of unconsolidated JVs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(c)</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41,246</w:t>
            </w:r>
          </w:p>
        </w:tc>
      </w:tr>
      <w:tr>
        <w:trPr/>
        <w:tc>
          <w:tcPr>
            <w:tcW w:w="47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Watersound Fountains Independent Living JV </w:t>
            </w:r>
            <w:r>
              <w:rPr>
                <w:rFonts w:ascii="Times New Roman;Times;serif" w:hAnsi="Times New Roman;Times;serif"/>
                <w:sz w:val="15"/>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41,195</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41,683</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Pier Park TPS JV </w:t>
            </w:r>
            <w:r>
              <w:rPr>
                <w:rFonts w:ascii="Times New Roman;Times;serif" w:hAnsi="Times New Roman;Times;serif"/>
                <w:sz w:val="15"/>
              </w:rPr>
              <w:t>(c)</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13,161</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RI JV</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24,948</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Busy Bee JV</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5,025</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5,365</w:t>
            </w:r>
          </w:p>
        </w:tc>
      </w:tr>
      <w:tr>
        <w:trPr/>
        <w:tc>
          <w:tcPr>
            <w:tcW w:w="47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Electric Cart Watersound JV </w:t>
            </w:r>
            <w:r>
              <w:rPr>
                <w:rFonts w:ascii="Times New Roman;Times;serif" w:hAnsi="Times New Roman;Times;serif"/>
                <w:sz w:val="15"/>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4,838</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outstanding debt principal of unconsolidated JVs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79,696</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131,241</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As of December 31, 2025, the Company’s investment in unconsolidated joint ventures includes an intra-entity profit elimination of $0.5</w:t>
            </w:r>
            <w:r>
              <w:rPr>
                <w:caps w:val="false"/>
                <w:smallCaps w:val="false"/>
              </w:rPr>
              <w:t xml:space="preserve"> </w:t>
            </w:r>
            <w:r>
              <w:rPr>
                <w:rFonts w:ascii="Times New Roman;Times;serif" w:hAnsi="Times New Roman;Times;serif"/>
                <w:b w:val="false"/>
                <w:i w:val="false"/>
                <w:caps w:val="false"/>
                <w:smallCaps w:val="false"/>
                <w:sz w:val="18"/>
              </w:rPr>
              <w:t>million related to the sale of additional land to the JV, a pro-rata portion of which will be recognized as each home on the land is sold by the JV.</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As of December 31, 2025 and 2024, the Company’s investment in the unconsolidated joint venture was below zero</w:t>
            </w:r>
            <w:r>
              <w:rPr>
                <w:caps w:val="false"/>
                <w:smallCaps w:val="false"/>
              </w:rPr>
              <w:t xml:space="preserve"> </w:t>
            </w:r>
            <w:r>
              <w:rPr>
                <w:rFonts w:ascii="Times New Roman;Times;serif" w:hAnsi="Times New Roman;Times;serif"/>
                <w:b w:val="false"/>
                <w:i w:val="false"/>
                <w:caps w:val="false"/>
                <w:smallCaps w:val="false"/>
                <w:sz w:val="18"/>
              </w:rPr>
              <w:t>due to cash distributions and non-cash depreciation and amortization expense. As of December 31, 2025 and 2024, the Company’s investment in the unconsolidated joint venture is included within accounts payable and other liabilities on the consolidated balance sheets.</w:t>
            </w:r>
          </w:p>
        </w:tc>
      </w:tr>
    </w:tbl>
    <w:tbl>
      <w:tblPr>
        <w:tblW w:w="7607" w:type="dxa"/>
        <w:jc w:val="left"/>
        <w:tblInd w:w="0" w:type="dxa"/>
        <w:tblLayout w:type="fixed"/>
        <w:tblCellMar>
          <w:top w:w="0" w:type="dxa"/>
          <w:left w:w="0" w:type="dxa"/>
          <w:bottom w:w="0" w:type="dxa"/>
          <w:right w:w="0" w:type="dxa"/>
        </w:tblCellMar>
      </w:tblPr>
      <w:tblGrid>
        <w:gridCol w:w="316"/>
        <w:gridCol w:w="729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2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See Note 19. </w:t>
            </w:r>
            <w:r>
              <w:rPr>
                <w:rFonts w:ascii="Times New Roman;Times;serif" w:hAnsi="Times New Roman;Times;serif"/>
                <w:b w:val="false"/>
                <w:i/>
                <w:sz w:val="18"/>
              </w:rPr>
              <w:t>Commitments and Contingencies</w:t>
            </w:r>
            <w:r>
              <w:rPr>
                <w:caps w:val="false"/>
                <w:smallCaps w:val="false"/>
              </w:rPr>
              <w:t xml:space="preserve"> </w:t>
            </w:r>
            <w:r>
              <w:rPr>
                <w:rFonts w:ascii="Times New Roman;Times;serif" w:hAnsi="Times New Roman;Times;serif"/>
                <w:b w:val="false"/>
                <w:i w:val="false"/>
                <w:caps w:val="false"/>
                <w:smallCaps w:val="false"/>
                <w:sz w:val="18"/>
              </w:rPr>
              <w:t>for additional information related to outstanding debt.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had approximately $18.8 million in cumulative undistributed earnings from its unconsolidated JVs included within investment in unconsolidated joint ventures as of December 31, 2025. During 2025 and 2024, the Company received distributions from unconsolidated JVs totaling $35.6 million and $27.0 million, respectively. During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07" w:name="Tc_HfGrVYLUL0OmqmQEBMhNMQ_12_9"/>
      <w:bookmarkStart w:id="1308" w:name="Tc_3FSHxNeyN0SnHCrrU9USTw_12_6"/>
      <w:bookmarkStart w:id="1309" w:name="Tc_dF7dTz09RkGaXnDa-FbAfw_12_3"/>
      <w:bookmarkStart w:id="1310" w:name="Tc_UP_qpql98UyLYNQmyBVscA_12_0"/>
      <w:bookmarkStart w:id="1311" w:name="Tc_Srad7str5UWWex5F50yHdA_11_0"/>
      <w:bookmarkStart w:id="1312" w:name="Tc_vR4tvaKWm0Gxw_XoeDIfPA_10_0"/>
      <w:bookmarkStart w:id="1313" w:name="Tc_Szyyy8xYSkGRDK_u8Na8Hg_9_0"/>
      <w:bookmarkStart w:id="1314" w:name="Tc_v37ZePzb5EGlnxLQH9CuFQ_8_10"/>
      <w:bookmarkStart w:id="1315" w:name="Tc_9_J3S5jFikOsbAg2jO143g_8_0"/>
      <w:bookmarkStart w:id="1316" w:name="Tc_97d_dH5GqUum1jT40rUqYg_7_0"/>
      <w:bookmarkStart w:id="1317" w:name="Tc_70qGb1h7Ek6hHfLteCmFFQ_6_0"/>
      <w:bookmarkStart w:id="1318" w:name="Tc__B-tDseNBESvNaT3t6ff0Q_5_7"/>
      <w:bookmarkStart w:id="1319" w:name="Tc_sf1rjQHt8kK8vCYhIUZHIA_5_4"/>
      <w:bookmarkStart w:id="1320" w:name="Tc_7lhkI39v5EKCPUM6Sp-QoQ_5_0"/>
      <w:bookmarkStart w:id="1321" w:name="Tc_vrc5Bw4rokeVJGWuBfyKiw_4_9"/>
      <w:bookmarkStart w:id="1322" w:name="Tc_cbwDFdAb7EOVVfv7gfDRnQ_4_6"/>
      <w:bookmarkStart w:id="1323" w:name="Tc_x8bgkSYkW0OdiMHg8NfuSA_4_3"/>
      <w:bookmarkStart w:id="1324" w:name="Tc_9_GT3crdAE6_IcvZhhtQng_4_0"/>
      <w:bookmarkStart w:id="1325" w:name="Tc_9229mOaUx0mrSd8q86Z_7Q_3_0"/>
      <w:bookmarkStart w:id="1326" w:name="Tc_-mEFw1f28U6p1wAgQ0M9NQ_2_9"/>
      <w:bookmarkStart w:id="1327" w:name="Tc_fJuwIROpi0Gbq4T4hi-ssA_2_6"/>
      <w:bookmarkStart w:id="1328" w:name="Tc_dgoALHmjyEi280vxbUipXQ_2_3"/>
      <w:bookmarkStart w:id="1329" w:name="Tc_DsUa-ky2AUqf9_KBqpUSeg_1_3"/>
      <w:bookmarkStart w:id="1330" w:name="_c92789fb_dd80_44dd_baff_8b55e19d2a3e"/>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r>
        <w:rPr>
          <w:rFonts w:ascii="Times New Roman;Times;serif" w:hAnsi="Times New Roman;Times;serif"/>
          <w:sz w:val="20"/>
        </w:rPr>
        <w:t xml:space="preserve">2025 and 2024, the Company made capital contributions to unconsolidated JVs totaling $7.8 million and $1.7 million, respectively, related to operations of the Watersound Fountains Independent Living JV during both periods, and financing for the Pier Park RI JV during the current period. The Company’s maximum exposure to loss due to involvement with the unconsolidated JVs as of December 31, 2025, was $125.4 million, which includes the carrying amounts of the investments, guarantees, other receivables and derivative instruments. See Note 19.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 with respect to its involvement with unconsolidated JVs.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detail of the Company’s equity in income (loss) from unconsolidated JVs: </w:t>
      </w:r>
    </w:p>
    <w:p>
      <w:pPr>
        <w:pStyle w:val="TextBody"/>
        <w:bidi w:val="0"/>
        <w:spacing w:before="0" w:after="0"/>
        <w:ind w:left="0" w:right="0" w:hanging="0"/>
        <w:jc w:val="left"/>
        <w:rPr/>
      </w:pPr>
      <w:r>
        <w:rPr/>
        <w:t>​</w:t>
      </w:r>
    </w:p>
    <w:tbl>
      <w:tblPr>
        <w:tblW w:w="8258" w:type="dxa"/>
        <w:jc w:val="left"/>
        <w:tblInd w:w="0" w:type="dxa"/>
        <w:tblLayout w:type="fixed"/>
        <w:tblCellMar>
          <w:top w:w="0" w:type="dxa"/>
          <w:left w:w="0" w:type="dxa"/>
          <w:bottom w:w="0" w:type="dxa"/>
          <w:right w:w="0" w:type="dxa"/>
        </w:tblCellMar>
      </w:tblPr>
      <w:tblGrid>
        <w:gridCol w:w="5026"/>
        <w:gridCol w:w="109"/>
        <w:gridCol w:w="109"/>
        <w:gridCol w:w="211"/>
        <w:gridCol w:w="691"/>
        <w:gridCol w:w="109"/>
        <w:gridCol w:w="211"/>
        <w:gridCol w:w="691"/>
        <w:gridCol w:w="109"/>
        <w:gridCol w:w="211"/>
        <w:gridCol w:w="781"/>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191510" cy="175260"/>
                      <wp:effectExtent l="0" t="0" r="0" b="0"/>
                      <wp:wrapNone/>
                      <wp:docPr id="456" name="Frame455"/>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9215" cy="175260"/>
                      <wp:effectExtent l="0" t="0" r="0" b="0"/>
                      <wp:wrapNone/>
                      <wp:docPr id="457" name="Frame4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58" name="Frame4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3985" cy="175260"/>
                      <wp:effectExtent l="0" t="0" r="0" b="0"/>
                      <wp:wrapNone/>
                      <wp:docPr id="459"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38785" cy="175260"/>
                      <wp:effectExtent l="0" t="0" r="0" b="0"/>
                      <wp:wrapNone/>
                      <wp:docPr id="460" name="Frame4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9215" cy="175260"/>
                      <wp:effectExtent l="0" t="0" r="0" b="0"/>
                      <wp:wrapNone/>
                      <wp:docPr id="461" name="Frame4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3985" cy="175260"/>
                      <wp:effectExtent l="0" t="0" r="0" b="0"/>
                      <wp:wrapNone/>
                      <wp:docPr id="462"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38785" cy="175260"/>
                      <wp:effectExtent l="0" t="0" r="0" b="0"/>
                      <wp:wrapNone/>
                      <wp:docPr id="463" name="Frame4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4"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5"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95935" cy="175260"/>
                      <wp:effectExtent l="0" t="0" r="0" b="0"/>
                      <wp:wrapNone/>
                      <wp:docPr id="466" name="Frame4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1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0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 in income (loss) from unconsolidated joint ventures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50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(a)</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32,237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29,270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23,627</w:t>
            </w:r>
          </w:p>
        </w:tc>
      </w:tr>
      <w:tr>
        <w:trPr/>
        <w:tc>
          <w:tcPr>
            <w:tcW w:w="50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Sea Sound JV </w:t>
            </w:r>
            <w:r>
              <w:rPr>
                <w:rFonts w:ascii="Times New Roman;Times;serif" w:hAnsi="Times New Roman;Times;serif"/>
                <w:sz w:val="15"/>
              </w:rPr>
              <w:t>(b)</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50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Watersound Fountains Independent Living JV </w:t>
            </w:r>
            <w:r>
              <w:rPr>
                <w:rFonts w:ascii="Times New Roman;Times;serif" w:hAnsi="Times New Roman;Times;serif"/>
                <w:sz w:val="15"/>
              </w:rPr>
              <w:t>(c)</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Pier Park TPS JV</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50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Pier Park RI JV </w:t>
            </w:r>
            <w:r>
              <w:rPr>
                <w:rFonts w:ascii="Times New Roman;Times;serif" w:hAnsi="Times New Roman;Times;serif"/>
                <w:sz w:val="15"/>
              </w:rPr>
              <w:t>(d)</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50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Busy Bee JV </w:t>
            </w:r>
            <w:r>
              <w:rPr>
                <w:rFonts w:ascii="Times New Roman;Times;serif" w:hAnsi="Times New Roman;Times;serif"/>
                <w:sz w:val="15"/>
              </w:rPr>
              <w:t>(e)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0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Electric Cart Watersound JV </w:t>
            </w:r>
            <w:r>
              <w:rPr>
                <w:rFonts w:ascii="Times New Roman;Times;serif" w:hAnsi="Times New Roman;Times;serif"/>
                <w:sz w:val="15"/>
              </w:rPr>
              <w:t>(f)</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Watersound Management JV</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 in income from unconsolidated joint ventures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23,578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22,701</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During 2025, 2024 and 2023, the Latitude Margaritaville Watersound JV completed 527, 659</w:t>
            </w:r>
            <w:r>
              <w:rPr>
                <w:caps w:val="false"/>
                <w:smallCaps w:val="false"/>
              </w:rPr>
              <w:t xml:space="preserve"> </w:t>
            </w:r>
            <w:r>
              <w:rPr>
                <w:rFonts w:ascii="Times New Roman;Times;serif" w:hAnsi="Times New Roman;Times;serif"/>
                <w:b w:val="false"/>
                <w:i w:val="false"/>
                <w:caps w:val="false"/>
                <w:smallCaps w:val="false"/>
                <w:sz w:val="18"/>
              </w:rPr>
              <w:t>and 641</w:t>
            </w:r>
            <w:r>
              <w:rPr>
                <w:caps w:val="false"/>
                <w:smallCaps w:val="false"/>
              </w:rPr>
              <w:t xml:space="preserve"> </w:t>
            </w:r>
            <w:r>
              <w:rPr>
                <w:rFonts w:ascii="Times New Roman;Times;serif" w:hAnsi="Times New Roman;Times;serif"/>
                <w:b w:val="false"/>
                <w:i w:val="false"/>
                <w:caps w:val="false"/>
                <w:smallCaps w:val="false"/>
                <w:sz w:val="18"/>
              </w:rPr>
              <w:t>home sale transactions, respectively. The year ended December 31, 2025, includes intra-entity profit elimination of $0.5</w:t>
            </w:r>
            <w:r>
              <w:rPr>
                <w:caps w:val="false"/>
                <w:smallCaps w:val="false"/>
              </w:rPr>
              <w:t xml:space="preserve"> </w:t>
            </w:r>
            <w:r>
              <w:rPr>
                <w:rFonts w:ascii="Times New Roman;Times;serif" w:hAnsi="Times New Roman;Times;serif"/>
                <w:b w:val="false"/>
                <w:i w:val="false"/>
                <w:caps w:val="false"/>
                <w:smallCaps w:val="false"/>
                <w:sz w:val="18"/>
              </w:rPr>
              <w:t>million related to the sale of additional land to the JV, a pro-rata portion of which will be recognized as each home on the land is sold by the JV.</w:t>
            </w:r>
          </w:p>
        </w:tc>
      </w:tr>
    </w:tbl>
    <w:tbl>
      <w:tblPr>
        <w:tblW w:w="6722" w:type="dxa"/>
        <w:jc w:val="left"/>
        <w:tblInd w:w="0" w:type="dxa"/>
        <w:tblLayout w:type="fixed"/>
        <w:tblCellMar>
          <w:top w:w="0" w:type="dxa"/>
          <w:left w:w="0" w:type="dxa"/>
          <w:bottom w:w="0" w:type="dxa"/>
          <w:right w:w="0" w:type="dxa"/>
        </w:tblCellMar>
      </w:tblPr>
      <w:tblGrid>
        <w:gridCol w:w="331"/>
        <w:gridCol w:w="639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6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2022, the Sea Sound JV sold its assets to a third party and ceased operating activities.</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community opened in March 2024 and is currently under lease-up. Activity includes lease-up, depreciation and interest expenses for the project.</w:t>
            </w:r>
          </w:p>
        </w:tc>
      </w:tr>
    </w:tbl>
    <w:tbl>
      <w:tblPr>
        <w:tblW w:w="9812" w:type="dxa"/>
        <w:jc w:val="left"/>
        <w:tblInd w:w="0" w:type="dxa"/>
        <w:tblLayout w:type="fixed"/>
        <w:tblCellMar>
          <w:top w:w="0" w:type="dxa"/>
          <w:left w:w="0" w:type="dxa"/>
          <w:bottom w:w="0" w:type="dxa"/>
          <w:right w:w="0" w:type="dxa"/>
        </w:tblCellMar>
      </w:tblPr>
      <w:tblGrid>
        <w:gridCol w:w="331"/>
        <w:gridCol w:w="948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April 2024 and activity in the current period includes start-up, depreciation and interest expenses for the project.</w:t>
            </w:r>
          </w:p>
        </w:tc>
      </w:tr>
    </w:tbl>
    <w:tbl>
      <w:tblPr>
        <w:tblW w:w="8252" w:type="dxa"/>
        <w:jc w:val="left"/>
        <w:tblInd w:w="0" w:type="dxa"/>
        <w:tblLayout w:type="fixed"/>
        <w:tblCellMar>
          <w:top w:w="0" w:type="dxa"/>
          <w:left w:w="0" w:type="dxa"/>
          <w:bottom w:w="0" w:type="dxa"/>
          <w:right w:w="0" w:type="dxa"/>
        </w:tblCellMar>
      </w:tblPr>
      <w:tblGrid>
        <w:gridCol w:w="316"/>
        <w:gridCol w:w="793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permanent sales and service facility located in the Watersound West Bay Center opened in October 2023. An additional sales showroom located in the Watersound Town Center opened in June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331" w:name="Tc_3p3J2lKinESIgR5pPGa9ow_13_23"/>
      <w:bookmarkStart w:id="1332" w:name="Tc_FrvZuTQlcUqZrgbskZm9mw_13_20"/>
      <w:bookmarkStart w:id="1333" w:name="Tc_QtkXrqbJ_EiJle8CVSJ4Gg_13_17"/>
      <w:bookmarkStart w:id="1334" w:name="Tc_CCdF_qX490ORlsJYx1vWlA_13_14"/>
      <w:bookmarkStart w:id="1335" w:name="Tc_1BEF9JYyl0WJJN5FMJTDkA_13_11"/>
      <w:bookmarkStart w:id="1336" w:name="Tc_kD_sTZDNJkmXH5MR-BPCtQ_13_8"/>
      <w:bookmarkStart w:id="1337" w:name="Tc_G3JiEOr_m06Qj_H4lHP4lQ_13_5"/>
      <w:bookmarkStart w:id="1338" w:name="Tc_AFcJp45EoUW_iQB5V55PsA_13_2"/>
      <w:bookmarkStart w:id="1339" w:name="Tc_Goyn2Lar4U2IGsXwz0scdQ_13_0"/>
      <w:bookmarkStart w:id="1340" w:name="Tc_HnPKZYEEf062AH3AbZNoDw_12_0"/>
      <w:bookmarkStart w:id="1341" w:name="Tc_X1Yvs3yjT0CS_eRAijC44g_11_21"/>
      <w:bookmarkStart w:id="1342" w:name="Tc_6_OZ_xrFKkegnW8dWUx1sA_11_0"/>
      <w:bookmarkStart w:id="1343" w:name="Tc_nDLXZ79Gq0mZ-Ka8iPwVrQ_10_23"/>
      <w:bookmarkStart w:id="1344" w:name="Tc_KSldhszxs0KV_m7OSpNGsQ_10_21"/>
      <w:bookmarkStart w:id="1345" w:name="Tc_kVswY9ZM1EiT00tqcwCr6Q_10_20"/>
      <w:bookmarkStart w:id="1346" w:name="Tc_krpVllsO8U-aljyLWkAFBw_10_17"/>
      <w:bookmarkStart w:id="1347" w:name="Tc_teLdBYeRXUy-e-cPnTebgQ_10_14"/>
      <w:bookmarkStart w:id="1348" w:name="Tc_6mNOkx90YEyfGteQ5xG7dw_10_11"/>
      <w:bookmarkStart w:id="1349" w:name="Tc_PDQJf55SCUqzNg3gB31M9w_10_8"/>
      <w:bookmarkStart w:id="1350" w:name="Tc_9_lHreZNmU6Jnn6d6vZkaw_10_5"/>
      <w:bookmarkStart w:id="1351" w:name="Tc_qfCXLdX2XkuTpbdA5jzVXA_10_2"/>
      <w:bookmarkStart w:id="1352" w:name="Tc_W4jezzfl_UGCywgzQvA36Q_10_0"/>
      <w:bookmarkStart w:id="1353" w:name="Tc_9f06UODX_k-08Iams8UrLg_9_0"/>
      <w:bookmarkStart w:id="1354" w:name="Tc_cB127_7wmEeD9QltIXHTbQ_7_23"/>
      <w:bookmarkStart w:id="1355" w:name="Tc_VlUG1ZCK802Jq74dI1Iw_Q_7_20"/>
      <w:bookmarkStart w:id="1356" w:name="Tc_c0uXbnqxuke1RNscR8oQiA_7_17"/>
      <w:bookmarkStart w:id="1357" w:name="Tc_D1UO4kWjCkq-hdouI3ldJg_7_14"/>
      <w:bookmarkStart w:id="1358" w:name="Tc_gNEc1yBmhUW3odFGdVJ4kw_7_11"/>
      <w:bookmarkStart w:id="1359" w:name="Tc_rCrL-3_wOkmJ21nD4Z_-cQ_7_8"/>
      <w:bookmarkStart w:id="1360" w:name="Tc_uc2ki_I7jEyxfZnw9FZ6iQ_7_5"/>
      <w:bookmarkStart w:id="1361" w:name="Tc_5QXajTbWB0S8azL8gc6P1g_7_2"/>
      <w:bookmarkStart w:id="1362" w:name="Tc_3WplhbS0dEyc0GUVbYqPJw_7_0"/>
      <w:bookmarkStart w:id="1363" w:name="Tc__LKKSkxeP0uAaiamvNuQYw_6_0"/>
      <w:bookmarkStart w:id="1364" w:name="Tc_7QleJVJowkK8qS_ocNiDfA_5_0"/>
      <w:bookmarkStart w:id="1365" w:name="Tc_RYgNufOuSEue60uj7pApzQ_4_23"/>
      <w:bookmarkStart w:id="1366" w:name="Tc_wTO37YrWSUWlocArA37lTg_4_21"/>
      <w:bookmarkStart w:id="1367" w:name="Tc_jfKFuGeIEUGX_chvXRn0Iw_4_20"/>
      <w:bookmarkStart w:id="1368" w:name="Tc__blMS3Au9kuwSL6letEDUQ_4_17"/>
      <w:bookmarkStart w:id="1369" w:name="Tc_NrY8vyTLfkm5jYwcQwyfJw_4_14"/>
      <w:bookmarkStart w:id="1370" w:name="Tc_4PtGx-fojk-P4NPIzmXb8w_4_11"/>
      <w:bookmarkStart w:id="1371" w:name="Tc_-alOAGOzVEOEngiIM30nog_4_8"/>
      <w:bookmarkStart w:id="1372" w:name="Tc_kT1mSuJs1USyZruk3cUkNw_4_5"/>
      <w:bookmarkStart w:id="1373" w:name="Tc_VEHv-juwXkGFsHkaFvOgbQ_4_4"/>
      <w:bookmarkStart w:id="1374" w:name="Tc_Vl_PTWsnl0GxqLId4ZyqZA_4_2"/>
      <w:bookmarkStart w:id="1375" w:name="Tc_jZvIdb8YwEyoyemnCzCVyw_4_0"/>
      <w:bookmarkStart w:id="1376" w:name="Tc_oC2Hj464hkWGtwkMxiCb3w_3_0"/>
      <w:bookmarkStart w:id="1377" w:name="Tc_rpoWSx5IvUypxVqyJOZBlg_2_23"/>
      <w:bookmarkStart w:id="1378" w:name="Tc_F1D5n9h-wEqVySs778m3YA_2_20"/>
      <w:bookmarkStart w:id="1379" w:name="Tc_smjXXzV8nkCgF2ZsflYcDA_2_17"/>
      <w:bookmarkStart w:id="1380" w:name="Tc_1Sce3EXJhE6evRLGCXPJXA_2_14"/>
      <w:bookmarkStart w:id="1381" w:name="Tc_E6bxa-iZfUypq7bE_y7OSg_2_11"/>
      <w:bookmarkStart w:id="1382" w:name="Tc_KbWeWPZ2R0C4HAaLp-NtDQ_2_8"/>
      <w:bookmarkStart w:id="1383" w:name="Tc_HqTXheYKtEGallKBFcIyug_2_5"/>
      <w:bookmarkStart w:id="1384" w:name="Tc_W3riI2JqgUyWTkD6v21f8Q_2_2"/>
      <w:bookmarkStart w:id="1385" w:name="Tc_-9APj7BiokWiF65iUWstnA_1_2"/>
      <w:bookmarkStart w:id="1386" w:name="_17de32d2_9c9b_4c64_baed_0cbe01413db9"/>
      <w:bookmarkStart w:id="1387" w:name="Tc_HhBl7RM5d02ykQkF63aGdQ_13_23"/>
      <w:bookmarkStart w:id="1388" w:name="Tc_7gMkusrGl0SUGQRrJW3QHA_13_20"/>
      <w:bookmarkStart w:id="1389" w:name="Tc_EBlzA_3sDUemmc_kRRTBcQ_13_17"/>
      <w:bookmarkStart w:id="1390" w:name="Tc_o60D-EGdcUq3InrLqQCuOg_13_14"/>
      <w:bookmarkStart w:id="1391" w:name="Tc_8KnI-g_eFkeeKspXIAeKMw_13_11"/>
      <w:bookmarkStart w:id="1392" w:name="Tc_QWWVCio1LUC-i8mNHtBGUg_13_8"/>
      <w:bookmarkStart w:id="1393" w:name="Tc_klpADhgGTk2DUBIsJg2AvA_13_5"/>
      <w:bookmarkStart w:id="1394" w:name="Tc_GNUnxD41XE2Ue6LRb9Bm2g_13_2"/>
      <w:bookmarkStart w:id="1395" w:name="Tc_nl0hlEE0CUibg8nG384QKw_13_0"/>
      <w:bookmarkStart w:id="1396" w:name="Tc_BeVIYWeYz0-YJhOU550aBw_12_10"/>
      <w:bookmarkStart w:id="1397" w:name="Tc_lhcoGnuhB0mKSxl_tegpZA_12_0"/>
      <w:bookmarkStart w:id="1398" w:name="Tc_avUnDADLsEK95EHL2rqRdw_11_0"/>
      <w:bookmarkStart w:id="1399" w:name="Tc__0t5iNnZmEOVVnae3gSEgg_10_23"/>
      <w:bookmarkStart w:id="1400" w:name="Tc_ITjOQ0DCBES1z_hJc1CaQA_10_21"/>
      <w:bookmarkStart w:id="1401" w:name="Tc_5keF2rmmSE6ARw_xbUT7ag_10_20"/>
      <w:bookmarkStart w:id="1402" w:name="Tc_-le6FnmNH0yZOZC0c6XO0w_10_17"/>
      <w:bookmarkStart w:id="1403" w:name="Tc_s4JaFj-84EiMRgkMkGIDjQ_10_14"/>
      <w:bookmarkStart w:id="1404" w:name="Tc_iP7sf9jDIEGvd46caUl8YQ_10_11"/>
      <w:bookmarkStart w:id="1405" w:name="Tc_FVI7Ym_DvE-kJE11Llt3nw_10_8"/>
      <w:bookmarkStart w:id="1406" w:name="Tc_2hublS4TOU6SR-nvG0DUKw_10_5"/>
      <w:bookmarkStart w:id="1407" w:name="Tc_0Xow4NzoIUaakKX89GU43g_10_3"/>
      <w:bookmarkStart w:id="1408" w:name="Tc_SqWh5TiUKU2i1M-Jy70AkA_10_2"/>
      <w:bookmarkStart w:id="1409" w:name="Tc_Pn6xbUmZG0uiCZJE1bLT8g_10_0"/>
      <w:bookmarkStart w:id="1410" w:name="Tc_GlHInpHehUe4srHz6cdgYw_9_0"/>
      <w:bookmarkStart w:id="1411" w:name="Tc_PnB8sSm4T0SXgB6XQes2hg_7_23"/>
      <w:bookmarkStart w:id="1412" w:name="Tc_gB3h06-owUaBkJritdK5Xw_7_20"/>
      <w:bookmarkStart w:id="1413" w:name="Tc_fsmc5sLX1kulcOybne4hRg_7_17"/>
      <w:bookmarkStart w:id="1414" w:name="Tc_M7_b9F_fb0i8_OkR3ucJ3g_7_14"/>
      <w:bookmarkStart w:id="1415" w:name="Tc_DHT9l6y-Vk-RVF3FlLEcDw_7_11"/>
      <w:bookmarkStart w:id="1416" w:name="Tc_SmgcUMIYlkimZJA5Uizj-Q_7_8"/>
      <w:bookmarkStart w:id="1417" w:name="Tc_MpqADIW1DUukz2zIcWmU0Q_7_5"/>
      <w:bookmarkStart w:id="1418" w:name="Tc_kEtnGIRe5ESecJ4QfWF4dA_7_2"/>
      <w:bookmarkStart w:id="1419" w:name="Tc_Da13Vi1Q7EiBOzFZ-tfvrw_7_0"/>
      <w:bookmarkStart w:id="1420" w:name="Tc_701-H648DUiWuq7E_ZnUUg_6_0"/>
      <w:bookmarkStart w:id="1421" w:name="Tc_fRWeDwpLMkmwV1SSVwnqXg_5_0"/>
      <w:bookmarkStart w:id="1422" w:name="Tc_tq_aefrrlUukLAwzNOGM6g_4_23"/>
      <w:bookmarkStart w:id="1423" w:name="Tc_mgVKXO4VI0yaars7bAqu0g_4_21"/>
      <w:bookmarkStart w:id="1424" w:name="Tc_vkJx6VdvcUWSeOswR9J9-Q_4_20"/>
      <w:bookmarkStart w:id="1425" w:name="Tc_qJBKjiaNS0Wjbu_CfnjGQg_4_17"/>
      <w:bookmarkStart w:id="1426" w:name="Tc_HHqanWF6BEuAa4l1qqPbKg_4_14"/>
      <w:bookmarkStart w:id="1427" w:name="Tc_sNqPIO34gkqesBRM5LsbyA_4_11"/>
      <w:bookmarkStart w:id="1428" w:name="Tc_J1Wm6ekdwUCM4UHCDB0rfQ_4_8"/>
      <w:bookmarkStart w:id="1429" w:name="Tc_BMzaQ54ZgUyE_hA4b-ETkw_4_5"/>
      <w:bookmarkStart w:id="1430" w:name="Tc_zeCl5GR690mQn2RaUEgkdw_4_4"/>
      <w:bookmarkStart w:id="1431" w:name="Tc_FAxWmXQe10i594cv4lH_Ww_4_2"/>
      <w:bookmarkStart w:id="1432" w:name="Tc_p8wqNnMOQUuEsP8DG67Fvw_4_0"/>
      <w:bookmarkStart w:id="1433" w:name="Tc_-Y0EgfLs4U6_1qKP0UJpzA_3_0"/>
      <w:bookmarkStart w:id="1434" w:name="Tc_lh1QhYA3wUenZvaWTtpPyw_2_23"/>
      <w:bookmarkStart w:id="1435" w:name="Tc_SgIjyu4yoEaNb7N3Jgb_7g_2_20"/>
      <w:bookmarkStart w:id="1436" w:name="Tc_fTB7RVLOP0ipVHOXXqrWmA_2_17"/>
      <w:bookmarkStart w:id="1437" w:name="Tc_MTJWSW1qdU-07CUlIuvnRA_2_14"/>
      <w:bookmarkStart w:id="1438" w:name="Tc_8NfgITF7bU2UQsLBbEm8Aw_2_11"/>
      <w:bookmarkStart w:id="1439" w:name="Tc_jqJNrY1-6Eim7yeTe7Fy3Q_2_8"/>
      <w:bookmarkStart w:id="1440" w:name="Tc_vQSEKbRhoEyAEBlmy_uytA_2_5"/>
      <w:bookmarkStart w:id="1441" w:name="Tc_7Kz1jEuLqkGSte1WcqfBGA_2_2"/>
      <w:bookmarkStart w:id="1442" w:name="Tc_mx1JogoRsEimppSo9Hj7Tw_1_2"/>
      <w:bookmarkStart w:id="1443" w:name="_2961739f_44d2_4f80_bf62_42a484c91051"/>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r>
        <w:rPr>
          <w:rFonts w:ascii="Times New Roman;Times;serif" w:hAnsi="Times New Roman;Times;serif"/>
          <w:sz w:val="20"/>
        </w:rPr>
        <w:t>Summarized balance sheets for the Company’s unconsolidated JVs are as follows:</w:t>
      </w:r>
    </w:p>
    <w:tbl>
      <w:tblPr>
        <w:tblW w:w="10205" w:type="dxa"/>
        <w:jc w:val="left"/>
        <w:tblInd w:w="0" w:type="dxa"/>
        <w:tblLayout w:type="fixed"/>
        <w:tblCellMar>
          <w:top w:w="0" w:type="dxa"/>
          <w:left w:w="0" w:type="dxa"/>
          <w:bottom w:w="0" w:type="dxa"/>
          <w:right w:w="0" w:type="dxa"/>
        </w:tblCellMar>
      </w:tblPr>
      <w:tblGrid>
        <w:gridCol w:w="1380"/>
        <w:gridCol w:w="109"/>
        <w:gridCol w:w="254"/>
        <w:gridCol w:w="899"/>
        <w:gridCol w:w="214"/>
        <w:gridCol w:w="271"/>
        <w:gridCol w:w="838"/>
        <w:gridCol w:w="109"/>
        <w:gridCol w:w="204"/>
        <w:gridCol w:w="630"/>
        <w:gridCol w:w="229"/>
        <w:gridCol w:w="203"/>
        <w:gridCol w:w="622"/>
        <w:gridCol w:w="109"/>
        <w:gridCol w:w="198"/>
        <w:gridCol w:w="609"/>
        <w:gridCol w:w="109"/>
        <w:gridCol w:w="272"/>
        <w:gridCol w:w="714"/>
        <w:gridCol w:w="109"/>
        <w:gridCol w:w="347"/>
        <w:gridCol w:w="667"/>
        <w:gridCol w:w="109"/>
        <w:gridCol w:w="196"/>
        <w:gridCol w:w="804"/>
      </w:tblGrid>
      <w:tr>
        <w:trPr/>
        <w:tc>
          <w:tcPr>
            <w:tcW w:w="13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6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left"/>
              <w:rPr/>
            </w:pPr>
            <w:r>
              <w:rPr/>
              <w:t>​</w:t>
            </w:r>
          </w:p>
        </w:tc>
      </w:tr>
      <w:tr>
        <w:trPr/>
        <w:tc>
          <w:tcPr>
            <w:tcW w:w="13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716"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2025</w:t>
            </w:r>
          </w:p>
        </w:tc>
      </w:tr>
      <w:tr>
        <w:trPr/>
        <w:tc>
          <w:tcPr>
            <w:tcW w:w="13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Latitude Margaritaville Watersound JV</w:t>
            </w:r>
          </w:p>
        </w:tc>
        <w:tc>
          <w:tcPr>
            <w:tcW w:w="214" w:type="dxa"/>
            <w:tcBorders/>
            <w:vAlign w:val="center"/>
          </w:tcPr>
          <w:p>
            <w:pPr>
              <w:pStyle w:val="TableContents"/>
              <w:bidi w:val="0"/>
              <w:spacing w:before="0" w:after="1"/>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Watersound Fountains Independent Living JV</w:t>
            </w:r>
          </w:p>
        </w:tc>
        <w:tc>
          <w:tcPr>
            <w:tcW w:w="109" w:type="dxa"/>
            <w:tcBorders/>
            <w:vAlign w:val="center"/>
          </w:tcPr>
          <w:p>
            <w:pPr>
              <w:pStyle w:val="TableContents"/>
              <w:bidi w:val="0"/>
              <w:spacing w:before="0" w:after="1"/>
              <w:ind w:left="0" w:right="0" w:hanging="0"/>
              <w:jc w:val="center"/>
              <w:rPr/>
            </w:pPr>
            <w:r>
              <w:rPr/>
              <w:t>​</w:t>
            </w:r>
          </w:p>
        </w:tc>
        <w:tc>
          <w:tcPr>
            <w:tcW w:w="8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229" w:type="dxa"/>
            <w:tcBorders/>
            <w:vAlign w:val="center"/>
          </w:tcPr>
          <w:p>
            <w:pPr>
              <w:pStyle w:val="TableContents"/>
              <w:bidi w:val="0"/>
              <w:spacing w:before="0" w:after="1"/>
              <w:ind w:left="0" w:right="0" w:hanging="0"/>
              <w:jc w:val="center"/>
              <w:rPr/>
            </w:pPr>
            <w:r>
              <w:rPr/>
              <w:t>​</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vAlign w:val="center"/>
          </w:tcPr>
          <w:p>
            <w:pPr>
              <w:pStyle w:val="TableContents"/>
              <w:bidi w:val="0"/>
              <w:spacing w:before="0" w:after="1"/>
              <w:ind w:left="0" w:right="0" w:hanging="0"/>
              <w:jc w:val="center"/>
              <w:rPr/>
            </w:pPr>
            <w:r>
              <w:rPr/>
              <w:t>​</w:t>
            </w:r>
          </w:p>
        </w:tc>
        <w:tc>
          <w:tcPr>
            <w:tcW w:w="8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109" w:type="dxa"/>
            <w:tcBorders/>
            <w:vAlign w:val="center"/>
          </w:tcPr>
          <w:p>
            <w:pPr>
              <w:pStyle w:val="TableContents"/>
              <w:bidi w:val="0"/>
              <w:spacing w:before="0" w:after="1"/>
              <w:ind w:left="0" w:right="0" w:hanging="0"/>
              <w:jc w:val="center"/>
              <w:rPr/>
            </w:pPr>
            <w:r>
              <w:rPr/>
              <w:t>​</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1"/>
              <w:ind w:left="0" w:right="0" w:hanging="0"/>
              <w:jc w:val="center"/>
              <w:rPr/>
            </w:pPr>
            <w:r>
              <w:rPr/>
              <w:t>​</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1"/>
              <w:ind w:left="0" w:right="0" w:hanging="0"/>
              <w:jc w:val="left"/>
              <w:rPr/>
            </w:pPr>
            <w:r>
              <w:rPr/>
              <w:t>​</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38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66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left"/>
              <w:rPr/>
            </w:pPr>
            <w:r>
              <w:rPr/>
              <w:t>​</w:t>
            </w:r>
          </w:p>
        </w:tc>
      </w:tr>
      <w:tr>
        <w:trPr/>
        <w:tc>
          <w:tcPr>
            <w:tcW w:w="13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in real estate, net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108,617</w:t>
            </w:r>
          </w:p>
        </w:tc>
        <w:tc>
          <w:tcPr>
            <w:tcW w:w="214" w:type="dxa"/>
            <w:tcBorders/>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sz w:val="14"/>
              </w:rPr>
              <w:t>(a)</w:t>
            </w:r>
          </w:p>
        </w:tc>
        <w:tc>
          <w:tcPr>
            <w:tcW w:w="2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47,929</w:t>
            </w:r>
          </w:p>
        </w:tc>
        <w:tc>
          <w:tcPr>
            <w:tcW w:w="109"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11,469</w:t>
            </w:r>
          </w:p>
        </w:tc>
        <w:tc>
          <w:tcPr>
            <w:tcW w:w="22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30,773</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7,643</w:t>
            </w:r>
          </w:p>
        </w:tc>
        <w:tc>
          <w:tcPr>
            <w:tcW w:w="109"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4,904</w:t>
            </w:r>
          </w:p>
        </w:tc>
        <w:tc>
          <w:tcPr>
            <w:tcW w:w="10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211,335</w:t>
            </w:r>
          </w:p>
        </w:tc>
      </w:tr>
      <w:tr>
        <w:trPr/>
        <w:tc>
          <w:tcPr>
            <w:tcW w:w="13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11,121</w:t>
            </w:r>
          </w:p>
        </w:tc>
        <w:tc>
          <w:tcPr>
            <w:tcW w:w="214"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w:t>
            </w:r>
          </w:p>
        </w:tc>
        <w:tc>
          <w:tcPr>
            <w:tcW w:w="109" w:type="dxa"/>
            <w:tcBorders/>
            <w:shd w:fill="CCEEFF" w:val="clear"/>
            <w:vAlign w:val="center"/>
          </w:tcPr>
          <w:p>
            <w:pPr>
              <w:pStyle w:val="TableContents"/>
              <w:bidi w:val="0"/>
              <w:spacing w:before="0" w:after="1"/>
              <w:ind w:left="0" w:right="0" w:hanging="0"/>
              <w:jc w:val="righ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w:t>
            </w:r>
          </w:p>
        </w:tc>
        <w:tc>
          <w:tcPr>
            <w:tcW w:w="229"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1,005</w:t>
            </w:r>
          </w:p>
        </w:tc>
        <w:tc>
          <w:tcPr>
            <w:tcW w:w="109"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712</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6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13,791</w:t>
            </w:r>
          </w:p>
        </w:tc>
      </w:tr>
      <w:tr>
        <w:trPr/>
        <w:tc>
          <w:tcPr>
            <w:tcW w:w="13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1,089</w:t>
            </w:r>
          </w:p>
        </w:tc>
        <w:tc>
          <w:tcPr>
            <w:tcW w:w="214" w:type="dxa"/>
            <w:tcBorders/>
            <w:vAlign w:val="center"/>
          </w:tcPr>
          <w:p>
            <w:pPr>
              <w:pStyle w:val="TableContents"/>
              <w:bidi w:val="0"/>
              <w:spacing w:before="0" w:after="1"/>
              <w:ind w:left="0" w:right="0" w:hanging="0"/>
              <w:jc w:val="righ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w:t>
            </w:r>
          </w:p>
        </w:tc>
        <w:tc>
          <w:tcPr>
            <w:tcW w:w="109" w:type="dxa"/>
            <w:tcBorders/>
            <w:vAlign w:val="center"/>
          </w:tcPr>
          <w:p>
            <w:pPr>
              <w:pStyle w:val="TableContents"/>
              <w:bidi w:val="0"/>
              <w:spacing w:before="0" w:after="1"/>
              <w:ind w:left="0" w:right="0" w:hanging="0"/>
              <w:jc w:val="righ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w:t>
            </w:r>
          </w:p>
        </w:tc>
        <w:tc>
          <w:tcPr>
            <w:tcW w:w="229"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w:t>
            </w:r>
          </w:p>
        </w:tc>
        <w:tc>
          <w:tcPr>
            <w:tcW w:w="10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1,701</w:t>
            </w:r>
          </w:p>
        </w:tc>
        <w:tc>
          <w:tcPr>
            <w:tcW w:w="109" w:type="dxa"/>
            <w:tcBorders/>
            <w:vAlign w:val="center"/>
          </w:tcPr>
          <w:p>
            <w:pPr>
              <w:pStyle w:val="TableContents"/>
              <w:bidi w:val="0"/>
              <w:spacing w:before="0" w:after="1"/>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529</w:t>
            </w:r>
          </w:p>
        </w:tc>
        <w:tc>
          <w:tcPr>
            <w:tcW w:w="109" w:type="dxa"/>
            <w:tcBorders/>
            <w:vAlign w:val="center"/>
          </w:tcPr>
          <w:p>
            <w:pPr>
              <w:pStyle w:val="TableContents"/>
              <w:bidi w:val="0"/>
              <w:spacing w:before="0" w:after="1"/>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3,961</w:t>
            </w:r>
          </w:p>
        </w:tc>
      </w:tr>
      <w:tr>
        <w:trPr/>
        <w:tc>
          <w:tcPr>
            <w:tcW w:w="138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120,827</w:t>
            </w:r>
          </w:p>
        </w:tc>
        <w:tc>
          <w:tcPr>
            <w:tcW w:w="214" w:type="dxa"/>
            <w:tcBorders/>
            <w:shd w:fill="CCEEFF" w:val="clear"/>
            <w:vAlign w:val="center"/>
          </w:tcPr>
          <w:p>
            <w:pPr>
              <w:pStyle w:val="TableContents"/>
              <w:bidi w:val="0"/>
              <w:spacing w:before="0" w:after="1"/>
              <w:ind w:left="0" w:right="0" w:hanging="0"/>
              <w:jc w:val="righ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48,419</w:t>
            </w:r>
          </w:p>
        </w:tc>
        <w:tc>
          <w:tcPr>
            <w:tcW w:w="109" w:type="dxa"/>
            <w:tcBorders/>
            <w:shd w:fill="CCEEFF" w:val="clear"/>
            <w:vAlign w:val="center"/>
          </w:tcPr>
          <w:p>
            <w:pPr>
              <w:pStyle w:val="TableContents"/>
              <w:bidi w:val="0"/>
              <w:spacing w:before="0" w:after="1"/>
              <w:ind w:left="0" w:right="0" w:hanging="0"/>
              <w:jc w:val="righ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11,904</w:t>
            </w:r>
          </w:p>
        </w:tc>
        <w:tc>
          <w:tcPr>
            <w:tcW w:w="229"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31,269</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10,349</w:t>
            </w:r>
          </w:p>
        </w:tc>
        <w:tc>
          <w:tcPr>
            <w:tcW w:w="109"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6,145</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229,087</w:t>
            </w:r>
          </w:p>
        </w:tc>
      </w:tr>
      <w:tr>
        <w:trPr/>
        <w:tc>
          <w:tcPr>
            <w:tcW w:w="13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04"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6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left"/>
              <w:rPr/>
            </w:pPr>
            <w:r>
              <w:rPr/>
              <w:t>​</w:t>
            </w:r>
          </w:p>
        </w:tc>
      </w:tr>
      <w:tr>
        <w:trPr/>
        <w:tc>
          <w:tcPr>
            <w:tcW w:w="138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EQUITY</w:t>
            </w:r>
          </w:p>
        </w:tc>
        <w:tc>
          <w:tcPr>
            <w:tcW w:w="109" w:type="dxa"/>
            <w:tcBorders/>
            <w:shd w:fill="CCEEFF" w:val="clear"/>
            <w:vAlign w:val="center"/>
          </w:tcPr>
          <w:p>
            <w:pPr>
              <w:pStyle w:val="TableContents"/>
              <w:bidi w:val="0"/>
              <w:spacing w:before="0" w:after="1"/>
              <w:ind w:left="0" w:right="0" w:hanging="0"/>
              <w:jc w:val="center"/>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left"/>
              <w:rPr/>
            </w:pPr>
            <w:r>
              <w:rPr/>
              <w:t> </w:t>
            </w:r>
          </w:p>
        </w:tc>
        <w:tc>
          <w:tcPr>
            <w:tcW w:w="214"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left"/>
              <w:rPr/>
            </w:pPr>
            <w:r>
              <w:rPr/>
              <w:t> </w:t>
            </w:r>
          </w:p>
        </w:tc>
        <w:tc>
          <w:tcPr>
            <w:tcW w:w="229"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09"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667"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left"/>
              <w:rPr/>
            </w:pPr>
            <w:r>
              <w:rPr/>
              <w:t> </w:t>
            </w:r>
          </w:p>
        </w:tc>
      </w:tr>
      <w:tr>
        <w:trPr/>
        <w:tc>
          <w:tcPr>
            <w:tcW w:w="13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Debt, net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41,037</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12,802</w:t>
            </w:r>
          </w:p>
        </w:tc>
        <w:tc>
          <w:tcPr>
            <w:tcW w:w="22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15,965</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5,025</w:t>
            </w:r>
          </w:p>
        </w:tc>
        <w:tc>
          <w:tcPr>
            <w:tcW w:w="109"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4,430</w:t>
            </w:r>
          </w:p>
        </w:tc>
        <w:tc>
          <w:tcPr>
            <w:tcW w:w="10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79,259</w:t>
            </w:r>
          </w:p>
        </w:tc>
      </w:tr>
      <w:tr>
        <w:trPr/>
        <w:tc>
          <w:tcPr>
            <w:tcW w:w="13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30,670</w:t>
            </w:r>
          </w:p>
        </w:tc>
        <w:tc>
          <w:tcPr>
            <w:tcW w:w="214"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992</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w:t>
            </w:r>
          </w:p>
        </w:tc>
        <w:tc>
          <w:tcPr>
            <w:tcW w:w="229"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w:t>
            </w:r>
          </w:p>
        </w:tc>
        <w:tc>
          <w:tcPr>
            <w:tcW w:w="109"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354</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6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32,914</w:t>
            </w:r>
          </w:p>
        </w:tc>
      </w:tr>
      <w:tr>
        <w:trPr/>
        <w:tc>
          <w:tcPr>
            <w:tcW w:w="13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(deficit)</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90,157</w:t>
            </w:r>
          </w:p>
        </w:tc>
        <w:tc>
          <w:tcPr>
            <w:tcW w:w="214" w:type="dxa"/>
            <w:tcBorders/>
            <w:vAlign w:val="center"/>
          </w:tcPr>
          <w:p>
            <w:pPr>
              <w:pStyle w:val="TableContents"/>
              <w:bidi w:val="0"/>
              <w:spacing w:before="0" w:after="1"/>
              <w:ind w:left="0" w:right="0" w:hanging="0"/>
              <w:jc w:val="righ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6,390</w:t>
            </w:r>
          </w:p>
        </w:tc>
        <w:tc>
          <w:tcPr>
            <w:tcW w:w="109"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(1,079)</w:t>
            </w:r>
          </w:p>
        </w:tc>
        <w:tc>
          <w:tcPr>
            <w:tcW w:w="229"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(b)</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14,983</w:t>
            </w:r>
          </w:p>
        </w:tc>
        <w:tc>
          <w:tcPr>
            <w:tcW w:w="10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4,981</w:t>
            </w:r>
          </w:p>
        </w:tc>
        <w:tc>
          <w:tcPr>
            <w:tcW w:w="109" w:type="dxa"/>
            <w:tcBorders/>
            <w:vAlign w:val="center"/>
          </w:tcPr>
          <w:p>
            <w:pPr>
              <w:pStyle w:val="TableContents"/>
              <w:bidi w:val="0"/>
              <w:spacing w:before="0" w:after="1"/>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1,361</w:t>
            </w:r>
          </w:p>
        </w:tc>
        <w:tc>
          <w:tcPr>
            <w:tcW w:w="109" w:type="dxa"/>
            <w:tcBorders/>
            <w:vAlign w:val="center"/>
          </w:tcPr>
          <w:p>
            <w:pPr>
              <w:pStyle w:val="TableContents"/>
              <w:bidi w:val="0"/>
              <w:spacing w:before="0" w:after="1"/>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116,914</w:t>
            </w:r>
          </w:p>
        </w:tc>
      </w:tr>
      <w:tr>
        <w:trPr/>
        <w:tc>
          <w:tcPr>
            <w:tcW w:w="138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equity</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120,827</w:t>
            </w:r>
          </w:p>
        </w:tc>
        <w:tc>
          <w:tcPr>
            <w:tcW w:w="214" w:type="dxa"/>
            <w:tcBorders/>
            <w:shd w:fill="CCEEFF" w:val="clear"/>
            <w:vAlign w:val="center"/>
          </w:tcPr>
          <w:p>
            <w:pPr>
              <w:pStyle w:val="TableContents"/>
              <w:bidi w:val="0"/>
              <w:spacing w:before="0" w:after="1"/>
              <w:ind w:left="0" w:right="0" w:hanging="0"/>
              <w:jc w:val="righ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48,419</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11,904</w:t>
            </w:r>
          </w:p>
        </w:tc>
        <w:tc>
          <w:tcPr>
            <w:tcW w:w="229"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31,269</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10,349</w:t>
            </w:r>
          </w:p>
        </w:tc>
        <w:tc>
          <w:tcPr>
            <w:tcW w:w="109"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6,145</w:t>
            </w:r>
          </w:p>
        </w:tc>
        <w:tc>
          <w:tcPr>
            <w:tcW w:w="109" w:type="dxa"/>
            <w:tcBorders/>
            <w:shd w:fill="CCEEFF" w:val="clear"/>
            <w:vAlign w:val="center"/>
          </w:tcPr>
          <w:p>
            <w:pPr>
              <w:pStyle w:val="TableContents"/>
              <w:bidi w:val="0"/>
              <w:spacing w:before="0" w:after="1"/>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229,087</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283"/>
              <w:jc w:val="left"/>
              <w:rPr>
                <w:rFonts w:ascii="TimesNewRomanPSMT" w:hAnsi="TimesNewRomanPSMT"/>
                <w:sz w:val="18"/>
              </w:rPr>
            </w:pPr>
            <w:r>
              <w:rPr>
                <w:rFonts w:ascii="TimesNewRomanPSMT" w:hAnsi="TimesNewRomanPSMT"/>
                <w:sz w:val="18"/>
              </w:rPr>
              <w:t>(a)</w:t>
            </w:r>
          </w:p>
        </w:tc>
        <w:tc>
          <w:tcPr>
            <w:tcW w:w="98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Investment in real estate, net includes the initial land contributed to the Latitude Margaritaville Watersound JV at the Company’s historical cost basis and additional completed infrastructure improvements</w:t>
            </w:r>
            <w:r>
              <w:rPr>
                <w:rFonts w:ascii="TimesNewRomanPSMT" w:hAnsi="TimesNewRomanPSMT"/>
                <w:b w:val="false"/>
                <w:i w:val="false"/>
                <w:caps w:val="false"/>
                <w:smallCaps w:val="false"/>
                <w:sz w:val="18"/>
              </w:rPr>
              <w:t>.</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rFonts w:ascii="TimesNewRomanPSMT" w:hAnsi="TimesNewRomanPSMT"/>
                <w:sz w:val="18"/>
              </w:rPr>
            </w:pPr>
            <w:r>
              <w:rPr>
                <w:rFonts w:ascii="TimesNewRomanPSMT" w:hAnsi="TimesNewRomanPSMT"/>
                <w:sz w:val="18"/>
              </w:rPr>
              <w:t>(b)</w:t>
            </w:r>
          </w:p>
        </w:tc>
        <w:tc>
          <w:tcPr>
            <w:tcW w:w="9869" w:type="dxa"/>
            <w:tcBorders/>
            <w:vAlign w:val="center"/>
          </w:tcPr>
          <w:p>
            <w:pPr>
              <w:pStyle w:val="TableContents"/>
              <w:bidi w:val="0"/>
              <w:spacing w:before="0" w:after="283"/>
              <w:jc w:val="left"/>
              <w:rPr/>
            </w:pPr>
            <w:r>
              <w:rPr>
                <w:rFonts w:ascii="TimesNewRomanPSMT" w:hAnsi="TimesNewRomanPSMT"/>
                <w:b w:val="false"/>
                <w:i w:val="false"/>
                <w:caps w:val="false"/>
                <w:smallCaps w:val="false"/>
                <w:sz w:val="18"/>
              </w:rPr>
              <w:t>Deficit includes cash distributions and non-cash depreciation and amortization expense. The Company and JV partner each initially contributed assets valued at $3.1</w:t>
            </w:r>
            <w:r>
              <w:rPr>
                <w:caps w:val="false"/>
                <w:smallCaps w:val="false"/>
              </w:rPr>
              <w:t xml:space="preserve"> </w:t>
            </w:r>
            <w:r>
              <w:rPr>
                <w:rFonts w:ascii="TimesNewRomanPSMT" w:hAnsi="TimesNewRomanPSMT"/>
                <w:b w:val="false"/>
                <w:i w:val="false"/>
                <w:caps w:val="false"/>
                <w:smallCaps w:val="false"/>
                <w:sz w:val="18"/>
              </w:rPr>
              <w:t>million to the JV, which included land, cash and mitigation credits. As of December 31, 2025, cash</w:t>
            </w:r>
            <w:r>
              <w:rPr>
                <w:caps w:val="false"/>
                <w:smallCaps w:val="false"/>
              </w:rPr>
              <w:t xml:space="preserve"> </w:t>
            </w:r>
            <w:r>
              <w:rPr>
                <w:rFonts w:ascii="TimesNewRomanPSMT" w:hAnsi="TimesNewRomanPSMT"/>
                <w:b w:val="false"/>
                <w:i w:val="false"/>
                <w:caps w:val="false"/>
                <w:smallCaps w:val="false"/>
                <w:sz w:val="18"/>
              </w:rPr>
              <w:t>of $2.9</w:t>
            </w:r>
            <w:r>
              <w:rPr>
                <w:caps w:val="false"/>
                <w:smallCaps w:val="false"/>
              </w:rPr>
              <w:t xml:space="preserve"> </w:t>
            </w:r>
            <w:r>
              <w:rPr>
                <w:rFonts w:ascii="TimesNewRomanPSMT" w:hAnsi="TimesNewRomanPSMT"/>
                <w:b w:val="false"/>
                <w:i w:val="false"/>
                <w:caps w:val="false"/>
                <w:smallCaps w:val="false"/>
                <w:sz w:val="18"/>
              </w:rPr>
              <w:t>million has been distributed to each the Company and JV partner over the past several years</w:t>
            </w:r>
            <w:r>
              <w:rPr>
                <w:rFonts w:ascii="Times New Roman;Times;serif" w:hAnsi="Times New Roman;Times;serif"/>
                <w:b w:val="false"/>
                <w:i w:val="false"/>
                <w:caps w:val="false"/>
                <w:smallCaps w:val="false"/>
                <w:sz w:val="18"/>
              </w:rPr>
              <w:t>.</w:t>
            </w:r>
          </w:p>
        </w:tc>
      </w:tr>
    </w:tbl>
    <w:tbl>
      <w:tblPr>
        <w:tblW w:w="10205" w:type="dxa"/>
        <w:jc w:val="left"/>
        <w:tblInd w:w="0" w:type="dxa"/>
        <w:tblLayout w:type="fixed"/>
        <w:tblCellMar>
          <w:top w:w="0" w:type="dxa"/>
          <w:left w:w="0" w:type="dxa"/>
          <w:bottom w:w="0" w:type="dxa"/>
          <w:right w:w="0" w:type="dxa"/>
        </w:tblCellMar>
      </w:tblPr>
      <w:tblGrid>
        <w:gridCol w:w="1401"/>
        <w:gridCol w:w="109"/>
        <w:gridCol w:w="259"/>
        <w:gridCol w:w="917"/>
        <w:gridCol w:w="215"/>
        <w:gridCol w:w="279"/>
        <w:gridCol w:w="862"/>
        <w:gridCol w:w="109"/>
        <w:gridCol w:w="206"/>
        <w:gridCol w:w="634"/>
        <w:gridCol w:w="109"/>
        <w:gridCol w:w="204"/>
        <w:gridCol w:w="626"/>
        <w:gridCol w:w="109"/>
        <w:gridCol w:w="198"/>
        <w:gridCol w:w="610"/>
        <w:gridCol w:w="109"/>
        <w:gridCol w:w="276"/>
        <w:gridCol w:w="725"/>
        <w:gridCol w:w="109"/>
        <w:gridCol w:w="353"/>
        <w:gridCol w:w="677"/>
        <w:gridCol w:w="109"/>
        <w:gridCol w:w="196"/>
        <w:gridCol w:w="804"/>
      </w:tblGrid>
      <w:tr>
        <w:trPr/>
        <w:tc>
          <w:tcPr>
            <w:tcW w:w="1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left"/>
              <w:rPr/>
            </w:pPr>
            <w:r>
              <w:rPr/>
              <w:t>​</w:t>
            </w:r>
          </w:p>
        </w:tc>
      </w:tr>
      <w:tr>
        <w:trPr/>
        <w:tc>
          <w:tcPr>
            <w:tcW w:w="1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695"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2024</w:t>
            </w:r>
          </w:p>
        </w:tc>
      </w:tr>
      <w:tr>
        <w:trPr/>
        <w:tc>
          <w:tcPr>
            <w:tcW w:w="1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Latitude Margaritaville Watersound JV</w:t>
            </w:r>
          </w:p>
        </w:tc>
        <w:tc>
          <w:tcPr>
            <w:tcW w:w="215"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Watersound Fountains Independent Living JV</w:t>
            </w:r>
          </w:p>
        </w:tc>
        <w:tc>
          <w:tcPr>
            <w:tcW w:w="109" w:type="dxa"/>
            <w:tcBorders/>
            <w:vAlign w:val="center"/>
          </w:tcPr>
          <w:p>
            <w:pPr>
              <w:pStyle w:val="TableContents"/>
              <w:bidi w:val="0"/>
              <w:spacing w:before="0" w:after="1"/>
              <w:ind w:left="0" w:right="0" w:hanging="0"/>
              <w:jc w:val="center"/>
              <w:rPr/>
            </w:pPr>
            <w:r>
              <w:rPr/>
              <w:t>​</w:t>
            </w:r>
          </w:p>
        </w:tc>
        <w:tc>
          <w:tcPr>
            <w:tcW w:w="8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1"/>
              <w:ind w:left="0" w:right="0" w:hanging="0"/>
              <w:jc w:val="center"/>
              <w:rPr/>
            </w:pPr>
            <w:r>
              <w:rPr/>
              <w:t>​</w:t>
            </w:r>
          </w:p>
        </w:tc>
        <w:tc>
          <w:tcPr>
            <w:tcW w:w="8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vAlign w:val="center"/>
          </w:tcPr>
          <w:p>
            <w:pPr>
              <w:pStyle w:val="TableContents"/>
              <w:bidi w:val="0"/>
              <w:spacing w:before="0" w:after="1"/>
              <w:ind w:left="0" w:right="0" w:hanging="0"/>
              <w:jc w:val="center"/>
              <w:rPr/>
            </w:pPr>
            <w:r>
              <w:rPr/>
              <w:t>​</w:t>
            </w:r>
          </w:p>
        </w:tc>
        <w:tc>
          <w:tcPr>
            <w:tcW w:w="8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109" w:type="dxa"/>
            <w:tcBorders/>
            <w:vAlign w:val="center"/>
          </w:tcPr>
          <w:p>
            <w:pPr>
              <w:pStyle w:val="TableContents"/>
              <w:bidi w:val="0"/>
              <w:spacing w:before="0" w:after="1"/>
              <w:ind w:left="0" w:right="0" w:hanging="0"/>
              <w:jc w:val="center"/>
              <w:rPr/>
            </w:pPr>
            <w:r>
              <w:rPr/>
              <w:t>​</w:t>
            </w:r>
          </w:p>
        </w:tc>
        <w:tc>
          <w:tcPr>
            <w:tcW w:w="10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1"/>
              <w:ind w:left="0" w:right="0" w:hanging="0"/>
              <w:jc w:val="center"/>
              <w:rPr/>
            </w:pPr>
            <w:r>
              <w:rPr/>
              <w:t>​</w:t>
            </w:r>
          </w:p>
        </w:tc>
        <w:tc>
          <w:tcPr>
            <w:tcW w:w="10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1"/>
              <w:ind w:left="0" w:right="0" w:hanging="0"/>
              <w:jc w:val="left"/>
              <w:rPr/>
            </w:pPr>
            <w:r>
              <w:rPr/>
              <w:t>​</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40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1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left"/>
              <w:rPr/>
            </w:pPr>
            <w:r>
              <w:rPr/>
              <w:t>​</w:t>
            </w:r>
          </w:p>
        </w:tc>
      </w:tr>
      <w:tr>
        <w:trPr/>
        <w:tc>
          <w:tcPr>
            <w:tcW w:w="1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in real estate, net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157,336</w:t>
            </w:r>
          </w:p>
        </w:tc>
        <w:tc>
          <w:tcPr>
            <w:tcW w:w="215" w:type="dxa"/>
            <w:tcBorders/>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sz w:val="14"/>
              </w:rPr>
              <w:t>(a)</w:t>
            </w:r>
          </w:p>
        </w:tc>
        <w:tc>
          <w:tcPr>
            <w:tcW w:w="2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50,822</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12,231</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34,576</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8,144</w:t>
            </w:r>
          </w:p>
        </w:tc>
        <w:tc>
          <w:tcPr>
            <w:tcW w:w="109"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5,154</w:t>
            </w:r>
          </w:p>
        </w:tc>
        <w:tc>
          <w:tcPr>
            <w:tcW w:w="109"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268,263</w:t>
            </w:r>
          </w:p>
        </w:tc>
      </w:tr>
      <w:tr>
        <w:trPr/>
        <w:tc>
          <w:tcPr>
            <w:tcW w:w="1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27,706</w:t>
            </w:r>
          </w:p>
        </w:tc>
        <w:tc>
          <w:tcPr>
            <w:tcW w:w="215"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529</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915</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656</w:t>
            </w:r>
          </w:p>
        </w:tc>
        <w:tc>
          <w:tcPr>
            <w:tcW w:w="109"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30,594</w:t>
            </w:r>
          </w:p>
        </w:tc>
      </w:tr>
      <w:tr>
        <w:trPr/>
        <w:tc>
          <w:tcPr>
            <w:tcW w:w="1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2,092</w:t>
            </w:r>
          </w:p>
        </w:tc>
        <w:tc>
          <w:tcPr>
            <w:tcW w:w="215" w:type="dxa"/>
            <w:tcBorders/>
            <w:vAlign w:val="center"/>
          </w:tcPr>
          <w:p>
            <w:pPr>
              <w:pStyle w:val="TableContents"/>
              <w:bidi w:val="0"/>
              <w:spacing w:before="0" w:after="1"/>
              <w:ind w:left="0" w:right="0" w:hanging="0"/>
              <w:jc w:val="righ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w:t>
            </w:r>
          </w:p>
        </w:tc>
        <w:tc>
          <w:tcPr>
            <w:tcW w:w="109" w:type="dxa"/>
            <w:tcBorders/>
            <w:vAlign w:val="center"/>
          </w:tcPr>
          <w:p>
            <w:pPr>
              <w:pStyle w:val="TableContents"/>
              <w:bidi w:val="0"/>
              <w:spacing w:before="0" w:after="1"/>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w:t>
            </w:r>
          </w:p>
        </w:tc>
        <w:tc>
          <w:tcPr>
            <w:tcW w:w="109"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w:t>
            </w:r>
          </w:p>
        </w:tc>
        <w:tc>
          <w:tcPr>
            <w:tcW w:w="10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1,921</w:t>
            </w:r>
          </w:p>
        </w:tc>
        <w:tc>
          <w:tcPr>
            <w:tcW w:w="109"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824</w:t>
            </w:r>
          </w:p>
        </w:tc>
        <w:tc>
          <w:tcPr>
            <w:tcW w:w="109"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5,915</w:t>
            </w:r>
          </w:p>
        </w:tc>
      </w:tr>
      <w:tr>
        <w:trPr/>
        <w:tc>
          <w:tcPr>
            <w:tcW w:w="140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187,134</w:t>
            </w:r>
          </w:p>
        </w:tc>
        <w:tc>
          <w:tcPr>
            <w:tcW w:w="215" w:type="dxa"/>
            <w:tcBorders/>
            <w:shd w:fill="CCEEFF" w:val="clear"/>
            <w:vAlign w:val="center"/>
          </w:tcPr>
          <w:p>
            <w:pPr>
              <w:pStyle w:val="TableContents"/>
              <w:bidi w:val="0"/>
              <w:spacing w:before="0" w:after="1"/>
              <w:ind w:left="0" w:right="0" w:hanging="0"/>
              <w:jc w:val="righ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51,609</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12,938</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35,340</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10,980</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6,634</w:t>
            </w:r>
          </w:p>
        </w:tc>
        <w:tc>
          <w:tcPr>
            <w:tcW w:w="109" w:type="dxa"/>
            <w:tcBorders/>
            <w:shd w:fill="CCEEFF" w:val="clear"/>
            <w:vAlign w:val="center"/>
          </w:tcPr>
          <w:p>
            <w:pPr>
              <w:pStyle w:val="TableContents"/>
              <w:bidi w:val="0"/>
              <w:spacing w:before="0"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304,772</w:t>
            </w:r>
          </w:p>
        </w:tc>
      </w:tr>
      <w:tr>
        <w:trPr/>
        <w:tc>
          <w:tcPr>
            <w:tcW w:w="1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1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pPr>
            <w:r>
              <w:rPr/>
              <w:t>​</w:t>
            </w:r>
          </w:p>
        </w:tc>
      </w:tr>
      <w:tr>
        <w:trPr/>
        <w:tc>
          <w:tcPr>
            <w:tcW w:w="140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EQUITY</w:t>
            </w:r>
          </w:p>
        </w:tc>
        <w:tc>
          <w:tcPr>
            <w:tcW w:w="109" w:type="dxa"/>
            <w:tcBorders/>
            <w:shd w:fill="CCEEFF" w:val="clear"/>
            <w:vAlign w:val="center"/>
          </w:tcPr>
          <w:p>
            <w:pPr>
              <w:pStyle w:val="TableContents"/>
              <w:bidi w:val="0"/>
              <w:spacing w:before="0" w:after="1"/>
              <w:ind w:left="0" w:right="0" w:hanging="0"/>
              <w:jc w:val="center"/>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10"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pPr>
            <w:r>
              <w:rPr/>
              <w:t> </w:t>
            </w:r>
          </w:p>
        </w:tc>
      </w:tr>
      <w:tr>
        <w:trPr/>
        <w:tc>
          <w:tcPr>
            <w:tcW w:w="1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Debt, net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41,054</w:t>
            </w:r>
          </w:p>
        </w:tc>
        <w:tc>
          <w:tcPr>
            <w:tcW w:w="215"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41,482</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13,102</w:t>
            </w:r>
          </w:p>
        </w:tc>
        <w:tc>
          <w:tcPr>
            <w:tcW w:w="109"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24,608</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5,365</w:t>
            </w:r>
          </w:p>
        </w:tc>
        <w:tc>
          <w:tcPr>
            <w:tcW w:w="109"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4,775</w:t>
            </w:r>
          </w:p>
        </w:tc>
        <w:tc>
          <w:tcPr>
            <w:tcW w:w="109"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130,386</w:t>
            </w:r>
          </w:p>
        </w:tc>
      </w:tr>
      <w:tr>
        <w:trPr/>
        <w:tc>
          <w:tcPr>
            <w:tcW w:w="1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59,832</w:t>
            </w:r>
          </w:p>
        </w:tc>
        <w:tc>
          <w:tcPr>
            <w:tcW w:w="215"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2,794</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w:t>
            </w:r>
          </w:p>
        </w:tc>
        <w:tc>
          <w:tcPr>
            <w:tcW w:w="109"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63,774</w:t>
            </w:r>
          </w:p>
        </w:tc>
      </w:tr>
      <w:tr>
        <w:trPr/>
        <w:tc>
          <w:tcPr>
            <w:tcW w:w="1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(deficit)</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86,248</w:t>
            </w:r>
          </w:p>
        </w:tc>
        <w:tc>
          <w:tcPr>
            <w:tcW w:w="215" w:type="dxa"/>
            <w:tcBorders/>
            <w:vAlign w:val="center"/>
          </w:tcPr>
          <w:p>
            <w:pPr>
              <w:pStyle w:val="TableContents"/>
              <w:bidi w:val="0"/>
              <w:spacing w:before="0" w:after="1"/>
              <w:ind w:left="0" w:right="0" w:hanging="0"/>
              <w:jc w:val="righ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7,333</w:t>
            </w:r>
          </w:p>
        </w:tc>
        <w:tc>
          <w:tcPr>
            <w:tcW w:w="109"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(292)</w:t>
            </w:r>
          </w:p>
        </w:tc>
        <w:tc>
          <w:tcPr>
            <w:tcW w:w="109"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10,422</w:t>
            </w:r>
          </w:p>
        </w:tc>
        <w:tc>
          <w:tcPr>
            <w:tcW w:w="10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5,233</w:t>
            </w:r>
          </w:p>
        </w:tc>
        <w:tc>
          <w:tcPr>
            <w:tcW w:w="109"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1,531</w:t>
            </w:r>
          </w:p>
        </w:tc>
        <w:tc>
          <w:tcPr>
            <w:tcW w:w="109"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110,612</w:t>
            </w:r>
          </w:p>
        </w:tc>
      </w:tr>
      <w:tr>
        <w:trPr/>
        <w:tc>
          <w:tcPr>
            <w:tcW w:w="140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equity</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187,134</w:t>
            </w:r>
          </w:p>
        </w:tc>
        <w:tc>
          <w:tcPr>
            <w:tcW w:w="215" w:type="dxa"/>
            <w:tcBorders/>
            <w:shd w:fill="CCEEFF" w:val="clear"/>
            <w:vAlign w:val="center"/>
          </w:tcPr>
          <w:p>
            <w:pPr>
              <w:pStyle w:val="TableContents"/>
              <w:bidi w:val="0"/>
              <w:spacing w:before="0" w:after="1"/>
              <w:ind w:left="0" w:right="0" w:hanging="0"/>
              <w:jc w:val="righ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51,609</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12,938</w:t>
            </w:r>
          </w:p>
        </w:tc>
        <w:tc>
          <w:tcPr>
            <w:tcW w:w="109"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35,340</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10,980</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6,634</w:t>
            </w:r>
          </w:p>
        </w:tc>
        <w:tc>
          <w:tcPr>
            <w:tcW w:w="109" w:type="dxa"/>
            <w:tcBorders/>
            <w:shd w:fill="CCEEFF" w:val="clear"/>
            <w:vAlign w:val="center"/>
          </w:tcPr>
          <w:p>
            <w:pPr>
              <w:pStyle w:val="TableContents"/>
              <w:bidi w:val="0"/>
              <w:spacing w:before="0"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304,772</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283"/>
              <w:jc w:val="left"/>
              <w:rPr>
                <w:rFonts w:ascii="TimesNewRomanPSMT" w:hAnsi="TimesNewRomanPSMT"/>
                <w:sz w:val="18"/>
              </w:rPr>
            </w:pPr>
            <w:r>
              <w:rPr>
                <w:rFonts w:ascii="TimesNewRomanPSMT" w:hAnsi="TimesNewRomanPSMT"/>
                <w:sz w:val="18"/>
              </w:rPr>
              <w:t>(a)</w:t>
            </w:r>
          </w:p>
        </w:tc>
        <w:tc>
          <w:tcPr>
            <w:tcW w:w="98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Investment in real estate, net includes the initial land contributed to the Latitude Margaritaville Watersound JV at the Company’s historical cost basis and additional completed infrastructure improvements</w:t>
            </w:r>
            <w:r>
              <w:rPr>
                <w:rFonts w:ascii="TimesNewRomanPSMT" w:hAnsi="TimesNewRomanPSMT"/>
                <w:b w:val="false"/>
                <w:i w:val="false"/>
                <w:caps w:val="false"/>
                <w:smallCaps w:val="false"/>
                <w:sz w:val="18"/>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444" w:name="Tc_Kp2mDYiywkyMaHfc7r59OQ_14_23"/>
      <w:bookmarkStart w:id="1445" w:name="Tc_KsLzsFzueEyXUrW1j-9EwA_14_20"/>
      <w:bookmarkStart w:id="1446" w:name="Tc_HYTKN3bAZEWp1v4OHr9bPw_14_17"/>
      <w:bookmarkStart w:id="1447" w:name="Tc_7nbB1KNORkqybXgb1fUpSQ_14_14"/>
      <w:bookmarkStart w:id="1448" w:name="Tc_gwHjGWNhEE2mK1ghVNm0aA_14_11"/>
      <w:bookmarkStart w:id="1449" w:name="Tc_gTx-KdAHiEaTihZmpL_2Iw_14_8"/>
      <w:bookmarkStart w:id="1450" w:name="Tc_oVxvw-dis0mkpplSslHAag_14_5"/>
      <w:bookmarkStart w:id="1451" w:name="Tc_OBdkq06Q-kecmczyH8jWyA_14_2"/>
      <w:bookmarkStart w:id="1452" w:name="Tc_xE81d9Sg4EqerlBdvglesA_14_0"/>
      <w:bookmarkStart w:id="1453" w:name="Tc_kqTblKKXcEymGiKYH03U5A_13_21"/>
      <w:bookmarkStart w:id="1454" w:name="Tc_whayN2R9dk-keZ4NH41FeQ_13_0"/>
      <w:bookmarkStart w:id="1455" w:name="Tc_UdX68l42-0CXKRQeI8cZUA_12_21"/>
      <w:bookmarkStart w:id="1456" w:name="Tc_zRdW1Xm7g0mYFCkbcKZwNg_12_18"/>
      <w:bookmarkStart w:id="1457" w:name="Tc_RB_qeCG0lEmhMMO1xq_HuA_12_16"/>
      <w:bookmarkStart w:id="1458" w:name="Tc_q2EURI8wsEqSHyAoNfMWmA_12_12"/>
      <w:bookmarkStart w:id="1459" w:name="Tc_dyISwGwl4EOc_zmiFgnGmA_12_0"/>
      <w:bookmarkStart w:id="1460" w:name="Tc_JEHmGch_G0m988m4S5IuoQ_11_21"/>
      <w:bookmarkStart w:id="1461" w:name="Tc_zMGDtwjpdU-tdWb9jKd-aA_11_3"/>
      <w:bookmarkStart w:id="1462" w:name="Tc_DZ8pU1qMRUGls1z8zxqiDA_11_0"/>
      <w:bookmarkStart w:id="1463" w:name="Tc_HHrVOC66QkWjNlMjEhEcpQ_10_0"/>
      <w:bookmarkStart w:id="1464" w:name="Tc_NNgxfrT1kUOhOqRgXgBQHA_9_0"/>
      <w:bookmarkStart w:id="1465" w:name="Tc_NZtJmzzGHEqXkU0NTCiTeg_8_0"/>
      <w:bookmarkStart w:id="1466" w:name="Tc_mYKUrVLYBkCDig7B_wFUWw_7_21"/>
      <w:bookmarkStart w:id="1467" w:name="Tc_mQvzy8nQfUeNUylAmBtwLQ_7_0"/>
      <w:bookmarkStart w:id="1468" w:name="Tc_SQucEHaQKkKzumPVg-DUFQ_6_21"/>
      <w:bookmarkStart w:id="1469" w:name="Tc_cW4fd-8o30Oj97hyNVNv1A_6_18"/>
      <w:bookmarkStart w:id="1470" w:name="Tc_RXMHlARS8ECXIAqoZKKyDg_6_15"/>
      <w:bookmarkStart w:id="1471" w:name="Tc_1NZ-vPeDSk6oKuFSsMxbbg_6_12"/>
      <w:bookmarkStart w:id="1472" w:name="Tc_FMrI367T4k6D-z1nTsY-KQ_6_9"/>
      <w:bookmarkStart w:id="1473" w:name="Tc_uaKmTyP2WEyxsJD9-oMp7A_6_6"/>
      <w:bookmarkStart w:id="1474" w:name="Tc_gBcwzUrZ6UuYqw_IhnbKxA_6_0"/>
      <w:bookmarkStart w:id="1475" w:name="Tc_x1_doXP0lkybvU5BChRABg_5_0"/>
      <w:bookmarkStart w:id="1476" w:name="Tc_imjGF3kXoEW7bUn2L6Vbtw_4_0"/>
      <w:bookmarkStart w:id="1477" w:name="Tc_Q_O43YMrQEatoUBUWtheMQ_3_23"/>
      <w:bookmarkStart w:id="1478" w:name="Tc_iNNoD_Hww06lnW46wOzvtQ_3_20"/>
      <w:bookmarkStart w:id="1479" w:name="Tc_pJbSxz1eq02kfSrJCV6gqQ_3_17"/>
      <w:bookmarkStart w:id="1480" w:name="Tc_HgyLCZGOoEa-huyJrsFzdA_3_14"/>
      <w:bookmarkStart w:id="1481" w:name="Tc_D5MpdDlUTUuZXcIln7d8Nw_3_11"/>
      <w:bookmarkStart w:id="1482" w:name="Tc_PowlmNpI0UmZ1KKRjqfb7g_3_8"/>
      <w:bookmarkStart w:id="1483" w:name="Tc_HHSFiN9jHEaAzzRRN4XYrg_3_5"/>
      <w:bookmarkStart w:id="1484" w:name="Tc_LM6nY2sMxki1SzSS5Xcyaw_3_2"/>
      <w:bookmarkStart w:id="1485" w:name="Tc_p4egLk9f0UOhmQvAtEwuqw_3_0"/>
      <w:bookmarkStart w:id="1486" w:name="Tc_zpB9o0QQ1kGdBCW4aHWoqQ_2_23"/>
      <w:bookmarkStart w:id="1487" w:name="Tc_B6-NDlAyOE6Eokkr3N42ig_2_20"/>
      <w:bookmarkStart w:id="1488" w:name="Tc_pJtmNHURPkmDI8BJY70nWg_2_17"/>
      <w:bookmarkStart w:id="1489" w:name="Tc_z3d964V2yEWAhX5-11ceLw_2_14"/>
      <w:bookmarkStart w:id="1490" w:name="Tc_AT2sQnUGwUapc6ePrrjyCw_2_11"/>
      <w:bookmarkStart w:id="1491" w:name="Tc_dOubtvzTuEi_uuGNCjxY5g_2_8"/>
      <w:bookmarkStart w:id="1492" w:name="Tc_184HIgw3K0aROFkkPwUw2g_2_5"/>
      <w:bookmarkStart w:id="1493" w:name="Tc_--OUJKU-B067OziTGxr4KQ_2_2"/>
      <w:bookmarkStart w:id="1494" w:name="Tc_6W2UaKj5xU2UkpTlsU0-ow_1_2"/>
      <w:bookmarkStart w:id="1495" w:name="_f4a4b4f1_683e_4cf6_94ae_a9f1d6b2c520"/>
      <w:bookmarkStart w:id="1496" w:name="Tc_L-HB9_B2nEqjXC-T4Pu_0g_14_23"/>
      <w:bookmarkStart w:id="1497" w:name="Tc_optITR1AJ0KnmBf7LPCdlQ_14_20"/>
      <w:bookmarkStart w:id="1498" w:name="Tc__YkHGe2fZUuF8cIMrPRnHw_14_17"/>
      <w:bookmarkStart w:id="1499" w:name="Tc_GIE7lqz1P0KBywMglgjitA_14_14"/>
      <w:bookmarkStart w:id="1500" w:name="Tc_usU5E_x-FEiMMuExqHBg1Q_14_11"/>
      <w:bookmarkStart w:id="1501" w:name="Tc_mxB-6IAtu02MF2Gs-ji2nw_14_8"/>
      <w:bookmarkStart w:id="1502" w:name="Tc_EPb5HT5idE2LUkQhObu83w_14_5"/>
      <w:bookmarkStart w:id="1503" w:name="Tc_QoWT8wVFrE-9lprZ6KXQHA_14_2"/>
      <w:bookmarkStart w:id="1504" w:name="Tc_anItFHiSbUiLMbqEYVwWWg_14_0"/>
      <w:bookmarkStart w:id="1505" w:name="Tc_FUk4E_kDKkm77j8GPB9MsA_13_21"/>
      <w:bookmarkStart w:id="1506" w:name="Tc_GPrC9TlgikCCu4TYFOx6YQ_13_0"/>
      <w:bookmarkStart w:id="1507" w:name="Tc_7mEnCvMDOkCd9wrTDaD8rg_12_21"/>
      <w:bookmarkStart w:id="1508" w:name="Tc_lIZv-Kuvsk2SdY5-gIploQ_12_16"/>
      <w:bookmarkStart w:id="1509" w:name="Tc_anDTL-D7U0C1SpnUF4ThcQ_12_0"/>
      <w:bookmarkStart w:id="1510" w:name="Tc_gpzo3xjDjUaU8eVJdQRFWw_11_21"/>
      <w:bookmarkStart w:id="1511" w:name="Tc_ZfTJ1RQqrUKR_dXl3fDXwA_11_3"/>
      <w:bookmarkStart w:id="1512" w:name="Tc_EylFmsqmiEKZe5g5gEqHYQ_11_0"/>
      <w:bookmarkStart w:id="1513" w:name="Tc_-WkI56PnAEmd0Ijwl5Y4rQ_10_0"/>
      <w:bookmarkStart w:id="1514" w:name="Tc_qFL31C5geUe9rJR-kkGmbg_9_0"/>
      <w:bookmarkStart w:id="1515" w:name="Tc_3PhnQPnG50GJXZTFyDux0Q_8_0"/>
      <w:bookmarkStart w:id="1516" w:name="Tc_x7rIukaoxUmddRgXzx2jrg_7_21"/>
      <w:bookmarkStart w:id="1517" w:name="Tc_2MFAL-vC5EqLMg4UC03XCA_7_0"/>
      <w:bookmarkStart w:id="1518" w:name="Tc_ymUCMsfI2kefJabsHLq-hQ_6_21"/>
      <w:bookmarkStart w:id="1519" w:name="Tc_5MiQlaAk206vl6JGkue_yA_6_18"/>
      <w:bookmarkStart w:id="1520" w:name="Tc_lWH9F2OzU0uFyhKAPV47rg_6_15"/>
      <w:bookmarkStart w:id="1521" w:name="Tc_lVE-jFs1fUinBJAAudMtVQ_6_12"/>
      <w:bookmarkStart w:id="1522" w:name="Tc_yNIKG-PhUEeMDqo4Y2sLeg_6_9"/>
      <w:bookmarkStart w:id="1523" w:name="Tc_OmR8NWRdNUK8TRqtKqjCXQ_6_6"/>
      <w:bookmarkStart w:id="1524" w:name="Tc_Lle6G-7wN0C4rcNRZNKNeQ_6_0"/>
      <w:bookmarkStart w:id="1525" w:name="Tc_h-s0lEfHcUaOQ95QLYwF-A_5_0"/>
      <w:bookmarkStart w:id="1526" w:name="Tc_W2TfCU3heUmPwD1WfLFSgw_4_0"/>
      <w:bookmarkStart w:id="1527" w:name="Tc_H0Zz5Obhq0K7ApEr1KPJcQ_3_23"/>
      <w:bookmarkStart w:id="1528" w:name="Tc_3pkDeBb2g0id5E5zjEp3Tg_3_20"/>
      <w:bookmarkStart w:id="1529" w:name="Tc_UorjeUZu-E6lx9BaLdgrKQ_3_17"/>
      <w:bookmarkStart w:id="1530" w:name="Tc_10S6aDcSbkGSh86x9Bhm6g_3_14"/>
      <w:bookmarkStart w:id="1531" w:name="Tc_dUL7SOzuwEmnBqjsPbEsOw_3_11"/>
      <w:bookmarkStart w:id="1532" w:name="Tc_1aqw6zt5tEG9k1cKvO8N5Q_3_8"/>
      <w:bookmarkStart w:id="1533" w:name="Tc_OwY5aKJWHkKmPWhhYKiIFQ_3_5"/>
      <w:bookmarkStart w:id="1534" w:name="Tc_kASXCwvUJ0ehypr5DzkaYw_3_2"/>
      <w:bookmarkStart w:id="1535" w:name="Tc_BQkHXF84AEe2clL7JkqNNw_3_0"/>
      <w:bookmarkStart w:id="1536" w:name="Tc_sY8KOLN0skmtSd0JHjy5eQ_2_24"/>
      <w:bookmarkStart w:id="1537" w:name="Tc_dAunOUx6VEqMCVK_wWGbeg_2_20"/>
      <w:bookmarkStart w:id="1538" w:name="Tc_0IPSz_SOOE6l9ufuyWVbag_2_17"/>
      <w:bookmarkStart w:id="1539" w:name="Tc_FlRHVIP_LUiUgZpGThIupg_2_14"/>
      <w:bookmarkStart w:id="1540" w:name="Tc_tglFb18AYUufTLpJW9DooQ_2_11"/>
      <w:bookmarkStart w:id="1541" w:name="Tc_QGeZyQwxGEanvH-OsWZzZg_2_8"/>
      <w:bookmarkStart w:id="1542" w:name="Tc_T-fuyLjn2U-xfW30toKjog_2_5"/>
      <w:bookmarkStart w:id="1543" w:name="Tc_TAmaDCdRBUCI7m_T8C9HHw_2_2"/>
      <w:bookmarkStart w:id="1544" w:name="Tc__KFIYxrtZ0Cm1tVOhcdPhw_1_2"/>
      <w:bookmarkStart w:id="1545" w:name="_7af8e88f_91e3_4095_bb17_50bafb89b718"/>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r>
        <w:rPr>
          <w:rFonts w:ascii="Times New Roman;Times;serif" w:hAnsi="Times New Roman;Times;serif"/>
          <w:sz w:val="20"/>
        </w:rPr>
        <w:t>Summarized statements of operations for the Company’s unconsolidated JVs are as follows:</w:t>
      </w:r>
    </w:p>
    <w:tbl>
      <w:tblPr>
        <w:tblW w:w="10205" w:type="dxa"/>
        <w:jc w:val="left"/>
        <w:tblInd w:w="0" w:type="dxa"/>
        <w:tblLayout w:type="fixed"/>
        <w:tblCellMar>
          <w:top w:w="0" w:type="dxa"/>
          <w:left w:w="0" w:type="dxa"/>
          <w:bottom w:w="0" w:type="dxa"/>
          <w:right w:w="0" w:type="dxa"/>
        </w:tblCellMar>
      </w:tblPr>
      <w:tblGrid>
        <w:gridCol w:w="1218"/>
        <w:gridCol w:w="109"/>
        <w:gridCol w:w="279"/>
        <w:gridCol w:w="988"/>
        <w:gridCol w:w="109"/>
        <w:gridCol w:w="320"/>
        <w:gridCol w:w="938"/>
        <w:gridCol w:w="109"/>
        <w:gridCol w:w="217"/>
        <w:gridCol w:w="566"/>
        <w:gridCol w:w="109"/>
        <w:gridCol w:w="211"/>
        <w:gridCol w:w="628"/>
        <w:gridCol w:w="109"/>
        <w:gridCol w:w="200"/>
        <w:gridCol w:w="614"/>
        <w:gridCol w:w="202"/>
        <w:gridCol w:w="289"/>
        <w:gridCol w:w="758"/>
        <w:gridCol w:w="109"/>
        <w:gridCol w:w="298"/>
        <w:gridCol w:w="777"/>
        <w:gridCol w:w="109"/>
        <w:gridCol w:w="196"/>
        <w:gridCol w:w="743"/>
      </w:tblGrid>
      <w:tr>
        <w:trPr/>
        <w:tc>
          <w:tcPr>
            <w:tcW w:w="12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5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left"/>
              <w:rPr/>
            </w:pPr>
            <w:r>
              <w:rPr/>
              <w:t>​</w:t>
            </w:r>
          </w:p>
        </w:tc>
      </w:tr>
      <w:tr>
        <w:trPr/>
        <w:tc>
          <w:tcPr>
            <w:tcW w:w="12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8"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Year Ended December 31, 2025</w:t>
            </w:r>
          </w:p>
        </w:tc>
      </w:tr>
      <w:tr>
        <w:trPr/>
        <w:tc>
          <w:tcPr>
            <w:tcW w:w="12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6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vAlign w:val="center"/>
          </w:tcPr>
          <w:p>
            <w:pPr>
              <w:pStyle w:val="TableContents"/>
              <w:bidi w:val="0"/>
              <w:spacing w:before="0" w:after="1"/>
              <w:ind w:left="0" w:right="0" w:hanging="0"/>
              <w:jc w:val="center"/>
              <w:rPr/>
            </w:pPr>
            <w:r>
              <w:rPr/>
              <w:t>​</w:t>
            </w:r>
          </w:p>
        </w:tc>
        <w:tc>
          <w:tcPr>
            <w:tcW w:w="1258"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 xml:space="preserve">Watersound Fountains Independent Living JV </w:t>
            </w:r>
            <w:r>
              <w:rPr>
                <w:rFonts w:ascii="Times New Roman;Times;serif" w:hAnsi="Times New Roman;Times;serif"/>
                <w:b/>
                <w:sz w:val="11"/>
              </w:rPr>
              <w:t>(b)</w:t>
            </w:r>
          </w:p>
        </w:tc>
        <w:tc>
          <w:tcPr>
            <w:tcW w:w="109" w:type="dxa"/>
            <w:tcBorders/>
            <w:vAlign w:val="center"/>
          </w:tcPr>
          <w:p>
            <w:pPr>
              <w:pStyle w:val="TableContents"/>
              <w:bidi w:val="0"/>
              <w:spacing w:before="0" w:after="1"/>
              <w:ind w:left="0" w:right="0" w:hanging="0"/>
              <w:jc w:val="center"/>
              <w:rPr/>
            </w:pPr>
            <w:r>
              <w:rPr/>
              <w:t>​</w:t>
            </w:r>
          </w:p>
        </w:tc>
        <w:tc>
          <w:tcPr>
            <w:tcW w:w="7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1"/>
              <w:ind w:left="0" w:right="0" w:hanging="0"/>
              <w:jc w:val="center"/>
              <w:rPr/>
            </w:pPr>
            <w:r>
              <w:rPr/>
              <w:t>​</w:t>
            </w:r>
          </w:p>
        </w:tc>
        <w:tc>
          <w:tcPr>
            <w:tcW w:w="839"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 xml:space="preserve">Pier Park RI JV </w:t>
            </w:r>
            <w:r>
              <w:rPr>
                <w:rFonts w:ascii="Times New Roman;Times;serif" w:hAnsi="Times New Roman;Times;serif"/>
                <w:b/>
                <w:sz w:val="11"/>
              </w:rPr>
              <w:t>(c)</w:t>
            </w:r>
          </w:p>
        </w:tc>
        <w:tc>
          <w:tcPr>
            <w:tcW w:w="109" w:type="dxa"/>
            <w:tcBorders/>
            <w:vAlign w:val="center"/>
          </w:tcPr>
          <w:p>
            <w:pPr>
              <w:pStyle w:val="TableContents"/>
              <w:bidi w:val="0"/>
              <w:spacing w:before="0" w:after="1"/>
              <w:ind w:left="0" w:right="0" w:hanging="0"/>
              <w:jc w:val="left"/>
              <w:rPr/>
            </w:pPr>
            <w:r>
              <w:rPr/>
              <w:t>​</w:t>
            </w:r>
          </w:p>
        </w:tc>
        <w:tc>
          <w:tcPr>
            <w:tcW w:w="8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02" w:type="dxa"/>
            <w:tcBorders/>
            <w:vAlign w:val="center"/>
          </w:tcPr>
          <w:p>
            <w:pPr>
              <w:pStyle w:val="TableContents"/>
              <w:bidi w:val="0"/>
              <w:spacing w:before="0" w:after="1"/>
              <w:ind w:left="0" w:right="0" w:hanging="0"/>
              <w:jc w:val="center"/>
              <w:rPr/>
            </w:pPr>
            <w:r>
              <w:rPr/>
              <w:t>​</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1"/>
              <w:ind w:left="0" w:right="0" w:hanging="0"/>
              <w:jc w:val="center"/>
              <w:rPr/>
            </w:pPr>
            <w:r>
              <w:rPr/>
              <w:t>​</w:t>
            </w:r>
          </w:p>
        </w:tc>
        <w:tc>
          <w:tcPr>
            <w:tcW w:w="10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313,044</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3,274</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4,607</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14,133</w:t>
            </w:r>
          </w:p>
        </w:tc>
        <w:tc>
          <w:tcPr>
            <w:tcW w:w="202"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3,827</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2,548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345,288</w:t>
            </w:r>
          </w:p>
        </w:tc>
      </w:tr>
      <w:tr>
        <w:trPr/>
        <w:tc>
          <w:tcPr>
            <w:tcW w:w="1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Expenses:</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5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right"/>
              <w:rPr/>
            </w:pPr>
            <w:r>
              <w:rPr/>
              <w:t>​</w:t>
            </w:r>
          </w:p>
        </w:tc>
        <w:tc>
          <w:tcPr>
            <w:tcW w:w="202"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r>
      <w:tr>
        <w:trPr/>
        <w:tc>
          <w:tcPr>
            <w:tcW w:w="121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Cost of revenue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229,147</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5,021</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3,231</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13,500</w:t>
            </w:r>
          </w:p>
        </w:tc>
        <w:tc>
          <w:tcPr>
            <w:tcW w:w="202"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3,487</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259,556</w:t>
            </w:r>
          </w:p>
        </w:tc>
      </w:tr>
      <w:tr>
        <w:trPr/>
        <w:tc>
          <w:tcPr>
            <w:tcW w:w="1218"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Other operating expenses </w:t>
            </w:r>
            <w:r>
              <w:rPr>
                <w:rFonts w:ascii="Times New Roman;Times;serif" w:hAnsi="Times New Roman;Times;serif"/>
                <w:sz w:val="14"/>
              </w:rPr>
              <w:t>(d)</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18,359</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5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right"/>
              <w:rPr/>
            </w:pPr>
            <w:r>
              <w:rPr/>
              <w:t>—</w:t>
            </w:r>
          </w:p>
        </w:tc>
        <w:tc>
          <w:tcPr>
            <w:tcW w:w="202"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18,359</w:t>
            </w:r>
          </w:p>
        </w:tc>
      </w:tr>
      <w:tr>
        <w:trPr/>
        <w:tc>
          <w:tcPr>
            <w:tcW w:w="121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Depreciation and amortization </w:t>
            </w:r>
            <w:r>
              <w:rPr>
                <w:rFonts w:ascii="Times New Roman;Times;serif" w:hAnsi="Times New Roman;Times;serif"/>
                <w:sz w:val="14"/>
              </w:rPr>
              <w:t>(e)</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675</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3,016</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3,118</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541</w:t>
            </w:r>
          </w:p>
        </w:tc>
        <w:tc>
          <w:tcPr>
            <w:tcW w:w="202"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8,382</w:t>
            </w:r>
          </w:p>
        </w:tc>
      </w:tr>
      <w:tr>
        <w:trPr/>
        <w:tc>
          <w:tcPr>
            <w:tcW w:w="1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expenses</w:t>
            </w:r>
          </w:p>
        </w:tc>
        <w:tc>
          <w:tcPr>
            <w:tcW w:w="109"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248,181</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8,037</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6,349</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14,041</w:t>
            </w:r>
          </w:p>
        </w:tc>
        <w:tc>
          <w:tcPr>
            <w:tcW w:w="202"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3,737</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286,297</w:t>
            </w:r>
          </w:p>
        </w:tc>
      </w:tr>
      <w:tr>
        <w:trPr/>
        <w:tc>
          <w:tcPr>
            <w:tcW w:w="1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64,863</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(4,763)</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(1,742)</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w:t>
            </w:r>
          </w:p>
        </w:tc>
        <w:tc>
          <w:tcPr>
            <w:tcW w:w="202"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58,991</w:t>
            </w:r>
          </w:p>
        </w:tc>
      </w:tr>
      <w:tr>
        <w:trPr/>
        <w:tc>
          <w:tcPr>
            <w:tcW w:w="1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(expense) income:</w:t>
            </w:r>
          </w:p>
        </w:tc>
        <w:tc>
          <w:tcPr>
            <w:tcW w:w="109"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5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right"/>
              <w:rPr/>
            </w:pPr>
            <w:r>
              <w:rPr/>
              <w:t>​</w:t>
            </w:r>
          </w:p>
        </w:tc>
        <w:tc>
          <w:tcPr>
            <w:tcW w:w="202"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r>
      <w:tr>
        <w:trPr/>
        <w:tc>
          <w:tcPr>
            <w:tcW w:w="1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98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(2,738)</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(1,817)</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w:t>
            </w:r>
          </w:p>
        </w:tc>
        <w:tc>
          <w:tcPr>
            <w:tcW w:w="202"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(5,725)</w:t>
            </w:r>
          </w:p>
        </w:tc>
      </w:tr>
      <w:tr>
        <w:trPr/>
        <w:tc>
          <w:tcPr>
            <w:tcW w:w="1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109"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(704)</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w:t>
            </w:r>
          </w:p>
        </w:tc>
        <w:tc>
          <w:tcPr>
            <w:tcW w:w="202"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(f)</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(469)</w:t>
            </w:r>
          </w:p>
        </w:tc>
      </w:tr>
      <w:tr>
        <w:trPr/>
        <w:tc>
          <w:tcPr>
            <w:tcW w:w="1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(2,868)</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(2,521)</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w:t>
            </w:r>
          </w:p>
        </w:tc>
        <w:tc>
          <w:tcPr>
            <w:tcW w:w="202"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(6,194)</w:t>
            </w:r>
          </w:p>
        </w:tc>
      </w:tr>
      <w:tr>
        <w:trPr/>
        <w:tc>
          <w:tcPr>
            <w:tcW w:w="1218"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109" w:type="dxa"/>
            <w:tcBorders/>
            <w:vAlign w:val="center"/>
          </w:tcPr>
          <w:p>
            <w:pPr>
              <w:pStyle w:val="TableContents"/>
              <w:bidi w:val="0"/>
              <w:spacing w:before="0" w:after="1"/>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65,403</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(7,631)</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(584)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(4,263)</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(251)</w:t>
            </w:r>
          </w:p>
        </w:tc>
        <w:tc>
          <w:tcPr>
            <w:tcW w:w="202"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(170)</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293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4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52,797</w:t>
            </w:r>
          </w:p>
        </w:tc>
      </w:tr>
    </w:tbl>
    <w:tbl>
      <w:tblPr>
        <w:tblW w:w="7232" w:type="dxa"/>
        <w:jc w:val="left"/>
        <w:tblInd w:w="0" w:type="dxa"/>
        <w:tblLayout w:type="fixed"/>
        <w:tblCellMar>
          <w:top w:w="0" w:type="dxa"/>
          <w:left w:w="0" w:type="dxa"/>
          <w:bottom w:w="0" w:type="dxa"/>
          <w:right w:w="0" w:type="dxa"/>
        </w:tblCellMar>
      </w:tblPr>
      <w:tblGrid>
        <w:gridCol w:w="316"/>
        <w:gridCol w:w="69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69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 527</w:t>
            </w:r>
            <w:r>
              <w:rPr>
                <w:caps w:val="false"/>
                <w:smallCaps w:val="false"/>
              </w:rPr>
              <w:t xml:space="preserve"> </w:t>
            </w:r>
            <w:r>
              <w:rPr>
                <w:rFonts w:ascii="Times New Roman;Times;serif" w:hAnsi="Times New Roman;Times;serif"/>
                <w:b w:val="false"/>
                <w:i w:val="false"/>
                <w:caps w:val="false"/>
                <w:smallCaps w:val="false"/>
                <w:sz w:val="18"/>
              </w:rPr>
              <w:t>home sale transactions during 2025.</w:t>
            </w:r>
          </w:p>
        </w:tc>
      </w:tr>
    </w:tbl>
    <w:tbl>
      <w:tblPr>
        <w:tblW w:w="3557" w:type="dxa"/>
        <w:jc w:val="left"/>
        <w:tblInd w:w="0" w:type="dxa"/>
        <w:tblLayout w:type="fixed"/>
        <w:tblCellMar>
          <w:top w:w="0" w:type="dxa"/>
          <w:left w:w="0" w:type="dxa"/>
          <w:bottom w:w="0" w:type="dxa"/>
          <w:right w:w="0" w:type="dxa"/>
        </w:tblCellMar>
      </w:tblPr>
      <w:tblGrid>
        <w:gridCol w:w="331"/>
        <w:gridCol w:w="322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3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community is currently under lease-up.</w:t>
            </w:r>
          </w:p>
        </w:tc>
      </w:tr>
    </w:tbl>
    <w:tbl>
      <w:tblPr>
        <w:tblW w:w="8132" w:type="dxa"/>
        <w:jc w:val="left"/>
        <w:tblInd w:w="0" w:type="dxa"/>
        <w:tblLayout w:type="fixed"/>
        <w:tblCellMar>
          <w:top w:w="0" w:type="dxa"/>
          <w:left w:w="0" w:type="dxa"/>
          <w:bottom w:w="0" w:type="dxa"/>
          <w:right w:w="0" w:type="dxa"/>
        </w:tblCellMar>
      </w:tblPr>
      <w:tblGrid>
        <w:gridCol w:w="316"/>
        <w:gridCol w:w="78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April 2024. Activity includes start-up, depreciation and interest expenses for the project.</w:t>
            </w:r>
          </w:p>
        </w:tc>
      </w:tr>
    </w:tbl>
    <w:tbl>
      <w:tblPr>
        <w:tblW w:w="5147" w:type="dxa"/>
        <w:jc w:val="left"/>
        <w:tblInd w:w="0" w:type="dxa"/>
        <w:tblLayout w:type="fixed"/>
        <w:tblCellMar>
          <w:top w:w="0" w:type="dxa"/>
          <w:left w:w="0" w:type="dxa"/>
          <w:bottom w:w="0" w:type="dxa"/>
          <w:right w:w="0" w:type="dxa"/>
        </w:tblCellMar>
      </w:tblPr>
      <w:tblGrid>
        <w:gridCol w:w="331"/>
        <w:gridCol w:w="481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4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and amortization, shown separately above.</w:t>
            </w:r>
          </w:p>
        </w:tc>
      </w:tr>
    </w:tbl>
    <w:tbl>
      <w:tblPr>
        <w:tblW w:w="6872" w:type="dxa"/>
        <w:jc w:val="left"/>
        <w:tblInd w:w="0" w:type="dxa"/>
        <w:tblLayout w:type="fixed"/>
        <w:tblCellMar>
          <w:top w:w="0" w:type="dxa"/>
          <w:left w:w="0" w:type="dxa"/>
          <w:bottom w:w="0" w:type="dxa"/>
          <w:right w:w="0" w:type="dxa"/>
        </w:tblCellMar>
      </w:tblPr>
      <w:tblGrid>
        <w:gridCol w:w="316"/>
        <w:gridCol w:w="655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Depreciation is a non-cash, GAAP expense, which is amortized over an asset’s useful life.</w:t>
            </w:r>
          </w:p>
        </w:tc>
      </w:tr>
    </w:tbl>
    <w:tbl>
      <w:tblPr>
        <w:tblW w:w="8282" w:type="dxa"/>
        <w:jc w:val="left"/>
        <w:tblInd w:w="0" w:type="dxa"/>
        <w:tblLayout w:type="fixed"/>
        <w:tblCellMar>
          <w:top w:w="0" w:type="dxa"/>
          <w:left w:w="0" w:type="dxa"/>
          <w:bottom w:w="0" w:type="dxa"/>
          <w:right w:w="0" w:type="dxa"/>
        </w:tblCellMar>
      </w:tblPr>
      <w:tblGrid>
        <w:gridCol w:w="301"/>
        <w:gridCol w:w="7981"/>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7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Includes changes in the fair value of derivatives related to interest rate swaps entered into by the Busy Bee JV. </w:t>
            </w:r>
          </w:p>
        </w:tc>
      </w:tr>
    </w:tbl>
    <w:p>
      <w:pPr>
        <w:pStyle w:val="TextBody"/>
        <w:bidi w:val="0"/>
        <w:spacing w:before="0" w:after="24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02"/>
        <w:gridCol w:w="109"/>
        <w:gridCol w:w="274"/>
        <w:gridCol w:w="972"/>
        <w:gridCol w:w="109"/>
        <w:gridCol w:w="313"/>
        <w:gridCol w:w="917"/>
        <w:gridCol w:w="109"/>
        <w:gridCol w:w="209"/>
        <w:gridCol w:w="621"/>
        <w:gridCol w:w="109"/>
        <w:gridCol w:w="210"/>
        <w:gridCol w:w="624"/>
        <w:gridCol w:w="109"/>
        <w:gridCol w:w="199"/>
        <w:gridCol w:w="613"/>
        <w:gridCol w:w="231"/>
        <w:gridCol w:w="291"/>
        <w:gridCol w:w="763"/>
        <w:gridCol w:w="109"/>
        <w:gridCol w:w="294"/>
        <w:gridCol w:w="769"/>
        <w:gridCol w:w="109"/>
        <w:gridCol w:w="196"/>
        <w:gridCol w:w="744"/>
      </w:tblGrid>
      <w:tr>
        <w:trPr/>
        <w:tc>
          <w:tcPr>
            <w:tcW w:w="12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left"/>
              <w:rPr/>
            </w:pPr>
            <w:r>
              <w:rPr/>
              <w:t>​</w:t>
            </w:r>
          </w:p>
        </w:tc>
      </w:tr>
      <w:tr>
        <w:trPr/>
        <w:tc>
          <w:tcPr>
            <w:tcW w:w="12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94"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Year Ended December 31, 2024</w:t>
            </w:r>
          </w:p>
        </w:tc>
      </w:tr>
      <w:tr>
        <w:trPr/>
        <w:tc>
          <w:tcPr>
            <w:tcW w:w="12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vAlign w:val="center"/>
          </w:tcPr>
          <w:p>
            <w:pPr>
              <w:pStyle w:val="TableContents"/>
              <w:bidi w:val="0"/>
              <w:spacing w:before="0" w:after="0"/>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Watersound Fountains Independent Living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vAlign w:val="center"/>
          </w:tcPr>
          <w:p>
            <w:pPr>
              <w:pStyle w:val="TableContents"/>
              <w:bidi w:val="0"/>
              <w:spacing w:before="0" w:after="0"/>
              <w:ind w:left="0" w:right="0" w:hanging="0"/>
              <w:jc w:val="center"/>
              <w:rPr/>
            </w:pPr>
            <w:r>
              <w:rPr/>
              <w:t>​</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0"/>
              <w:ind w:left="0" w:right="0" w:hanging="0"/>
              <w:jc w:val="center"/>
              <w:rPr/>
            </w:pPr>
            <w:r>
              <w:rPr/>
              <w:t>​</w:t>
            </w:r>
          </w:p>
        </w:tc>
        <w:tc>
          <w:tcPr>
            <w:tcW w:w="83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Pier Park RI JV </w:t>
            </w:r>
            <w:r>
              <w:rPr>
                <w:rFonts w:ascii="Times New Roman;Times;serif" w:hAnsi="Times New Roman;Times;serif"/>
                <w:b/>
                <w:sz w:val="11"/>
              </w:rPr>
              <w:t>(c)</w:t>
            </w:r>
          </w:p>
        </w:tc>
        <w:tc>
          <w:tcPr>
            <w:tcW w:w="109" w:type="dxa"/>
            <w:tcBorders/>
            <w:vAlign w:val="center"/>
          </w:tcPr>
          <w:p>
            <w:pPr>
              <w:pStyle w:val="TableContents"/>
              <w:bidi w:val="0"/>
              <w:spacing w:before="0" w:after="0"/>
              <w:ind w:left="0" w:right="0" w:hanging="0"/>
              <w:jc w:val="left"/>
              <w:rPr/>
            </w:pPr>
            <w:r>
              <w:rPr/>
              <w:t>​</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31" w:type="dxa"/>
            <w:tcBorders/>
            <w:vAlign w:val="center"/>
          </w:tcPr>
          <w:p>
            <w:pPr>
              <w:pStyle w:val="TableContents"/>
              <w:bidi w:val="0"/>
              <w:spacing w:before="0" w:after="0"/>
              <w:ind w:left="0" w:right="0" w:hanging="0"/>
              <w:jc w:val="center"/>
              <w:rPr/>
            </w:pPr>
            <w:r>
              <w:rPr/>
              <w:t>​</w:t>
            </w:r>
          </w:p>
        </w:tc>
        <w:tc>
          <w:tcPr>
            <w:tcW w:w="105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Electric Cart Watersound JV</w:t>
            </w:r>
            <w:r>
              <w:rPr>
                <w:rFonts w:ascii="Times New Roman;Times;serif" w:hAnsi="Times New Roman;Times;serif"/>
                <w:sz w:val="14"/>
              </w:rPr>
              <w:t xml:space="preserve"> </w:t>
            </w:r>
            <w:r>
              <w:rPr>
                <w:rFonts w:ascii="Times New Roman;Times;serif" w:hAnsi="Times New Roman;Times;serif"/>
                <w:b/>
                <w:sz w:val="11"/>
              </w:rPr>
              <w:t>(d)</w:t>
            </w:r>
          </w:p>
        </w:tc>
        <w:tc>
          <w:tcPr>
            <w:tcW w:w="109" w:type="dxa"/>
            <w:tcBorders/>
            <w:vAlign w:val="center"/>
          </w:tcPr>
          <w:p>
            <w:pPr>
              <w:pStyle w:val="TableContents"/>
              <w:bidi w:val="0"/>
              <w:spacing w:before="0" w:after="0"/>
              <w:ind w:left="0" w:right="0" w:hanging="0"/>
              <w:jc w:val="center"/>
              <w:rPr/>
            </w:pPr>
            <w:r>
              <w:rPr/>
              <w:t>​</w:t>
            </w:r>
          </w:p>
        </w:tc>
        <w:tc>
          <w:tcPr>
            <w:tcW w:w="10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2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347,583</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1,621</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3,982</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3,249</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14,900</w:t>
            </w:r>
          </w:p>
        </w:tc>
        <w:tc>
          <w:tcPr>
            <w:tcW w:w="231"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4,391</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378,169</w:t>
            </w:r>
          </w:p>
        </w:tc>
      </w:tr>
      <w:tr>
        <w:trPr/>
        <w:tc>
          <w:tcPr>
            <w:tcW w:w="12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Expenses:</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pPr>
            <w:r>
              <w:rPr/>
              <w:t>​</w:t>
            </w:r>
          </w:p>
        </w:tc>
      </w:tr>
      <w:tr>
        <w:trPr/>
        <w:tc>
          <w:tcPr>
            <w:tcW w:w="120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Cost of revenue </w:t>
            </w:r>
            <w:r>
              <w:rPr>
                <w:rFonts w:ascii="Times New Roman;Times;serif" w:hAnsi="Times New Roman;Times;serif"/>
                <w:sz w:val="14"/>
              </w:rPr>
              <w:t>(e)</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269,282</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4,497</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2,907</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2,268</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14,105</w:t>
            </w:r>
          </w:p>
        </w:tc>
        <w:tc>
          <w:tcPr>
            <w:tcW w:w="231"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3,887</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299,117</w:t>
            </w:r>
          </w:p>
        </w:tc>
      </w:tr>
      <w:tr>
        <w:trPr/>
        <w:tc>
          <w:tcPr>
            <w:tcW w:w="1202"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operating expenses </w:t>
            </w:r>
            <w:r>
              <w:rPr>
                <w:rFonts w:ascii="Times New Roman;Times;serif" w:hAnsi="Times New Roman;Times;serif"/>
                <w:sz w:val="14"/>
              </w:rPr>
              <w:t>(e)</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19,384</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19,384</w:t>
            </w:r>
          </w:p>
        </w:tc>
      </w:tr>
      <w:tr>
        <w:trPr/>
        <w:tc>
          <w:tcPr>
            <w:tcW w:w="120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Depreciation and amortization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2,505</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1,439</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1,600</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c>
          <w:tcPr>
            <w:tcW w:w="231"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6,843</w:t>
            </w:r>
          </w:p>
        </w:tc>
      </w:tr>
      <w:tr>
        <w:trPr/>
        <w:tc>
          <w:tcPr>
            <w:tcW w:w="12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expenses</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289,195</w:t>
            </w:r>
          </w:p>
        </w:tc>
        <w:tc>
          <w:tcPr>
            <w:tcW w:w="109"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7,002</w:t>
            </w:r>
          </w:p>
        </w:tc>
        <w:tc>
          <w:tcPr>
            <w:tcW w:w="10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4,346</w:t>
            </w:r>
          </w:p>
        </w:tc>
        <w:tc>
          <w:tcPr>
            <w:tcW w:w="109"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3,868</w:t>
            </w:r>
          </w:p>
        </w:tc>
        <w:tc>
          <w:tcPr>
            <w:tcW w:w="109"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14,627</w:t>
            </w:r>
          </w:p>
        </w:tc>
        <w:tc>
          <w:tcPr>
            <w:tcW w:w="231"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4,135</w:t>
            </w:r>
          </w:p>
        </w:tc>
        <w:tc>
          <w:tcPr>
            <w:tcW w:w="109"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325,344</w:t>
            </w:r>
          </w:p>
        </w:tc>
      </w:tr>
      <w:tr>
        <w:trPr/>
        <w:tc>
          <w:tcPr>
            <w:tcW w:w="12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58,388</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(5,381)</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c>
          <w:tcPr>
            <w:tcW w:w="231"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52,825</w:t>
            </w:r>
          </w:p>
        </w:tc>
      </w:tr>
      <w:tr>
        <w:trPr/>
        <w:tc>
          <w:tcPr>
            <w:tcW w:w="12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pPr>
            <w:r>
              <w:rPr/>
              <w:t>​</w:t>
            </w:r>
          </w:p>
        </w:tc>
      </w:tr>
      <w:tr>
        <w:trPr/>
        <w:tc>
          <w:tcPr>
            <w:tcW w:w="12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(2,888)</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(1,272)</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231"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(5,393)</w:t>
            </w:r>
          </w:p>
        </w:tc>
      </w:tr>
      <w:tr>
        <w:trPr/>
        <w:tc>
          <w:tcPr>
            <w:tcW w:w="12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109"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09"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109"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23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(g)</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w:t>
            </w:r>
          </w:p>
        </w:tc>
      </w:tr>
      <w:tr>
        <w:trPr/>
        <w:tc>
          <w:tcPr>
            <w:tcW w:w="12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(2,830)</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(727)</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(1,272)</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231"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(5,097)</w:t>
            </w:r>
          </w:p>
        </w:tc>
      </w:tr>
      <w:tr>
        <w:trPr/>
        <w:tc>
          <w:tcPr>
            <w:tcW w:w="120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58,541</w:t>
            </w:r>
          </w:p>
        </w:tc>
        <w:tc>
          <w:tcPr>
            <w:tcW w:w="109"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(8,211)</w:t>
            </w:r>
          </w:p>
        </w:tc>
        <w:tc>
          <w:tcPr>
            <w:tcW w:w="109"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(1,091)</w:t>
            </w:r>
          </w:p>
        </w:tc>
        <w:tc>
          <w:tcPr>
            <w:tcW w:w="109" w:type="dxa"/>
            <w:tcBorders/>
            <w:vAlign w:val="center"/>
          </w:tcPr>
          <w:p>
            <w:pPr>
              <w:pStyle w:val="TableContents"/>
              <w:bidi w:val="0"/>
              <w:spacing w:before="0" w:after="0"/>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(1,891)</w:t>
            </w:r>
          </w:p>
        </w:tc>
        <w:tc>
          <w:tcPr>
            <w:tcW w:w="109"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176</w:t>
            </w:r>
          </w:p>
        </w:tc>
        <w:tc>
          <w:tcPr>
            <w:tcW w:w="231"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(68)</w:t>
            </w:r>
          </w:p>
        </w:tc>
        <w:tc>
          <w:tcPr>
            <w:tcW w:w="109"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4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47,728</w:t>
            </w:r>
          </w:p>
        </w:tc>
      </w:tr>
    </w:tbl>
    <w:tbl>
      <w:tblPr>
        <w:tblW w:w="7277" w:type="dxa"/>
        <w:jc w:val="left"/>
        <w:tblInd w:w="0" w:type="dxa"/>
        <w:tblLayout w:type="fixed"/>
        <w:tblCellMar>
          <w:top w:w="0" w:type="dxa"/>
          <w:left w:w="0" w:type="dxa"/>
          <w:bottom w:w="0" w:type="dxa"/>
          <w:right w:w="0" w:type="dxa"/>
        </w:tblCellMar>
      </w:tblPr>
      <w:tblGrid>
        <w:gridCol w:w="316"/>
        <w:gridCol w:w="696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696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 659</w:t>
            </w:r>
            <w:r>
              <w:rPr>
                <w:caps w:val="false"/>
                <w:smallCaps w:val="false"/>
              </w:rPr>
              <w:t xml:space="preserve"> </w:t>
            </w:r>
            <w:r>
              <w:rPr>
                <w:rFonts w:ascii="Times New Roman;Times;serif" w:hAnsi="Times New Roman;Times;serif"/>
                <w:b w:val="false"/>
                <w:i w:val="false"/>
                <w:caps w:val="false"/>
                <w:smallCaps w:val="false"/>
                <w:sz w:val="18"/>
              </w:rPr>
              <w:t xml:space="preserve">home sale transactions during 2024. </w:t>
            </w:r>
          </w:p>
        </w:tc>
      </w:tr>
    </w:tbl>
    <w:tbl>
      <w:tblPr>
        <w:tblW w:w="8132" w:type="dxa"/>
        <w:jc w:val="left"/>
        <w:tblInd w:w="0" w:type="dxa"/>
        <w:tblLayout w:type="fixed"/>
        <w:tblCellMar>
          <w:top w:w="0" w:type="dxa"/>
          <w:left w:w="0" w:type="dxa"/>
          <w:bottom w:w="0" w:type="dxa"/>
          <w:right w:w="0" w:type="dxa"/>
        </w:tblCellMar>
      </w:tblPr>
      <w:tblGrid>
        <w:gridCol w:w="331"/>
        <w:gridCol w:w="780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7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community opened in March 2024. Activity includes pre-opening and lease-up expenses for the project.</w:t>
            </w:r>
          </w:p>
        </w:tc>
      </w:tr>
    </w:tbl>
    <w:tbl>
      <w:tblPr>
        <w:tblW w:w="2732" w:type="dxa"/>
        <w:jc w:val="left"/>
        <w:tblInd w:w="0" w:type="dxa"/>
        <w:tblLayout w:type="fixed"/>
        <w:tblCellMar>
          <w:top w:w="0" w:type="dxa"/>
          <w:left w:w="0" w:type="dxa"/>
          <w:bottom w:w="0" w:type="dxa"/>
          <w:right w:w="0" w:type="dxa"/>
        </w:tblCellMar>
      </w:tblPr>
      <w:tblGrid>
        <w:gridCol w:w="316"/>
        <w:gridCol w:w="24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2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April 2024.</w:t>
            </w:r>
          </w:p>
        </w:tc>
      </w:tr>
    </w:tbl>
    <w:tbl>
      <w:tblPr>
        <w:tblW w:w="8837" w:type="dxa"/>
        <w:jc w:val="left"/>
        <w:tblInd w:w="0" w:type="dxa"/>
        <w:tblLayout w:type="fixed"/>
        <w:tblCellMar>
          <w:top w:w="0" w:type="dxa"/>
          <w:left w:w="0" w:type="dxa"/>
          <w:bottom w:w="0" w:type="dxa"/>
          <w:right w:w="0" w:type="dxa"/>
        </w:tblCellMar>
      </w:tblPr>
      <w:tblGrid>
        <w:gridCol w:w="331"/>
        <w:gridCol w:w="850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8506" w:type="dxa"/>
            <w:tcBorders/>
            <w:vAlign w:val="center"/>
          </w:tcPr>
          <w:p>
            <w:pPr>
              <w:pStyle w:val="TableContents"/>
              <w:bidi w:val="0"/>
              <w:spacing w:before="0" w:after="283"/>
              <w:jc w:val="left"/>
              <w:rPr>
                <w:rFonts w:ascii="TimesNewRomanPSMT" w:hAnsi="TimesNewRomanPSMT"/>
                <w:b w:val="false"/>
                <w:i w:val="false"/>
                <w:caps w:val="false"/>
                <w:smallCaps w:val="false"/>
                <w:sz w:val="18"/>
              </w:rPr>
            </w:pPr>
            <w:r>
              <w:rPr>
                <w:rFonts w:ascii="TimesNewRomanPSMT" w:hAnsi="TimesNewRomanPSMT"/>
                <w:b w:val="false"/>
                <w:i w:val="false"/>
                <w:caps w:val="false"/>
                <w:smallCaps w:val="false"/>
                <w:sz w:val="18"/>
              </w:rPr>
              <w:t>An additional sales showroom located in the Watersound Town Center opened in June 2024.</w:t>
            </w:r>
          </w:p>
        </w:tc>
      </w:tr>
    </w:tbl>
    <w:tbl>
      <w:tblPr>
        <w:tblW w:w="6497" w:type="dxa"/>
        <w:jc w:val="left"/>
        <w:tblInd w:w="0" w:type="dxa"/>
        <w:tblLayout w:type="fixed"/>
        <w:tblCellMar>
          <w:top w:w="0" w:type="dxa"/>
          <w:left w:w="0" w:type="dxa"/>
          <w:bottom w:w="0" w:type="dxa"/>
          <w:right w:w="0" w:type="dxa"/>
        </w:tblCellMar>
      </w:tblPr>
      <w:tblGrid>
        <w:gridCol w:w="316"/>
        <w:gridCol w:w="618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6181" w:type="dxa"/>
            <w:tcBorders/>
            <w:vAlign w:val="center"/>
          </w:tcPr>
          <w:p>
            <w:pPr>
              <w:pStyle w:val="TableContents"/>
              <w:bidi w:val="0"/>
              <w:spacing w:before="0" w:after="283"/>
              <w:jc w:val="left"/>
              <w:rPr>
                <w:rFonts w:ascii="TimesNewRomanPSMT" w:hAnsi="TimesNewRomanPSMT"/>
                <w:b w:val="false"/>
                <w:i w:val="false"/>
                <w:caps w:val="false"/>
                <w:smallCaps w:val="false"/>
                <w:sz w:val="18"/>
              </w:rPr>
            </w:pPr>
            <w:r>
              <w:rPr>
                <w:rFonts w:ascii="TimesNewRomanPSMT" w:hAnsi="TimesNewRomanPSMT"/>
                <w:b w:val="false"/>
                <w:i w:val="false"/>
                <w:caps w:val="false"/>
                <w:smallCaps w:val="false"/>
                <w:sz w:val="18"/>
              </w:rPr>
              <w:t>Excluding depreciation and amortization, shown separately above.</w:t>
            </w:r>
          </w:p>
        </w:tc>
      </w:tr>
    </w:tbl>
    <w:tbl>
      <w:tblPr>
        <w:tblW w:w="8447" w:type="dxa"/>
        <w:jc w:val="left"/>
        <w:tblInd w:w="0" w:type="dxa"/>
        <w:tblLayout w:type="fixed"/>
        <w:tblCellMar>
          <w:top w:w="0" w:type="dxa"/>
          <w:left w:w="0" w:type="dxa"/>
          <w:bottom w:w="0" w:type="dxa"/>
          <w:right w:w="0" w:type="dxa"/>
        </w:tblCellMar>
      </w:tblPr>
      <w:tblGrid>
        <w:gridCol w:w="301"/>
        <w:gridCol w:w="8146"/>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8146" w:type="dxa"/>
            <w:tcBorders/>
            <w:vAlign w:val="center"/>
          </w:tcPr>
          <w:p>
            <w:pPr>
              <w:pStyle w:val="TableContents"/>
              <w:bidi w:val="0"/>
              <w:spacing w:before="0" w:after="283"/>
              <w:jc w:val="left"/>
              <w:rPr>
                <w:rFonts w:ascii="TimesNewRomanPSMT" w:hAnsi="TimesNewRomanPSMT"/>
                <w:b w:val="false"/>
                <w:i w:val="false"/>
                <w:caps w:val="false"/>
                <w:smallCaps w:val="false"/>
                <w:sz w:val="18"/>
              </w:rPr>
            </w:pPr>
            <w:r>
              <w:rPr>
                <w:rFonts w:ascii="TimesNewRomanPSMT" w:hAnsi="TimesNewRomanPSMT"/>
                <w:b w:val="false"/>
                <w:i w:val="false"/>
                <w:caps w:val="false"/>
                <w:smallCaps w:val="false"/>
                <w:sz w:val="18"/>
              </w:rPr>
              <w:t>Depreciation is a non-cash, GAAP expense, which is amortized over an asset’s useful life.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46" w:name="Tc_Xhfxf_IM5UCCOtCmtZasoQ_15_26"/>
      <w:bookmarkStart w:id="1547" w:name="Tc_Fw5HDyAVj0GYslfdhDKOrg_15_23"/>
      <w:bookmarkStart w:id="1548" w:name="Tc__JHcGXwsakOhnwW7Qksexg_15_20"/>
      <w:bookmarkStart w:id="1549" w:name="Tc_YPeUlw4qrUqO5xZiKqXKHA_15_17"/>
      <w:bookmarkStart w:id="1550" w:name="Tc_5vBpy4DmbUu9oPqXyvwhDg_15_15"/>
      <w:bookmarkStart w:id="1551" w:name="Tc_mlb4nttkzEqQAr0sIxkfCA_15_14"/>
      <w:bookmarkStart w:id="1552" w:name="Tc_0gmAtlQZ70WrE3W2lN_j_A_15_11"/>
      <w:bookmarkStart w:id="1553" w:name="Tc_ejQrwjlLVE6eC5Df3SkUbw_15_8"/>
      <w:bookmarkStart w:id="1554" w:name="Tc_3Cc2e28zGkSPyvx8w_b9Pw_15_5"/>
      <w:bookmarkStart w:id="1555" w:name="Tc_IvXzEerGIEaqASSKZP5aYQ_15_2"/>
      <w:bookmarkStart w:id="1556" w:name="Tc_zqxgk7KXyk6AU8iqXn3J8Q_15_0"/>
      <w:bookmarkStart w:id="1557" w:name="Tc_j5I_6w1ggUG57JkeyXvlzA_14_24"/>
      <w:bookmarkStart w:id="1558" w:name="Tc_hftdmgCA8kub-ndQQLZ11g_14_15"/>
      <w:bookmarkStart w:id="1559" w:name="Tc_yk_cn7vzP0CLe4a49DQFew_14_6"/>
      <w:bookmarkStart w:id="1560" w:name="Tc_WEKlnvnefEKWPbfYPQUf0w_14_0"/>
      <w:bookmarkStart w:id="1561" w:name="Tc_WPGOfFqzNUOBLNQRQruyFg_13_24"/>
      <w:bookmarkStart w:id="1562" w:name="Tc_76N-1q_8ZUm01qdij7Q-Gg_13_21"/>
      <w:bookmarkStart w:id="1563" w:name="Tc_10Y1XY3kpESY7I2QrjQnCw_13_19"/>
      <w:bookmarkStart w:id="1564" w:name="Tc_IZxiFtXJRkCGMO-0jzoB-A_13_15"/>
      <w:bookmarkStart w:id="1565" w:name="Tc_6HNKHHxMsUmGKdLFNZIsiw_13_9"/>
      <w:bookmarkStart w:id="1566" w:name="Tc_Lvy2Wefqqk6AvmRck-HAtg_13_6"/>
      <w:bookmarkStart w:id="1567" w:name="Tc_EAW9GKuHyUa1W1HqUBgomQ_13_0"/>
      <w:bookmarkStart w:id="1568" w:name="Tc_MECsb1d1TE-H4CY85U8xvw_12_24"/>
      <w:bookmarkStart w:id="1569" w:name="Tc_mP-m_jdj00mND-UGzP-8Vg_12_15"/>
      <w:bookmarkStart w:id="1570" w:name="Tc_JIuLZKRVY0K6dN8KsOSIOQ_12_6"/>
      <w:bookmarkStart w:id="1571" w:name="Tc_Dph5n-T1eECMAjecdc-rcg_12_3"/>
      <w:bookmarkStart w:id="1572" w:name="Tc_ckleK4DcWE6bel3d5_8XUg_12_0"/>
      <w:bookmarkStart w:id="1573" w:name="Tc_p0ge-FlWuUSsLWdW0dQI2Q_11_0"/>
      <w:bookmarkStart w:id="1574" w:name="Tc_5JP9iyCDvkSTNbhWU0Lueg_10_15"/>
      <w:bookmarkStart w:id="1575" w:name="Tc_WWVwpNMaJEKLVJN36BAFjA_10_0"/>
      <w:bookmarkStart w:id="1576" w:name="Tc_eFFFZJRrdk-XVB5K4PFC9w_9_15"/>
      <w:bookmarkStart w:id="1577" w:name="Tc_Rm3BFiHRUUy1QkeCM3kUKw_9_0"/>
      <w:bookmarkStart w:id="1578" w:name="Tc_QfB-eywUTEiWDlfTrWGvfw_8_24"/>
      <w:bookmarkStart w:id="1579" w:name="Tc_qcpsvJD5I02f38y8AcHlyw_8_15"/>
      <w:bookmarkStart w:id="1580" w:name="Tc_XgowAW488ki2sNh7J8l7Hg_8_6"/>
      <w:bookmarkStart w:id="1581" w:name="Tc_zC2g75SUgka9uMwpP8T8Vg_8_0"/>
      <w:bookmarkStart w:id="1582" w:name="Tc_pxR-byS_iESGM8h22GV8uQ_7_24"/>
      <w:bookmarkStart w:id="1583" w:name="Tc_y8uJ8Xjq9k2CMLBAyG85_w_7_18"/>
      <w:bookmarkStart w:id="1584" w:name="Tc_dtv9JJR8h0CZ6cuTCFk7hg_7_15"/>
      <w:bookmarkStart w:id="1585" w:name="Tc_hy_TuYDZykaRWlmjkLFM6A_7_12"/>
      <w:bookmarkStart w:id="1586" w:name="Tc_gi5X0-Vu3kSqDmT7QXTcDQ_7_0"/>
      <w:bookmarkStart w:id="1587" w:name="Tc_nZ-fUAJ8Fk6ftmHYHMVVwg_6_15"/>
      <w:bookmarkStart w:id="1588" w:name="Tc_KXLqxpJ1REuw2mzD_eAeKA_6_9"/>
      <w:bookmarkStart w:id="1589" w:name="Tc_DzGMFXcuy06DymFdNDjD0A_6_6"/>
      <w:bookmarkStart w:id="1590" w:name="Tc_xHWyIhHq2UCl4L0YtLMTiQ_6_0"/>
      <w:bookmarkStart w:id="1591" w:name="Tc_j1rwm-kgj0OBHFq85moPGA_5_0"/>
      <w:bookmarkStart w:id="1592" w:name="Tc_pGYsa_EBq02-H-vGvDCbng_4_26"/>
      <w:bookmarkStart w:id="1593" w:name="Tc_w8_tQ6q9-E2RmJH6cC8uNg_4_23"/>
      <w:bookmarkStart w:id="1594" w:name="Tc_vFXHAxbGUESxHwBXWeJ92w_4_20"/>
      <w:bookmarkStart w:id="1595" w:name="Tc_KLysP4dr40q3rTQ-65FKrA_4_17"/>
      <w:bookmarkStart w:id="1596" w:name="Tc_3PoorsI7Y0OuOafGAMig7Q_4_15"/>
      <w:bookmarkStart w:id="1597" w:name="Tc_8efaChGEXka5fABz701aEg_4_14"/>
      <w:bookmarkStart w:id="1598" w:name="Tc_2Dw6sQeRtUSx6kYvsWz82w_4_11"/>
      <w:bookmarkStart w:id="1599" w:name="Tc_8fMEs8bqIEylsefzKqcAdQ_4_9"/>
      <w:bookmarkStart w:id="1600" w:name="Tc_5X5dcyaQnUu2WqP1IgbmlA_4_8"/>
      <w:bookmarkStart w:id="1601" w:name="Tc_lKVOWsMkE0uzjsvUi_htxQ_4_6"/>
      <w:bookmarkStart w:id="1602" w:name="Tc_nGsjerHPWUCookHTdzwQQg_4_5"/>
      <w:bookmarkStart w:id="1603" w:name="Tc_qBF3M13EqUmz7WAt_pvHdg_4_2"/>
      <w:bookmarkStart w:id="1604" w:name="Tc_V1hqgVsb-USBd3th92Y77Q_4_0"/>
      <w:bookmarkStart w:id="1605" w:name="Tc_gpSp1Evmhki9gZTNxIxSSw_2_26"/>
      <w:bookmarkStart w:id="1606" w:name="Tc_9VK-O3PfcEqw8v9RY75ryg_2_23"/>
      <w:bookmarkStart w:id="1607" w:name="Tc_UyaJyYQHrEykOj381r5uNA_2_20"/>
      <w:bookmarkStart w:id="1608" w:name="Tc_8046ZATy1kuCYPO-vp2Bng_2_17"/>
      <w:bookmarkStart w:id="1609" w:name="Tc_3XyakibRl0ucROMuztCAzw_2_14"/>
      <w:bookmarkStart w:id="1610" w:name="Tc_cB3jeq-GCEC2ZLqTEOjgmg_2_11"/>
      <w:bookmarkStart w:id="1611" w:name="Tc_6ySX_CK5fkSlq8iyXCP--A_2_8"/>
      <w:bookmarkStart w:id="1612" w:name="Tc_tPr2Ya_RfUGDGxiM8lApMw_2_5"/>
      <w:bookmarkStart w:id="1613" w:name="Tc_poLZahnKLUm6041OqC3i_Q_2_2"/>
      <w:bookmarkStart w:id="1614" w:name="Tc_9eoF3XCtE0eebVLzDyNxCQ_1_2"/>
      <w:bookmarkStart w:id="1615" w:name="_b3b0a106_8983_4348_87bb_a4c250f38e6b"/>
      <w:bookmarkStart w:id="1616" w:name="Tc_Xhfxf_IM5UCCOtCmtZasoQ_15_26"/>
      <w:bookmarkStart w:id="1617" w:name="Tc_Fw5HDyAVj0GYslfdhDKOrg_15_23"/>
      <w:bookmarkStart w:id="1618" w:name="Tc__JHcGXwsakOhnwW7Qksexg_15_20"/>
      <w:bookmarkStart w:id="1619" w:name="Tc_YPeUlw4qrUqO5xZiKqXKHA_15_17"/>
      <w:bookmarkStart w:id="1620" w:name="Tc_5vBpy4DmbUu9oPqXyvwhDg_15_15"/>
      <w:bookmarkStart w:id="1621" w:name="Tc_mlb4nttkzEqQAr0sIxkfCA_15_14"/>
      <w:bookmarkStart w:id="1622" w:name="Tc_0gmAtlQZ70WrE3W2lN_j_A_15_11"/>
      <w:bookmarkStart w:id="1623" w:name="Tc_ejQrwjlLVE6eC5Df3SkUbw_15_8"/>
      <w:bookmarkStart w:id="1624" w:name="Tc_3Cc2e28zGkSPyvx8w_b9Pw_15_5"/>
      <w:bookmarkStart w:id="1625" w:name="Tc_IvXzEerGIEaqASSKZP5aYQ_15_2"/>
      <w:bookmarkStart w:id="1626" w:name="Tc_zqxgk7KXyk6AU8iqXn3J8Q_15_0"/>
      <w:bookmarkStart w:id="1627" w:name="Tc_j5I_6w1ggUG57JkeyXvlzA_14_24"/>
      <w:bookmarkStart w:id="1628" w:name="Tc_hftdmgCA8kub-ndQQLZ11g_14_15"/>
      <w:bookmarkStart w:id="1629" w:name="Tc_yk_cn7vzP0CLe4a49DQFew_14_6"/>
      <w:bookmarkStart w:id="1630" w:name="Tc_WEKlnvnefEKWPbfYPQUf0w_14_0"/>
      <w:bookmarkStart w:id="1631" w:name="Tc_WPGOfFqzNUOBLNQRQruyFg_13_24"/>
      <w:bookmarkStart w:id="1632" w:name="Tc_76N-1q_8ZUm01qdij7Q-Gg_13_21"/>
      <w:bookmarkStart w:id="1633" w:name="Tc_10Y1XY3kpESY7I2QrjQnCw_13_19"/>
      <w:bookmarkStart w:id="1634" w:name="Tc_IZxiFtXJRkCGMO-0jzoB-A_13_15"/>
      <w:bookmarkStart w:id="1635" w:name="Tc_6HNKHHxMsUmGKdLFNZIsiw_13_9"/>
      <w:bookmarkStart w:id="1636" w:name="Tc_Lvy2Wefqqk6AvmRck-HAtg_13_6"/>
      <w:bookmarkStart w:id="1637" w:name="Tc_EAW9GKuHyUa1W1HqUBgomQ_13_0"/>
      <w:bookmarkStart w:id="1638" w:name="Tc_MECsb1d1TE-H4CY85U8xvw_12_24"/>
      <w:bookmarkStart w:id="1639" w:name="Tc_mP-m_jdj00mND-UGzP-8Vg_12_15"/>
      <w:bookmarkStart w:id="1640" w:name="Tc_JIuLZKRVY0K6dN8KsOSIOQ_12_6"/>
      <w:bookmarkStart w:id="1641" w:name="Tc_Dph5n-T1eECMAjecdc-rcg_12_3"/>
      <w:bookmarkStart w:id="1642" w:name="Tc_ckleK4DcWE6bel3d5_8XUg_12_0"/>
      <w:bookmarkStart w:id="1643" w:name="Tc_p0ge-FlWuUSsLWdW0dQI2Q_11_0"/>
      <w:bookmarkStart w:id="1644" w:name="Tc_5JP9iyCDvkSTNbhWU0Lueg_10_15"/>
      <w:bookmarkStart w:id="1645" w:name="Tc_WWVwpNMaJEKLVJN36BAFjA_10_0"/>
      <w:bookmarkStart w:id="1646" w:name="Tc_eFFFZJRrdk-XVB5K4PFC9w_9_15"/>
      <w:bookmarkStart w:id="1647" w:name="Tc_Rm3BFiHRUUy1QkeCM3kUKw_9_0"/>
      <w:bookmarkStart w:id="1648" w:name="Tc_QfB-eywUTEiWDlfTrWGvfw_8_24"/>
      <w:bookmarkStart w:id="1649" w:name="Tc_qcpsvJD5I02f38y8AcHlyw_8_15"/>
      <w:bookmarkStart w:id="1650" w:name="Tc_XgowAW488ki2sNh7J8l7Hg_8_6"/>
      <w:bookmarkStart w:id="1651" w:name="Tc_zC2g75SUgka9uMwpP8T8Vg_8_0"/>
      <w:bookmarkStart w:id="1652" w:name="Tc_pxR-byS_iESGM8h22GV8uQ_7_24"/>
      <w:bookmarkStart w:id="1653" w:name="Tc_y8uJ8Xjq9k2CMLBAyG85_w_7_18"/>
      <w:bookmarkStart w:id="1654" w:name="Tc_dtv9JJR8h0CZ6cuTCFk7hg_7_15"/>
      <w:bookmarkStart w:id="1655" w:name="Tc_hy_TuYDZykaRWlmjkLFM6A_7_12"/>
      <w:bookmarkStart w:id="1656" w:name="Tc_gi5X0-Vu3kSqDmT7QXTcDQ_7_0"/>
      <w:bookmarkStart w:id="1657" w:name="Tc_nZ-fUAJ8Fk6ftmHYHMVVwg_6_15"/>
      <w:bookmarkStart w:id="1658" w:name="Tc_KXLqxpJ1REuw2mzD_eAeKA_6_9"/>
      <w:bookmarkStart w:id="1659" w:name="Tc_DzGMFXcuy06DymFdNDjD0A_6_6"/>
      <w:bookmarkStart w:id="1660" w:name="Tc_xHWyIhHq2UCl4L0YtLMTiQ_6_0"/>
      <w:bookmarkStart w:id="1661" w:name="Tc_j1rwm-kgj0OBHFq85moPGA_5_0"/>
      <w:bookmarkStart w:id="1662" w:name="Tc_pGYsa_EBq02-H-vGvDCbng_4_26"/>
      <w:bookmarkStart w:id="1663" w:name="Tc_w8_tQ6q9-E2RmJH6cC8uNg_4_23"/>
      <w:bookmarkStart w:id="1664" w:name="Tc_vFXHAxbGUESxHwBXWeJ92w_4_20"/>
      <w:bookmarkStart w:id="1665" w:name="Tc_KLysP4dr40q3rTQ-65FKrA_4_17"/>
      <w:bookmarkStart w:id="1666" w:name="Tc_3PoorsI7Y0OuOafGAMig7Q_4_15"/>
      <w:bookmarkStart w:id="1667" w:name="Tc_8efaChGEXka5fABz701aEg_4_14"/>
      <w:bookmarkStart w:id="1668" w:name="Tc_2Dw6sQeRtUSx6kYvsWz82w_4_11"/>
      <w:bookmarkStart w:id="1669" w:name="Tc_8fMEs8bqIEylsefzKqcAdQ_4_9"/>
      <w:bookmarkStart w:id="1670" w:name="Tc_5X5dcyaQnUu2WqP1IgbmlA_4_8"/>
      <w:bookmarkStart w:id="1671" w:name="Tc_lKVOWsMkE0uzjsvUi_htxQ_4_6"/>
      <w:bookmarkStart w:id="1672" w:name="Tc_nGsjerHPWUCookHTdzwQQg_4_5"/>
      <w:bookmarkStart w:id="1673" w:name="Tc_qBF3M13EqUmz7WAt_pvHdg_4_2"/>
      <w:bookmarkStart w:id="1674" w:name="Tc_V1hqgVsb-USBd3th92Y77Q_4_0"/>
      <w:bookmarkStart w:id="1675" w:name="Tc_gpSp1Evmhki9gZTNxIxSSw_2_26"/>
      <w:bookmarkStart w:id="1676" w:name="Tc_9VK-O3PfcEqw8v9RY75ryg_2_23"/>
      <w:bookmarkStart w:id="1677" w:name="Tc_UyaJyYQHrEykOj381r5uNA_2_20"/>
      <w:bookmarkStart w:id="1678" w:name="Tc_8046ZATy1kuCYPO-vp2Bng_2_17"/>
      <w:bookmarkStart w:id="1679" w:name="Tc_3XyakibRl0ucROMuztCAzw_2_14"/>
      <w:bookmarkStart w:id="1680" w:name="Tc_cB3jeq-GCEC2ZLqTEOjgmg_2_11"/>
      <w:bookmarkStart w:id="1681" w:name="Tc_6ySX_CK5fkSlq8iyXCP--A_2_8"/>
      <w:bookmarkStart w:id="1682" w:name="Tc_tPr2Ya_RfUGDGxiM8lApMw_2_5"/>
      <w:bookmarkStart w:id="1683" w:name="Tc_poLZahnKLUm6041OqC3i_Q_2_2"/>
      <w:bookmarkStart w:id="1684" w:name="Tc_9eoF3XCtE0eebVLzDyNxCQ_1_2"/>
      <w:bookmarkStart w:id="1685" w:name="_b3b0a106_8983_4348_87bb_a4c250f38e6b"/>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p>
    <w:tbl>
      <w:tblPr>
        <w:tblW w:w="8372" w:type="dxa"/>
        <w:jc w:val="left"/>
        <w:tblInd w:w="0" w:type="dxa"/>
        <w:tblLayout w:type="fixed"/>
        <w:tblCellMar>
          <w:top w:w="0" w:type="dxa"/>
          <w:left w:w="0" w:type="dxa"/>
          <w:bottom w:w="0" w:type="dxa"/>
          <w:right w:w="0" w:type="dxa"/>
        </w:tblCellMar>
      </w:tblPr>
      <w:tblGrid>
        <w:gridCol w:w="391"/>
        <w:gridCol w:w="7981"/>
      </w:tblGrid>
      <w:tr>
        <w:trPr/>
        <w:tc>
          <w:tcPr>
            <w:tcW w:w="391" w:type="dxa"/>
            <w:tcBorders/>
            <w:vAlign w:val="center"/>
          </w:tcPr>
          <w:p>
            <w:pPr>
              <w:pStyle w:val="TableContents"/>
              <w:bidi w:val="0"/>
              <w:spacing w:before="0" w:after="283"/>
              <w:jc w:val="left"/>
              <w:rPr>
                <w:rFonts w:ascii="TimesNewRomanPSMT" w:hAnsi="TimesNewRomanPSMT"/>
                <w:sz w:val="18"/>
              </w:rPr>
            </w:pPr>
            <w:r>
              <w:rPr>
                <w:rFonts w:ascii="TimesNewRomanPSMT" w:hAnsi="TimesNewRomanPSMT"/>
                <w:sz w:val="18"/>
              </w:rPr>
              <w:t>(g)</w:t>
            </w:r>
          </w:p>
        </w:tc>
        <w:tc>
          <w:tcPr>
            <w:tcW w:w="7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Includes changes in the fair value of derivatives related to interest rate swaps entered into by the Busy Bee JV. </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33"/>
        <w:gridCol w:w="109"/>
        <w:gridCol w:w="255"/>
        <w:gridCol w:w="905"/>
        <w:gridCol w:w="109"/>
        <w:gridCol w:w="210"/>
        <w:gridCol w:w="381"/>
        <w:gridCol w:w="109"/>
        <w:gridCol w:w="284"/>
        <w:gridCol w:w="831"/>
        <w:gridCol w:w="109"/>
        <w:gridCol w:w="208"/>
        <w:gridCol w:w="542"/>
        <w:gridCol w:w="109"/>
        <w:gridCol w:w="217"/>
        <w:gridCol w:w="383"/>
        <w:gridCol w:w="109"/>
        <w:gridCol w:w="198"/>
        <w:gridCol w:w="608"/>
        <w:gridCol w:w="229"/>
        <w:gridCol w:w="274"/>
        <w:gridCol w:w="720"/>
        <w:gridCol w:w="109"/>
        <w:gridCol w:w="280"/>
        <w:gridCol w:w="732"/>
        <w:gridCol w:w="109"/>
        <w:gridCol w:w="196"/>
        <w:gridCol w:w="747"/>
      </w:tblGrid>
      <w:tr>
        <w:trPr/>
        <w:tc>
          <w:tcPr>
            <w:tcW w:w="11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left"/>
              <w:rPr/>
            </w:pPr>
            <w:r>
              <w:rPr/>
              <w:t>​</w:t>
            </w:r>
          </w:p>
        </w:tc>
      </w:tr>
      <w:tr>
        <w:trPr/>
        <w:tc>
          <w:tcPr>
            <w:tcW w:w="11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63"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Year Ended December 31, 2023</w:t>
            </w:r>
          </w:p>
        </w:tc>
      </w:tr>
      <w:tr>
        <w:trPr/>
        <w:tc>
          <w:tcPr>
            <w:tcW w:w="11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6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vAlign w:val="center"/>
          </w:tcPr>
          <w:p>
            <w:pPr>
              <w:pStyle w:val="TableContents"/>
              <w:bidi w:val="0"/>
              <w:spacing w:before="0" w:after="1"/>
              <w:ind w:left="0" w:right="0" w:hanging="0"/>
              <w:jc w:val="center"/>
              <w:rPr/>
            </w:pPr>
            <w:r>
              <w:rPr/>
              <w:t>​</w:t>
            </w:r>
          </w:p>
        </w:tc>
        <w:tc>
          <w:tcPr>
            <w:tcW w:w="59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Sea Sound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vAlign w:val="center"/>
          </w:tcPr>
          <w:p>
            <w:pPr>
              <w:pStyle w:val="TableContents"/>
              <w:bidi w:val="0"/>
              <w:spacing w:before="0" w:after="1"/>
              <w:ind w:left="0" w:right="0" w:hanging="0"/>
              <w:jc w:val="center"/>
              <w:rPr/>
            </w:pPr>
            <w:r>
              <w:rPr/>
              <w:t>​</w:t>
            </w:r>
          </w:p>
        </w:tc>
        <w:tc>
          <w:tcPr>
            <w:tcW w:w="111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Watersound Fountains Independent Living JV</w:t>
            </w:r>
            <w:r>
              <w:rPr>
                <w:rFonts w:ascii="Times New Roman;Times;serif" w:hAnsi="Times New Roman;Times;serif"/>
                <w:sz w:val="14"/>
              </w:rPr>
              <w:t xml:space="preserve"> </w:t>
            </w:r>
            <w:r>
              <w:rPr>
                <w:rFonts w:ascii="Times New Roman;Times;serif" w:hAnsi="Times New Roman;Times;serif"/>
                <w:b/>
                <w:sz w:val="11"/>
              </w:rPr>
              <w:t>(c)</w:t>
            </w:r>
          </w:p>
        </w:tc>
        <w:tc>
          <w:tcPr>
            <w:tcW w:w="109" w:type="dxa"/>
            <w:tcBorders/>
            <w:vAlign w:val="center"/>
          </w:tcPr>
          <w:p>
            <w:pPr>
              <w:pStyle w:val="TableContents"/>
              <w:bidi w:val="0"/>
              <w:spacing w:before="0" w:after="1"/>
              <w:ind w:left="0" w:right="0" w:hanging="0"/>
              <w:jc w:val="center"/>
              <w:rPr/>
            </w:pPr>
            <w:r>
              <w:rPr/>
              <w:t>​</w:t>
            </w:r>
          </w:p>
        </w:tc>
        <w:tc>
          <w:tcPr>
            <w:tcW w:w="7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1"/>
              <w:ind w:left="0" w:right="0" w:hanging="0"/>
              <w:jc w:val="center"/>
              <w:rPr/>
            </w:pPr>
            <w:r>
              <w:rPr/>
              <w:t>​</w:t>
            </w:r>
          </w:p>
        </w:tc>
        <w:tc>
          <w:tcPr>
            <w:tcW w:w="60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Pier Park RI JV</w:t>
            </w:r>
            <w:r>
              <w:rPr>
                <w:rFonts w:ascii="Times New Roman;Times;serif" w:hAnsi="Times New Roman;Times;serif"/>
                <w:sz w:val="14"/>
              </w:rPr>
              <w:t xml:space="preserve"> </w:t>
            </w:r>
            <w:r>
              <w:rPr>
                <w:rFonts w:ascii="Times New Roman;Times;serif" w:hAnsi="Times New Roman;Times;serif"/>
                <w:b/>
                <w:sz w:val="11"/>
              </w:rPr>
              <w:t>(d)</w:t>
            </w:r>
          </w:p>
        </w:tc>
        <w:tc>
          <w:tcPr>
            <w:tcW w:w="109" w:type="dxa"/>
            <w:tcBorders/>
            <w:vAlign w:val="center"/>
          </w:tcPr>
          <w:p>
            <w:pPr>
              <w:pStyle w:val="TableContents"/>
              <w:bidi w:val="0"/>
              <w:spacing w:before="0" w:after="1"/>
              <w:ind w:left="0" w:right="0" w:hanging="0"/>
              <w:jc w:val="left"/>
              <w:rPr/>
            </w:pPr>
            <w:r>
              <w:rPr/>
              <w:t>​</w:t>
            </w:r>
          </w:p>
        </w:tc>
        <w:tc>
          <w:tcPr>
            <w:tcW w:w="8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29" w:type="dxa"/>
            <w:tcBorders/>
            <w:vAlign w:val="center"/>
          </w:tcPr>
          <w:p>
            <w:pPr>
              <w:pStyle w:val="TableContents"/>
              <w:bidi w:val="0"/>
              <w:spacing w:before="0" w:after="1"/>
              <w:ind w:left="0" w:right="0" w:hanging="0"/>
              <w:jc w:val="center"/>
              <w:rPr/>
            </w:pPr>
            <w:r>
              <w:rPr/>
              <w:t>​</w:t>
            </w:r>
          </w:p>
        </w:tc>
        <w:tc>
          <w:tcPr>
            <w:tcW w:w="99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Electric Cart Watersound JV</w:t>
            </w:r>
            <w:r>
              <w:rPr>
                <w:rFonts w:ascii="Times New Roman;Times;serif" w:hAnsi="Times New Roman;Times;serif"/>
                <w:sz w:val="14"/>
              </w:rPr>
              <w:t xml:space="preserve"> </w:t>
            </w:r>
            <w:r>
              <w:rPr>
                <w:rFonts w:ascii="Times New Roman;Times;serif" w:hAnsi="Times New Roman;Times;serif"/>
                <w:b/>
                <w:sz w:val="11"/>
              </w:rPr>
              <w:t>(e)</w:t>
            </w:r>
          </w:p>
        </w:tc>
        <w:tc>
          <w:tcPr>
            <w:tcW w:w="109" w:type="dxa"/>
            <w:tcBorders/>
            <w:vAlign w:val="center"/>
          </w:tcPr>
          <w:p>
            <w:pPr>
              <w:pStyle w:val="TableContents"/>
              <w:bidi w:val="0"/>
              <w:spacing w:before="0" w:after="1"/>
              <w:ind w:left="0" w:right="0" w:hanging="0"/>
              <w:jc w:val="center"/>
              <w:rPr/>
            </w:pPr>
            <w:r>
              <w:rPr/>
              <w:t>​</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1"/>
              <w:ind w:left="0" w:right="0" w:hanging="0"/>
              <w:jc w:val="left"/>
              <w:rPr/>
            </w:pPr>
            <w:r>
              <w:rPr/>
              <w:t>​</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1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08"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center"/>
              <w:rPr/>
            </w:pPr>
            <w:r>
              <w:rPr/>
              <w:t>​</w:t>
            </w:r>
          </w:p>
        </w:tc>
        <w:tc>
          <w:tcPr>
            <w:tcW w:w="229" w:type="dxa"/>
            <w:tcBorders/>
            <w:vAlign w:val="center"/>
          </w:tcPr>
          <w:p>
            <w:pPr>
              <w:pStyle w:val="TableContents"/>
              <w:bidi w:val="0"/>
              <w:spacing w:before="0" w:after="1"/>
              <w:ind w:left="0" w:right="0" w:hanging="0"/>
              <w:jc w:val="center"/>
              <w:rPr/>
            </w:pPr>
            <w:r>
              <w:rPr/>
              <w:t>​</w:t>
            </w:r>
          </w:p>
        </w:tc>
        <w:tc>
          <w:tcPr>
            <w:tcW w:w="274"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left"/>
              <w:rPr/>
            </w:pPr>
            <w:r>
              <w:rPr/>
              <w:t>​</w:t>
            </w:r>
          </w:p>
        </w:tc>
      </w:tr>
      <w:tr>
        <w:trPr/>
        <w:tc>
          <w:tcPr>
            <w:tcW w:w="11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323,881</w:t>
            </w:r>
          </w:p>
        </w:tc>
        <w:tc>
          <w:tcPr>
            <w:tcW w:w="109"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4,716</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17,170</w:t>
            </w:r>
          </w:p>
        </w:tc>
        <w:tc>
          <w:tcPr>
            <w:tcW w:w="229"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3,235</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350,958</w:t>
            </w:r>
          </w:p>
        </w:tc>
      </w:tr>
      <w:tr>
        <w:trPr/>
        <w:tc>
          <w:tcPr>
            <w:tcW w:w="11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Expenses:</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r>
      <w:tr>
        <w:trPr/>
        <w:tc>
          <w:tcPr>
            <w:tcW w:w="113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Cost of revenue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259,199</w:t>
            </w:r>
          </w:p>
        </w:tc>
        <w:tc>
          <w:tcPr>
            <w:tcW w:w="109"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3,118</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16,449</w:t>
            </w:r>
          </w:p>
        </w:tc>
        <w:tc>
          <w:tcPr>
            <w:tcW w:w="22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72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2,796</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283,279</w:t>
            </w:r>
          </w:p>
        </w:tc>
      </w:tr>
      <w:tr>
        <w:trPr/>
        <w:tc>
          <w:tcPr>
            <w:tcW w:w="1133"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Other operating expenses </w:t>
            </w:r>
            <w:r>
              <w:rPr>
                <w:rFonts w:ascii="Times New Roman;Times;serif" w:hAnsi="Times New Roman;Times;serif"/>
                <w:sz w:val="14"/>
              </w:rPr>
              <w:t>(f)</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17,079</w:t>
            </w:r>
          </w:p>
        </w:tc>
        <w:tc>
          <w:tcPr>
            <w:tcW w:w="109"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c>
          <w:tcPr>
            <w:tcW w:w="109"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1,330</w:t>
            </w:r>
          </w:p>
        </w:tc>
        <w:tc>
          <w:tcPr>
            <w:tcW w:w="109"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109"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18,575</w:t>
            </w:r>
          </w:p>
        </w:tc>
      </w:tr>
      <w:tr>
        <w:trPr/>
        <w:tc>
          <w:tcPr>
            <w:tcW w:w="113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Depreciation and amortization </w:t>
            </w:r>
            <w:r>
              <w:rPr>
                <w:rFonts w:ascii="Times New Roman;Times;serif" w:hAnsi="Times New Roman;Times;serif"/>
                <w:sz w:val="14"/>
              </w:rPr>
              <w:t>(g)</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613</w:t>
            </w:r>
          </w:p>
        </w:tc>
        <w:tc>
          <w:tcPr>
            <w:tcW w:w="109"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109" w:type="dxa"/>
            <w:tcBorders/>
            <w:shd w:fill="CCEEFF" w:val="cle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1,443</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w:t>
            </w:r>
          </w:p>
        </w:tc>
        <w:tc>
          <w:tcPr>
            <w:tcW w:w="229"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2,602</w:t>
            </w:r>
          </w:p>
        </w:tc>
      </w:tr>
      <w:tr>
        <w:trPr/>
        <w:tc>
          <w:tcPr>
            <w:tcW w:w="11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expenses</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276,891</w:t>
            </w:r>
          </w:p>
        </w:tc>
        <w:tc>
          <w:tcPr>
            <w:tcW w:w="109"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c>
          <w:tcPr>
            <w:tcW w:w="109"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1,344</w:t>
            </w:r>
          </w:p>
        </w:tc>
        <w:tc>
          <w:tcPr>
            <w:tcW w:w="109" w:type="dxa"/>
            <w:tcBorders/>
            <w:vAlign w:val="center"/>
          </w:tcPr>
          <w:p>
            <w:pPr>
              <w:pStyle w:val="TableContents"/>
              <w:bidi w:val="0"/>
              <w:spacing w:before="0" w:after="1"/>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4,561</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16,948</w:t>
            </w:r>
          </w:p>
        </w:tc>
        <w:tc>
          <w:tcPr>
            <w:tcW w:w="22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2,933</w:t>
            </w:r>
          </w:p>
        </w:tc>
        <w:tc>
          <w:tcPr>
            <w:tcW w:w="109"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1,717</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304,456</w:t>
            </w:r>
          </w:p>
        </w:tc>
      </w:tr>
      <w:tr>
        <w:trPr/>
        <w:tc>
          <w:tcPr>
            <w:tcW w:w="11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46,990</w:t>
            </w:r>
          </w:p>
        </w:tc>
        <w:tc>
          <w:tcPr>
            <w:tcW w:w="109"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(1,344)</w:t>
            </w:r>
          </w:p>
        </w:tc>
        <w:tc>
          <w:tcPr>
            <w:tcW w:w="109" w:type="dxa"/>
            <w:tcBorders/>
            <w:shd w:fill="CCEEFF" w:val="cle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w:t>
            </w:r>
          </w:p>
        </w:tc>
        <w:tc>
          <w:tcPr>
            <w:tcW w:w="229"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46,502</w:t>
            </w:r>
          </w:p>
        </w:tc>
      </w:tr>
      <w:tr>
        <w:trPr/>
        <w:tc>
          <w:tcPr>
            <w:tcW w:w="11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(expense) income:</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r>
      <w:tr>
        <w:trPr/>
        <w:tc>
          <w:tcPr>
            <w:tcW w:w="11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(906)</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22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72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(1,168)</w:t>
            </w:r>
          </w:p>
        </w:tc>
      </w:tr>
      <w:tr>
        <w:trPr/>
        <w:tc>
          <w:tcPr>
            <w:tcW w:w="11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109"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w:t>
            </w:r>
          </w:p>
        </w:tc>
        <w:tc>
          <w:tcPr>
            <w:tcW w:w="229"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(h)</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w:t>
            </w:r>
          </w:p>
        </w:tc>
      </w:tr>
      <w:tr>
        <w:trPr/>
        <w:tc>
          <w:tcPr>
            <w:tcW w:w="11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109"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(878)</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w:t>
            </w:r>
          </w:p>
        </w:tc>
        <w:tc>
          <w:tcPr>
            <w:tcW w:w="229"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w:t>
            </w:r>
          </w:p>
        </w:tc>
      </w:tr>
      <w:tr>
        <w:trPr/>
        <w:tc>
          <w:tcPr>
            <w:tcW w:w="113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47,254</w:t>
            </w:r>
          </w:p>
        </w:tc>
        <w:tc>
          <w:tcPr>
            <w:tcW w:w="109"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3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(62)</w:t>
            </w:r>
          </w:p>
        </w:tc>
        <w:tc>
          <w:tcPr>
            <w:tcW w:w="109"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(1,348)</w:t>
            </w:r>
          </w:p>
        </w:tc>
        <w:tc>
          <w:tcPr>
            <w:tcW w:w="109" w:type="dxa"/>
            <w:tcBorders/>
            <w:vAlign w:val="center"/>
          </w:tcPr>
          <w:p>
            <w:pPr>
              <w:pStyle w:val="TableContents"/>
              <w:bidi w:val="0"/>
              <w:spacing w:before="0" w:after="1"/>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(723)</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38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(69)</w:t>
            </w:r>
          </w:p>
        </w:tc>
        <w:tc>
          <w:tcPr>
            <w:tcW w:w="229"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220</w:t>
            </w:r>
          </w:p>
        </w:tc>
        <w:tc>
          <w:tcPr>
            <w:tcW w:w="109"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239</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4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45,511</w:t>
            </w:r>
          </w:p>
        </w:tc>
      </w:tr>
    </w:tbl>
    <w:tbl>
      <w:tblPr>
        <w:tblW w:w="7232" w:type="dxa"/>
        <w:jc w:val="left"/>
        <w:tblInd w:w="0" w:type="dxa"/>
        <w:tblLayout w:type="fixed"/>
        <w:tblCellMar>
          <w:top w:w="0" w:type="dxa"/>
          <w:left w:w="0" w:type="dxa"/>
          <w:bottom w:w="0" w:type="dxa"/>
          <w:right w:w="0" w:type="dxa"/>
        </w:tblCellMar>
      </w:tblPr>
      <w:tblGrid>
        <w:gridCol w:w="316"/>
        <w:gridCol w:w="69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69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 641</w:t>
            </w:r>
            <w:r>
              <w:rPr>
                <w:caps w:val="false"/>
                <w:smallCaps w:val="false"/>
              </w:rPr>
              <w:t xml:space="preserve"> </w:t>
            </w:r>
            <w:r>
              <w:rPr>
                <w:rFonts w:ascii="Times New Roman;Times;serif" w:hAnsi="Times New Roman;Times;serif"/>
                <w:b w:val="false"/>
                <w:i w:val="false"/>
                <w:caps w:val="false"/>
                <w:smallCaps w:val="false"/>
                <w:sz w:val="18"/>
              </w:rPr>
              <w:t>home sale transactions during 2023.</w:t>
            </w:r>
          </w:p>
        </w:tc>
      </w:tr>
    </w:tbl>
    <w:tbl>
      <w:tblPr>
        <w:tblW w:w="6722" w:type="dxa"/>
        <w:jc w:val="left"/>
        <w:tblInd w:w="0" w:type="dxa"/>
        <w:tblLayout w:type="fixed"/>
        <w:tblCellMar>
          <w:top w:w="0" w:type="dxa"/>
          <w:left w:w="0" w:type="dxa"/>
          <w:bottom w:w="0" w:type="dxa"/>
          <w:right w:w="0" w:type="dxa"/>
        </w:tblCellMar>
      </w:tblPr>
      <w:tblGrid>
        <w:gridCol w:w="331"/>
        <w:gridCol w:w="639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6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2022, the Sea Sound JV sold its assets to a third party and ceased operating activities.</w:t>
            </w:r>
          </w:p>
        </w:tc>
      </w:tr>
    </w:tbl>
    <w:tbl>
      <w:tblPr>
        <w:tblW w:w="6182" w:type="dxa"/>
        <w:jc w:val="left"/>
        <w:tblInd w:w="0" w:type="dxa"/>
        <w:tblLayout w:type="fixed"/>
        <w:tblCellMar>
          <w:top w:w="0" w:type="dxa"/>
          <w:left w:w="0" w:type="dxa"/>
          <w:bottom w:w="0" w:type="dxa"/>
          <w:right w:w="0" w:type="dxa"/>
        </w:tblCellMar>
      </w:tblPr>
      <w:tblGrid>
        <w:gridCol w:w="316"/>
        <w:gridCol w:w="586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5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community was under construction during 2023 and opened in March 2024.</w:t>
            </w:r>
          </w:p>
        </w:tc>
      </w:tr>
    </w:tbl>
    <w:tbl>
      <w:tblPr>
        <w:tblW w:w="5612" w:type="dxa"/>
        <w:jc w:val="left"/>
        <w:tblInd w:w="0" w:type="dxa"/>
        <w:tblLayout w:type="fixed"/>
        <w:tblCellMar>
          <w:top w:w="0" w:type="dxa"/>
          <w:left w:w="0" w:type="dxa"/>
          <w:bottom w:w="0" w:type="dxa"/>
          <w:right w:w="0" w:type="dxa"/>
        </w:tblCellMar>
      </w:tblPr>
      <w:tblGrid>
        <w:gridCol w:w="331"/>
        <w:gridCol w:w="528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52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project was under construction with no</w:t>
            </w:r>
            <w:r>
              <w:rPr>
                <w:caps w:val="false"/>
                <w:smallCaps w:val="false"/>
              </w:rPr>
              <w:t xml:space="preserve"> </w:t>
            </w:r>
            <w:r>
              <w:rPr>
                <w:rFonts w:ascii="Times New Roman;Times;serif" w:hAnsi="Times New Roman;Times;serif"/>
                <w:b w:val="false"/>
                <w:i w:val="false"/>
                <w:caps w:val="false"/>
                <w:smallCaps w:val="false"/>
                <w:sz w:val="18"/>
              </w:rPr>
              <w:t>income or loss during 2023.</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9891" w:type="dxa"/>
            <w:tcBorders/>
            <w:vAlign w:val="center"/>
          </w:tcPr>
          <w:p>
            <w:pPr>
              <w:pStyle w:val="TableContents"/>
              <w:bidi w:val="0"/>
              <w:spacing w:before="0" w:after="283"/>
              <w:jc w:val="left"/>
              <w:rPr>
                <w:rFonts w:ascii="TimesNewRomanPSMT" w:hAnsi="TimesNewRomanPSMT"/>
                <w:b w:val="false"/>
                <w:i w:val="false"/>
                <w:caps w:val="false"/>
                <w:smallCaps w:val="false"/>
                <w:sz w:val="18"/>
              </w:rPr>
            </w:pPr>
            <w:r>
              <w:rPr>
                <w:rFonts w:ascii="TimesNewRomanPSMT" w:hAnsi="TimesNewRomanPSMT"/>
                <w:b w:val="false"/>
                <w:i w:val="false"/>
                <w:caps w:val="false"/>
                <w:smallCaps w:val="false"/>
                <w:sz w:val="18"/>
              </w:rPr>
              <w:t>The permanent sales and service facility located in the Watersound West Bay Center opened in October 2023.</w:t>
            </w:r>
          </w:p>
        </w:tc>
      </w:tr>
    </w:tbl>
    <w:tbl>
      <w:tblPr>
        <w:tblW w:w="6482" w:type="dxa"/>
        <w:jc w:val="left"/>
        <w:tblInd w:w="0" w:type="dxa"/>
        <w:tblLayout w:type="fixed"/>
        <w:tblCellMar>
          <w:top w:w="0" w:type="dxa"/>
          <w:left w:w="0" w:type="dxa"/>
          <w:bottom w:w="0" w:type="dxa"/>
          <w:right w:w="0" w:type="dxa"/>
        </w:tblCellMar>
      </w:tblPr>
      <w:tblGrid>
        <w:gridCol w:w="301"/>
        <w:gridCol w:w="6181"/>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6181" w:type="dxa"/>
            <w:tcBorders/>
            <w:vAlign w:val="center"/>
          </w:tcPr>
          <w:p>
            <w:pPr>
              <w:pStyle w:val="TableContents"/>
              <w:bidi w:val="0"/>
              <w:spacing w:before="0" w:after="283"/>
              <w:jc w:val="left"/>
              <w:rPr>
                <w:rFonts w:ascii="TimesNewRomanPSMT" w:hAnsi="TimesNewRomanPSMT"/>
                <w:b w:val="false"/>
                <w:i w:val="false"/>
                <w:caps w:val="false"/>
                <w:smallCaps w:val="false"/>
                <w:sz w:val="18"/>
              </w:rPr>
            </w:pPr>
            <w:r>
              <w:rPr>
                <w:rFonts w:ascii="TimesNewRomanPSMT" w:hAnsi="TimesNewRomanPSMT"/>
                <w:b w:val="false"/>
                <w:i w:val="false"/>
                <w:caps w:val="false"/>
                <w:smallCaps w:val="false"/>
                <w:sz w:val="18"/>
              </w:rPr>
              <w:t>Excluding depreciation and amortization, shown separately above.</w:t>
            </w:r>
          </w:p>
        </w:tc>
      </w:tr>
    </w:tbl>
    <w:tbl>
      <w:tblPr>
        <w:tblW w:w="8477" w:type="dxa"/>
        <w:jc w:val="left"/>
        <w:tblInd w:w="0" w:type="dxa"/>
        <w:tblLayout w:type="fixed"/>
        <w:tblCellMar>
          <w:top w:w="0" w:type="dxa"/>
          <w:left w:w="0" w:type="dxa"/>
          <w:bottom w:w="0" w:type="dxa"/>
          <w:right w:w="0" w:type="dxa"/>
        </w:tblCellMar>
      </w:tblPr>
      <w:tblGrid>
        <w:gridCol w:w="331"/>
        <w:gridCol w:w="814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w:t>
            </w:r>
          </w:p>
        </w:tc>
        <w:tc>
          <w:tcPr>
            <w:tcW w:w="8146" w:type="dxa"/>
            <w:tcBorders/>
            <w:vAlign w:val="center"/>
          </w:tcPr>
          <w:p>
            <w:pPr>
              <w:pStyle w:val="TableContents"/>
              <w:bidi w:val="0"/>
              <w:spacing w:before="0" w:after="283"/>
              <w:jc w:val="left"/>
              <w:rPr>
                <w:rFonts w:ascii="TimesNewRomanPSMT" w:hAnsi="TimesNewRomanPSMT"/>
                <w:b w:val="false"/>
                <w:i w:val="false"/>
                <w:caps w:val="false"/>
                <w:smallCaps w:val="false"/>
                <w:sz w:val="18"/>
              </w:rPr>
            </w:pPr>
            <w:r>
              <w:rPr>
                <w:rFonts w:ascii="TimesNewRomanPSMT" w:hAnsi="TimesNewRomanPSMT"/>
                <w:b w:val="false"/>
                <w:i w:val="false"/>
                <w:caps w:val="false"/>
                <w:smallCaps w:val="false"/>
                <w:sz w:val="18"/>
              </w:rPr>
              <w:t>Depreciation is a non-cash, GAAP expense, which is amortized over an asset’s useful life.</w:t>
            </w:r>
          </w:p>
        </w:tc>
      </w:tr>
    </w:tbl>
    <w:tbl>
      <w:tblPr>
        <w:tblW w:w="8267" w:type="dxa"/>
        <w:jc w:val="left"/>
        <w:tblInd w:w="0" w:type="dxa"/>
        <w:tblLayout w:type="fixed"/>
        <w:tblCellMar>
          <w:top w:w="0" w:type="dxa"/>
          <w:left w:w="0" w:type="dxa"/>
          <w:bottom w:w="0" w:type="dxa"/>
          <w:right w:w="0" w:type="dxa"/>
        </w:tblCellMar>
      </w:tblPr>
      <w:tblGrid>
        <w:gridCol w:w="331"/>
        <w:gridCol w:w="793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Latitude Margaritaville Watersound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LMWS, LLC was formed in 2019, when the Company entered into a JV agreement to develop a 55+ active adult residential community in Bay County, Florida. As of December 31, 2025, the Latitude Margaritaville Watersound JV had 149 homes under contract and has completed 2,190 home sale transactions of the total estimated 3,700 homes planned in the community. As of December 31, 2025 and 2024, the Company owned a 50.0% interest in the JV. During 2025 and 2024, the Company received $35.4 million and $26.6 million, respectively, of cash distributions from the JV. The day-to-day activities of the JV are being managed through a board of managers, with each JV partner having equal voting rights. The Company has determined that Latitude Margaritaville Watersound JV is a VIE, but that the Company is not the primary beneficiary since it does not have the power to direct the activities that most significantly impact the economic performance of the JV. The Company’s investment in the Latitude Margaritaville Watersound JV is accounted for using the equity method. See Note 19.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the guaranty by the Company. See Note 20. </w:t>
      </w:r>
      <w:r>
        <w:rPr>
          <w:rFonts w:ascii="Times New Roman;Times;serif" w:hAnsi="Times New Roman;Times;serif"/>
          <w:i/>
          <w:sz w:val="20"/>
        </w:rPr>
        <w:t>Related Party Transactions</w:t>
      </w:r>
      <w:r>
        <w:rPr>
          <w:rFonts w:ascii="Times New Roman;Times;serif" w:hAnsi="Times New Roman;Times;serif"/>
          <w:sz w:val="20"/>
        </w:rPr>
        <w:t xml:space="preserve"> 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2025, the Company sold an additional 34 acres of land to the Latitude Margaritaville Watersound JV with a contractual value of $1.2 million, which will be paid as each home is sold by the JV. The community, initially planned for 3,500 residential homes, is now expected to increase to approximately 3,700 homes. The initial net present value of the additional land sale was $0.9 million, with de minimis cost of revenue, and is included within other assets on the consolidated balance sheets and real estate revenue and cost of real estate revenue on the consolidated statements of income. The initial net present value of the land sale was based on the Company’s best estimate of the prevailing market rates for the source of credit using an imputed interest rate of 8.0% and timing of home sales. The Company also eliminated intra-entity profit of $0.5 million in investment in unconsolidated joint ventures on the consolidated balance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sheets and equity in income from unconsolidated joint ventures on the consolidated statements of income, a pro-rata portion of which will be recognized as each home on the land is sold by the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and 2024, the Company’s investment in the unconsolidated Latitude Margaritaville Watersound JV was $51.6 million and $53.4 million, respectively, which includes the net present value of the initial land contribution, cash contributions, additional completed infrastructure improvements and equity in income, less distributions and intra-entity profit elimination of the additional land sale. As of December 31, 2025, the Company completed $8.4 million of the $9.2 million total agreed upon infrastructure improvements. The Company’s unimproved initial land contribution and agreed upon infrastructure improvements are being distributed at an average of approximately $10,000 per home, as each home is sold by the JV.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Latitude Margaritaville Watersound JV has met the conditions of a significant subsidiary under Rule 1-02(w) of Regulation S-X for the years ended December 31, 2025, 2024 and 2023. Therefore, separate financial statements of the Latitude Margaritaville Watersound JV, as required pursuant to Rule 3-09 of Regulation S-X, are filed as Exhibit 99.1 of this Form 10-K. The basis difference of $9.8 million and $13.8 million as of December 31, 2025 and 2024, respectively, is due to the Company maintaining the initial land and additional completed infrastructure improvements contributed to the JV at its historical cost basis, while the JV recorded these contributions at market value. The basis difference is being reduced as each home is sold by the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Per the JV agreement, the Company, as lender, provided interest-bearing financing in the form of a $10.0 million secured revolving promissory note (the “Latitude JV Note”) to the Latitude Margaritaville Watersound JV, as borrower, to finance the development of the pod-level, non-spine infrastructure. The Latitude JV Note matured in June 2025. As of December 31, 2024, there was no balance outstanding on the Latitude JV Note.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Sea Sound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the Sea Sound JV sold its assets to a third party and ceased operating activity.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Watersound Fountains Independent Living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WOSL, LLC was formed in 2021. The Company entered into a JV agreement to develop, construct and manage a 148-unit independent senior living community located near the Watersound Origins residential community. The community opened in March 2024. As of December 31, 2025 and 2024, the Company owned a 53.8% interest in the JV. During 2025 and 2024, the Company made capital contributions of $3.4 million and $1.7 million, respectively, and each member also made capital contributions based on their pro-rata ownership interest, related to operations of the JV. The Company’s partner is responsible for the day-to-day activities of the JV. The Company has determined that Watersound Fountains Independent Living JV is a VIE, but that the Company is not the primary beneficiary since it does not have the power to direct the activities that most significantly impact the economic performance of the JV. The Company’s investment in Watersound Fountains Independent Living JV is accounted for using the equity method. See Note 19.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bidi w:val="0"/>
        <w:spacing w:before="120" w:after="240"/>
        <w:ind w:left="0" w:right="0" w:hanging="0"/>
        <w:jc w:val="left"/>
        <w:rPr>
          <w:rFonts w:ascii="Times New Roman;Times;serif" w:hAnsi="Times New Roman;Times;serif"/>
          <w:i/>
          <w:sz w:val="20"/>
        </w:rPr>
      </w:pPr>
      <w:r>
        <w:rPr>
          <w:rFonts w:ascii="Times New Roman;Times;serif" w:hAnsi="Times New Roman;Times;serif"/>
          <w:i/>
          <w:sz w:val="20"/>
        </w:rPr>
        <w:t>Pier Park TPS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Pier Park TPS, LLC was formed in 2018. The Company entered into a JV agreement to develop and operate a 124-room hotel in Panama City Beach, Florida. As of December 31, 2025 and 2024, the Company owned a 50.0% interest in the JV. During 2025, the Company did not receive cash distributions from the JV. During 2024, the Company received $0.2 million of cash distributions from the JV. The Company’s partner is responsible for the day-to-day activities of the JV. The Company has determined that Pier Park TPS JV is a VIE, but that the Company is not the primary beneficiary since it does not have the power to direct the activities that most significantly impact the economic performance of the JV. The Company’s investment in Pier Park TPS JV is accounted for using the equity method. See Note 19.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RI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Pier Park RI, LLC was formed in 2022. The Company entered into a JV agreement to develop and operate a 121-room hotel in Panama City Beach, Florida. The hotel opened in April 2024. As of December 31, 2024 and 2023, the Company owned a 50.0% interest in the JV. During </w:t>
      </w:r>
      <w:r>
        <w:rPr>
          <w:rFonts w:ascii="Times New Roman;Times;serif" w:hAnsi="Times New Roman;Times;serif"/>
          <w:b w:val="false"/>
          <w:i w:val="false"/>
          <w:caps w:val="false"/>
          <w:smallCaps w:val="false"/>
          <w:sz w:val="20"/>
        </w:rPr>
        <w:t>2025</w:t>
      </w:r>
      <w:r>
        <w:rPr>
          <w:rFonts w:ascii="Times New Roman;Times;serif" w:hAnsi="Times New Roman;Times;serif"/>
          <w:sz w:val="20"/>
        </w:rPr>
        <w:t xml:space="preserve">, the Company and JV partner each made capital contributions of $4.4 million related to financing for the JV. The Company’s partner is responsible for the day-to-day activities of the JV. The Company has determined that Pier Park RI JV is a VIE, but that the Company is not the primary beneficiary since it does not have the power to direct the activities that most significantly impact the economic performance of the JV. The Company’s investment in Pier Park RI JV is accounted for using the equity method.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2022, the JV entered into a $25.0 million loan (the “Pier Park RI JV Loan”). In December 2025, the Pier Park RI JV Loan was refinanced, which decreased the principal amount of the loan from $24.9 million to $16.2 million, reduced the interest rate and extended the maturity date by five years. The refinanced loan requires interest only payments through November 2026 and monthly payments of principal and interest thereafter, with a final balloon payment at maturity in December 2030. The refinanced Pier Park RI JV Loan bears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2.1%, with a floor of 3.1%. The loan is secured by real property and certain other security interests. The Company’s JV partner is the sole guarantor and receives a fee related to the guarantee from the Company based on the Company’s ownership percentage. As of December 31, 2025 and 2024, $16.2 million and $24.9 million, respectively, was outstanding on the Pier Park RI JV Loan.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Busy Bee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SJBB, LLC was formed in 2019, when the Company entered into a JV agreement to construct, own and manage a Busy Bee branded fuel station and convenience store, which includes a Starbucks, in Panama City Beach, Florida. As of December 31, 2025 and 2024, the Company owned a 50.0% interest in the JV. The Company’s partner is responsible for the day-to-day activities of the JV. The Company has determined that Busy Bee JV is a VIE, but that the Company is not the primary beneficiary since it does not have the power to direct the activities that most significantly impact the economic performance of the JV. The Company’s investment in the Busy Bee JV is accounted for using the equity method.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2019, the JV entered into a $5.4 million construction loan (the “Busy Bee JV Construction Loan”) and a $1.2 million equipment loan (the “Busy Bee JV Equipment Loan”). The Busy Bee JV Construction Loan and the Busy Bee JV Equipment Loan bear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1.6%. The Busy Bee JV Construction Loan provides for monthly principal and interest payments with a final balloon payment at maturity in November 2035. The Busy Bee JV Equipment Loan provides for monthly principal and interest payments through maturity in November 2027. The loans are secured by real and personal property and certain other security interests. The Company’s JV partner is the sole guarantor and receives a fee related to the guarantee from the Company based on the Company’s ownership percentage. The Busy Bee JV entered into an interest rate swap to hedge cash flows tied to changes in the underlying floating interest rate tied to SOFR for the Busy Bee JV Construction Loan and the Busy Bee JV Equipment Loan. The Busy Bee JV Construction Loan interest rate swap matures in November 2035 and fixed the variable rate debt, initially at $5.4 million amortizing to $2.8 million at swap maturity, to a rate of 2.7%. The Busy Bee JV Equipment Loan interest rate swap matures in November 2027 and fixed the variable rate debt, initially at $1.2 million to maturity, to a rate of 2.1%. As of December 31, 2025 and 2024, $4.7 million and $4.8 million, respectively, was outstanding on the Busy Bee JV Construction Loan. As of December 31, 2025 and 2024, $0.4 million and $0.5 million, respectively, was outstanding on the Busy Bee JV Equipment Loan.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Electric Cart Watersound JV</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SJECC, LLC was formed in 2022, when the Company entered into a JV agreement to develop, construct, lease, manage and operate a golf cart and low speed vehicle “LSV” business at the new Watersound West Bay Center adjacent to the Latitude Margaritaville Watersound residential community in Bay County, Florida and at the Watersound Town Center near the Watersound Origins residential community. The JV operated out of a temporary facility while its permanent Watersound West Bay Center location was being constructed. The Watersound West Bay Center Facility opened in October 2023 and provides sales and service. An additional sales showroom opened in June 2024 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Watersound Town Center on property leased to the JV by the Company. As of December 31, 2025 and 2024, the Company owned a 51% interest in the JV. The Company’s JV partner manages the day-to-day operations of the business. The Company has determined that Electric Cart Watersound JV is a VIE, but that the Company is not the primary beneficiary since it does not have the power to direct the activities that most significantly impact the economic performance of the JV. The Company’s investment in Electric Cart Watersound JV is accounted for using the equity method.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and 2024, the Electric Cart Watersound JV had $2.2 million and $2.4 million of floorplan line of credit facilities to finance its golf cart and LSV inventory, which are secured by the JV. Borrowings under the line of credit facility bear interest at various rates based on the number of days outstanding after an interest free period ranging from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six months. As of December 31, 2025 and 2024, the JV had an outstanding principal balance of $0.2 million and $0.5 million, respectively, on these line of credit facilities. See Note 19.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 </w:t>
      </w:r>
    </w:p>
    <w:p>
      <w:pPr>
        <w:pStyle w:val="TextBody"/>
        <w:bidi w:val="0"/>
        <w:spacing w:before="24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Watersound Management JV</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Watersound Management, LLC was formed in 2021, when the Company entered into a JV agreement to lease, manage and operate multi-family housing developments for which the JV is the exclusive renting and management agent. All activity of Watersound Management JV is related to multi-family housing developments owned by the Company or by consolidated JVs of the Company. As of December 31, 2025 and 2024, the Company owned a 50.0% interest in the JV. During 2025 and 2024, the Company received $0.2 million and $0.1 million, respectively, of cash distributions from the JV. The day-to-day activities of the JV are being managed through a board of managers, with each JV partner having equal voting rights. The Company has determined that Watersound Management JV is a voting interest entity, but that the Company does not have a majority voting interest. The Company’s investment in Watersound Management JV is accounted for using the equity method. See Note 20. </w:t>
      </w:r>
      <w:r>
        <w:rPr>
          <w:rFonts w:ascii="Times New Roman;Times;serif" w:hAnsi="Times New Roman;Times;serif"/>
          <w:i/>
          <w:sz w:val="20"/>
        </w:rPr>
        <w:t>Related Party Transactions</w:t>
      </w:r>
      <w:r>
        <w:rPr>
          <w:rFonts w:ascii="Times New Roman;Times;serif" w:hAnsi="Times New Roman;Times;serif"/>
          <w:sz w:val="20"/>
        </w:rPr>
        <w:t xml:space="preserve"> for additional information.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86" w:name="Tc_lCSxV7IBYUCCx934cX81Jg_7_11"/>
      <w:bookmarkStart w:id="1687" w:name="Tc_Ra9itS8XokCnT1t-niD0TA_7_9"/>
      <w:bookmarkStart w:id="1688" w:name="Tc_k2G9wSJsOk6783tlchnk4Q_7_8"/>
      <w:bookmarkStart w:id="1689" w:name="Tc_um5zqFgePE6D3ubl3UYARw_7_6"/>
      <w:bookmarkStart w:id="1690" w:name="Tc__pZzmctZdEyeJWuQ9EuMtw_7_5"/>
      <w:bookmarkStart w:id="1691" w:name="Tc_CUMZA0MakU-to9qm4JjLQg_7_2"/>
      <w:bookmarkStart w:id="1692" w:name="Tc_G0msUh0hM0uPiKWmdoL0pA_6_9"/>
      <w:bookmarkStart w:id="1693" w:name="Tc_8F7bljZW0Emrx8-yZaAJiw_6_6"/>
      <w:bookmarkStart w:id="1694" w:name="Tc_SZ-wuslrGkGXSxngsY43Rg_6_0"/>
      <w:bookmarkStart w:id="1695" w:name="Tc_9gybDUbVykyEWacLEuqpTQ_5_11"/>
      <w:bookmarkStart w:id="1696" w:name="Tc_oiH7nqb_yUiPJA3F0Ek8iw_5_9"/>
      <w:bookmarkStart w:id="1697" w:name="Tc_B5hDkXxKCkSxJEi224p9ow_5_8"/>
      <w:bookmarkStart w:id="1698" w:name="Tc_nyJZIgM9GEmgLEn-mLuDqw_5_6"/>
      <w:bookmarkStart w:id="1699" w:name="Tc_RdgMngTmpk2icy2pwxZJIw_5_5"/>
      <w:bookmarkStart w:id="1700" w:name="Tc_l1SPdc5eCUaDR6IEfTcG2A_5_2"/>
      <w:bookmarkStart w:id="1701" w:name="Tc_qKHZZWkQL0up1PPRRLVLMw_5_0"/>
      <w:bookmarkStart w:id="1702" w:name="Tc_Hh20yNtB1EGKYu3iB15N7g_4_0"/>
      <w:bookmarkStart w:id="1703" w:name="Tc_nSJlQKtTOk2GQIjWzbNE4Q_3_11"/>
      <w:bookmarkStart w:id="1704" w:name="Tc_Ri0Ji2z40EmQZhN3LjSLzQ_3_8"/>
      <w:bookmarkStart w:id="1705" w:name="Tc_dHAwS_9uBkq21fRMTHIy3g_3_5"/>
      <w:bookmarkStart w:id="1706" w:name="Tc_vRRzeVaZxkaIZPaljB2I5g_3_2"/>
      <w:bookmarkStart w:id="1707" w:name="Tc_E4DgX3xKSkOByZd_V8u6bw_2_11"/>
      <w:bookmarkStart w:id="1708" w:name="Tc_Bot80ZGQt0mAZmGG5p19oA_1_2"/>
      <w:bookmarkStart w:id="1709" w:name="_48c6e7b8_d79d_446f_82e1_2a5e4289d58c"/>
      <w:bookmarkStart w:id="1710" w:name="Tc_S0lIX_BtAE-w1UDiEIPMLg_7_11"/>
      <w:bookmarkStart w:id="1711" w:name="Tc_gN2PwiCCskiLcbFdpec83g_7_9"/>
      <w:bookmarkStart w:id="1712" w:name="Tc_Zm9LKEHLz0OYmCVW-NzzxQ_7_8"/>
      <w:bookmarkStart w:id="1713" w:name="Tc_Lzz003IYaUyEoR2OlrywLw_7_6"/>
      <w:bookmarkStart w:id="1714" w:name="Tc_crI4cVtLQE6GjPDJ8bSXiQ_7_5"/>
      <w:bookmarkStart w:id="1715" w:name="Tc_DnNdHFsMwU2T_XRtezT4LA_7_2"/>
      <w:bookmarkStart w:id="1716" w:name="Tc_m19q0dVPqkqLJ760SwjjXA_6_9"/>
      <w:bookmarkStart w:id="1717" w:name="Tc_pzWGfPIP_kqgagzAY2IDLw_6_6"/>
      <w:bookmarkStart w:id="1718" w:name="Tc_pdwKxA0hmkuYK3AYtuv7TA_6_0"/>
      <w:bookmarkStart w:id="1719" w:name="Tc_n8QLLcfkB0W7lXRReoJ5sw_5_11"/>
      <w:bookmarkStart w:id="1720" w:name="Tc_o3pXUYKPy0ewn904TQC12A_5_9"/>
      <w:bookmarkStart w:id="1721" w:name="Tc_1MzVfX3-IkiQLEDWIu3XBQ_5_8"/>
      <w:bookmarkStart w:id="1722" w:name="Tc_xq5V18om0E6wUWT6GW3oFg_5_6"/>
      <w:bookmarkStart w:id="1723" w:name="Tc_aVuu30MRl0-VzChP3W7v6w_5_5"/>
      <w:bookmarkStart w:id="1724" w:name="Tc_-NxvLQ0T80atpAbiyFjZyg_5_2"/>
      <w:bookmarkStart w:id="1725" w:name="Tc_DBFCDOoO6EqbRDPqmdoefA_5_0"/>
      <w:bookmarkStart w:id="1726" w:name="Tc_4kOxHVVQkUOFe-pAsrTh_Q_4_0"/>
      <w:bookmarkStart w:id="1727" w:name="Tc_APzJpzOHBU-JjKTlGuPzfw_3_11"/>
      <w:bookmarkStart w:id="1728" w:name="Tc_eTvlkptmNEmOr5tgU-o1hg_3_8"/>
      <w:bookmarkStart w:id="1729" w:name="Tc_VJMirEMcaUSg0XKmZZgjyw_3_5"/>
      <w:bookmarkStart w:id="1730" w:name="Tc_hOJcsh1r8UOGDG-zGaQdQw_3_2"/>
      <w:bookmarkStart w:id="1731" w:name="Tc_SLdwu4bJ9ke8wXTdweiFAg_2_11"/>
      <w:bookmarkStart w:id="1732" w:name="Tc_6BzqeQkIjUS5u9491jifeQ_1_2"/>
      <w:bookmarkStart w:id="1733" w:name="_1812a07b_456d_4096_bd55_5232d1d824b7"/>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r>
        <w:rPr>
          <w:rFonts w:ascii="Times New Roman;Times;serif" w:hAnsi="Times New Roman;Times;serif"/>
          <w:b/>
          <w:sz w:val="20"/>
        </w:rPr>
        <w:t>5. Financial Instruments and Fair Value Measurements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financial instruments measured at fair value on a recurring basis are as follows:</w:t>
      </w:r>
    </w:p>
    <w:tbl>
      <w:tblPr>
        <w:tblW w:w="6326" w:type="dxa"/>
        <w:jc w:val="left"/>
        <w:tblInd w:w="0" w:type="dxa"/>
        <w:tblLayout w:type="fixed"/>
        <w:tblCellMar>
          <w:top w:w="0" w:type="dxa"/>
          <w:left w:w="0" w:type="dxa"/>
          <w:bottom w:w="0" w:type="dxa"/>
          <w:right w:w="0" w:type="dxa"/>
        </w:tblCellMar>
      </w:tblPr>
      <w:tblGrid>
        <w:gridCol w:w="1801"/>
        <w:gridCol w:w="346"/>
        <w:gridCol w:w="211"/>
        <w:gridCol w:w="676"/>
        <w:gridCol w:w="346"/>
        <w:gridCol w:w="239"/>
        <w:gridCol w:w="392"/>
        <w:gridCol w:w="346"/>
        <w:gridCol w:w="239"/>
        <w:gridCol w:w="392"/>
        <w:gridCol w:w="346"/>
        <w:gridCol w:w="211"/>
        <w:gridCol w:w="78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143635" cy="175260"/>
                      <wp:effectExtent l="0" t="0" r="0" b="0"/>
                      <wp:wrapNone/>
                      <wp:docPr id="467" name="Frame466"/>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68"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33985" cy="175260"/>
                      <wp:effectExtent l="0" t="0" r="0" b="0"/>
                      <wp:wrapNone/>
                      <wp:docPr id="469"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429260" cy="175260"/>
                      <wp:effectExtent l="0" t="0" r="0" b="0"/>
                      <wp:wrapNone/>
                      <wp:docPr id="470" name="Frame4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1"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51765" cy="175260"/>
                      <wp:effectExtent l="0" t="0" r="0" b="0"/>
                      <wp:wrapNone/>
                      <wp:docPr id="472" name="Frame47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48920" cy="175260"/>
                      <wp:effectExtent l="0" t="0" r="0" b="0"/>
                      <wp:wrapNone/>
                      <wp:docPr id="473" name="Frame47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4"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51765" cy="175260"/>
                      <wp:effectExtent l="0" t="0" r="0" b="0"/>
                      <wp:wrapNone/>
                      <wp:docPr id="475" name="Frame47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48920" cy="175260"/>
                      <wp:effectExtent l="0" t="0" r="0" b="0"/>
                      <wp:wrapNone/>
                      <wp:docPr id="476" name="Frame47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77"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78"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95935" cy="175260"/>
                      <wp:effectExtent l="0" t="0" r="0" b="0"/>
                      <wp:wrapNone/>
                      <wp:docPr id="479" name="Frame4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7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58,896</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58,896</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64,004</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64,004</w:t>
            </w:r>
          </w:p>
        </w:tc>
      </w:tr>
    </w:tbl>
    <w:p>
      <w:pPr>
        <w:pStyle w:val="TextBody"/>
        <w:bidi w:val="0"/>
        <w:spacing w:before="0" w:after="240"/>
        <w:ind w:left="0" w:right="0" w:hanging="0"/>
        <w:jc w:val="left"/>
        <w:rPr/>
      </w:pPr>
      <w:r>
        <w:rPr/>
        <w:t>​</w:t>
      </w:r>
    </w:p>
    <w:tbl>
      <w:tblPr>
        <w:tblW w:w="6326" w:type="dxa"/>
        <w:jc w:val="left"/>
        <w:tblInd w:w="0" w:type="dxa"/>
        <w:tblLayout w:type="fixed"/>
        <w:tblCellMar>
          <w:top w:w="0" w:type="dxa"/>
          <w:left w:w="0" w:type="dxa"/>
          <w:bottom w:w="0" w:type="dxa"/>
          <w:right w:w="0" w:type="dxa"/>
        </w:tblCellMar>
      </w:tblPr>
      <w:tblGrid>
        <w:gridCol w:w="1801"/>
        <w:gridCol w:w="346"/>
        <w:gridCol w:w="211"/>
        <w:gridCol w:w="676"/>
        <w:gridCol w:w="346"/>
        <w:gridCol w:w="239"/>
        <w:gridCol w:w="392"/>
        <w:gridCol w:w="346"/>
        <w:gridCol w:w="239"/>
        <w:gridCol w:w="392"/>
        <w:gridCol w:w="346"/>
        <w:gridCol w:w="211"/>
        <w:gridCol w:w="78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143635" cy="175260"/>
                      <wp:effectExtent l="0" t="0" r="0" b="0"/>
                      <wp:wrapNone/>
                      <wp:docPr id="480" name="Frame479"/>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1"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2"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29260" cy="175260"/>
                      <wp:effectExtent l="0" t="0" r="0" b="0"/>
                      <wp:wrapNone/>
                      <wp:docPr id="483" name="Frame4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4"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51765" cy="175260"/>
                      <wp:effectExtent l="0" t="0" r="0" b="0"/>
                      <wp:wrapNone/>
                      <wp:docPr id="485" name="Frame48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48920" cy="175260"/>
                      <wp:effectExtent l="0" t="0" r="0" b="0"/>
                      <wp:wrapNone/>
                      <wp:docPr id="486" name="Frame48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87"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51765" cy="175260"/>
                      <wp:effectExtent l="0" t="0" r="0" b="0"/>
                      <wp:wrapNone/>
                      <wp:docPr id="488" name="Frame48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48920" cy="175260"/>
                      <wp:effectExtent l="0" t="0" r="0" b="0"/>
                      <wp:wrapNone/>
                      <wp:docPr id="489" name="Frame48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90"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91"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95935" cy="175260"/>
                      <wp:effectExtent l="0" t="0" r="0" b="0"/>
                      <wp:wrapNone/>
                      <wp:docPr id="492" name="Frame4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9" w:type="dxa"/>
            <w:tcBorders/>
            <w:vAlign w:val="center"/>
          </w:tcPr>
          <w:p>
            <w:pPr>
              <w:pStyle w:val="TableContents"/>
              <w:bidi w:val="0"/>
              <w:spacing w:before="0" w:after="0"/>
              <w:ind w:left="0" w:right="0" w:hanging="0"/>
              <w:jc w:val="center"/>
              <w:rPr/>
            </w:pPr>
            <w:r>
              <w:rPr/>
              <w:t>​</w:t>
            </w:r>
          </w:p>
        </w:tc>
        <w:tc>
          <w:tcPr>
            <w:tcW w:w="3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9" w:type="dxa"/>
            <w:tcBorders/>
            <w:vAlign w:val="center"/>
          </w:tcPr>
          <w:p>
            <w:pPr>
              <w:pStyle w:val="TableContents"/>
              <w:bidi w:val="0"/>
              <w:spacing w:before="0" w:after="0"/>
              <w:ind w:left="0" w:right="0" w:hanging="0"/>
              <w:jc w:val="center"/>
              <w:rPr/>
            </w:pPr>
            <w:r>
              <w:rPr/>
              <w:t>​</w:t>
            </w:r>
          </w:p>
        </w:tc>
        <w:tc>
          <w:tcPr>
            <w:tcW w:w="3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58,971</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58,971</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61,379</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61,379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Money market funds and U.S. Treasury Bills are measured based on quoted market prices in an active market and categorized within Level 1 of the fair value hierarchy. Money market funds and short-term U.S. Treasury Bills with a maturity date of 90 days or less from the date of purchase are classified as cash equivalents in the Company’s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734" w:name="Tc_6RZRztmAREueCrTWwiIqeQ_5_9"/>
      <w:bookmarkStart w:id="1735" w:name="Tc_TCmkPBwBWUm5Lfws-z2Z2A_5_6"/>
      <w:bookmarkStart w:id="1736" w:name="Tc_X8oQN5l3h0Sgb9IRSFzEXw_5_3"/>
      <w:bookmarkStart w:id="1737" w:name="Tc_4jckuZXD0kWoRoCD7goCQA_5_0"/>
      <w:bookmarkStart w:id="1738" w:name="Tc_I64wj7jicESrpro8bKaCjg_4_9"/>
      <w:bookmarkStart w:id="1739" w:name="Tc_KYvldHFto0WTvdKpGckNxg_4_6"/>
      <w:bookmarkStart w:id="1740" w:name="Tc_pVKGFXMPEkeNZ6ITJVvieg_4_3"/>
      <w:bookmarkStart w:id="1741" w:name="Tc_bU6WY8nMX0a9Wdwgo95ZRg_4_0"/>
      <w:bookmarkStart w:id="1742" w:name="Tc_PP55LJ9FokClR-Z7QlAJ3w_3_9"/>
      <w:bookmarkStart w:id="1743" w:name="Tc_T07FgNuP70-edhgXcV-ZNQ_3_6"/>
      <w:bookmarkStart w:id="1744" w:name="Tc_dAvUJWtas0eRj1LV_X8uNw_3_3"/>
      <w:bookmarkStart w:id="1745" w:name="Tc_aSm8w4tOFEyZij0YvRtlNQ_3_0"/>
      <w:bookmarkStart w:id="1746" w:name="Tc_9DtYho1Ve0yRb1C8iKSxPw_2_9"/>
      <w:bookmarkStart w:id="1747" w:name="Tc_pxUgJRd8ZUmBKQ1_2g0iZQ_2_6"/>
      <w:bookmarkStart w:id="1748" w:name="Tc_vZ9tXQ_kTE6KGlDEsaC_Hw_2_3"/>
      <w:bookmarkStart w:id="1749" w:name="Tc_Iz0ralun8EWu6xbDzi_bjw_1_3"/>
      <w:bookmarkStart w:id="1750" w:name="Tc_hVo1AXNTYUa9MQGy_NUBAg_6_17"/>
      <w:bookmarkStart w:id="1751" w:name="Tc_fQbpyI54V021uNJV9eAjMw_6_14"/>
      <w:bookmarkStart w:id="1752" w:name="Tc_PH9dc54tkE-9f_ItOzHMJg_6_11"/>
      <w:bookmarkStart w:id="1753" w:name="Tc_4lg3MJyafEqJD0H9oHpyhw_6_8"/>
      <w:bookmarkStart w:id="1754" w:name="Tc_GFsNaebKnkarL3yEMXKiow_6_4"/>
      <w:bookmarkStart w:id="1755" w:name="Tc_DDF4WPb1oka7re3FJPUaMw_6_2"/>
      <w:bookmarkStart w:id="1756" w:name="Tc_37wUIMPLsEqoDwoORDGSVA_6_0"/>
      <w:bookmarkStart w:id="1757" w:name="Tc_zsfGzt0rGUSwE0o-vjV05Q_5_17"/>
      <w:bookmarkStart w:id="1758" w:name="Tc_b5K6Rpa4VU-0UQ20dEL8Ng_5_14"/>
      <w:bookmarkStart w:id="1759" w:name="Tc_XiPZAEXb2UO7tO8LHtS5Dg_5_11"/>
      <w:bookmarkStart w:id="1760" w:name="Tc_61rCvgTo-0aPnlKLk1dlGA_5_8"/>
      <w:bookmarkStart w:id="1761" w:name="Tc_hSVWGpVnl0acEksdSlbBqQ_5_4"/>
      <w:bookmarkStart w:id="1762" w:name="Tc_NFE6eTo46EeOj21IPv6aEA_5_2"/>
      <w:bookmarkStart w:id="1763" w:name="Tc_HgXNmdRg0kiLXZCpOGYOcw_5_0"/>
      <w:bookmarkStart w:id="1764" w:name="Tc_cp6-RG0pvU-z5IMkRzWMNg_4_11"/>
      <w:bookmarkStart w:id="1765" w:name="Tc_JYuWb61CI0mowliCwl44nw_4_9"/>
      <w:bookmarkStart w:id="1766" w:name="Tc_1vknWzm75UuON7HfOnlFLw_3_19"/>
      <w:bookmarkStart w:id="1767" w:name="Tc_KeiwClPwl0aTktpe4KSHRw_3_17"/>
      <w:bookmarkStart w:id="1768" w:name="Tc_ZTjl-ozhuUOwyFbPtUbfiA_3_14"/>
      <w:bookmarkStart w:id="1769" w:name="Tc_arfRzbRUvkOBlpowwwQu_w_3_11"/>
      <w:bookmarkStart w:id="1770" w:name="Tc_rm56jYoOXUu9ZVMx4DU1-g_3_8"/>
      <w:bookmarkStart w:id="1771" w:name="Tc_ryNu_Hj0VkCSURtMZ5mNcA_3_6"/>
      <w:bookmarkStart w:id="1772" w:name="Tc_xvfmwTAZFUKqGnNDMB9uug_3_4"/>
      <w:bookmarkStart w:id="1773" w:name="Tc_ORDZxscCCUapp9OJgXWd0g_3_2"/>
      <w:bookmarkStart w:id="1774" w:name="Tc_rMW_B4Yp5EqTaqvUIeYGkA_3_0"/>
      <w:bookmarkStart w:id="1775" w:name="Tc_C1ySB-nk-k6eWsPDBClvHw_2_19"/>
      <w:bookmarkStart w:id="1776" w:name="Tc_MMc4S2_2bkCkdqf_1XIRUw_2_17"/>
      <w:bookmarkStart w:id="1777" w:name="Tc_fAbFpeRjIk2A9UOQsMgKdw_2_11"/>
      <w:bookmarkStart w:id="1778" w:name="Tc_n0Ye09xQPUq0bVjbLVIjpA_2_8"/>
      <w:bookmarkStart w:id="1779" w:name="Tc_ni5-UGp7FkCyBKIm3nNQFw_2_6"/>
      <w:bookmarkStart w:id="1780" w:name="Tc_EgGzu-r3_Eqqx9xT-KPjWw_2_4"/>
      <w:bookmarkStart w:id="1781" w:name="Tc_ju8Juup3v0yHDmNj6Aet2w_2_2"/>
      <w:bookmarkStart w:id="1782" w:name="Tc_A1bYQ4TGlkOLV-crJGsm3A_1_19"/>
      <w:bookmarkStart w:id="1783" w:name="Tc_2s6iWUB2cUu3swCsiIF8Mg_1_17"/>
      <w:bookmarkStart w:id="1784" w:name="Tc_55EGCpvyPkOttB9AU-ZD-Q_1_8"/>
      <w:bookmarkStart w:id="1785" w:name="Tc_eTD-xMkt_ECGKQQ9Ij6LeQ_1_6"/>
      <w:bookmarkStart w:id="1786" w:name="_667c562e_5927_4dcd_bd4a_eab5d0a91d8a"/>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r>
        <w:rPr>
          <w:rFonts w:ascii="Times New Roman;Times;serif" w:hAnsi="Times New Roman;Times;serif"/>
          <w:sz w:val="20"/>
        </w:rPr>
        <w:t>Assets and liabilities measured at fair value on a recurring basis related to interest rate swap agreements designated as cash flow hedges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73"/>
        <w:gridCol w:w="109"/>
        <w:gridCol w:w="947"/>
        <w:gridCol w:w="109"/>
        <w:gridCol w:w="782"/>
        <w:gridCol w:w="109"/>
        <w:gridCol w:w="571"/>
        <w:gridCol w:w="109"/>
        <w:gridCol w:w="299"/>
        <w:gridCol w:w="917"/>
        <w:gridCol w:w="109"/>
        <w:gridCol w:w="337"/>
        <w:gridCol w:w="879"/>
        <w:gridCol w:w="114"/>
        <w:gridCol w:w="337"/>
        <w:gridCol w:w="879"/>
        <w:gridCol w:w="109"/>
        <w:gridCol w:w="451"/>
        <w:gridCol w:w="109"/>
        <w:gridCol w:w="1556"/>
      </w:tblGrid>
      <w:tr>
        <w:trPr/>
        <w:tc>
          <w:tcPr>
            <w:tcW w:w="1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871855" cy="175260"/>
                      <wp:effectExtent l="0" t="0" r="0" b="0"/>
                      <wp:wrapNone/>
                      <wp:docPr id="493" name="Frame492"/>
                      <a:graphic xmlns:a="http://schemas.openxmlformats.org/drawingml/2006/main">
                        <a:graphicData uri="http://schemas.microsoft.com/office/word/2010/wordprocessingShape">
                          <wps:wsp>
                            <wps:cNvSpPr txBox="1"/>
                            <wps:spPr>
                              <a:xfrm>
                                <a:off x="0" y="0"/>
                                <a:ext cx="871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9215" cy="175260"/>
                      <wp:effectExtent l="0" t="0" r="0" b="0"/>
                      <wp:wrapNone/>
                      <wp:docPr id="494" name="Frame4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01345" cy="175260"/>
                      <wp:effectExtent l="0" t="0" r="0" b="0"/>
                      <wp:wrapNone/>
                      <wp:docPr id="495" name="Frame494"/>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9215" cy="175260"/>
                      <wp:effectExtent l="0" t="0" r="0" b="0"/>
                      <wp:wrapNone/>
                      <wp:docPr id="496" name="Frame4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96570" cy="175260"/>
                      <wp:effectExtent l="0" t="0" r="0" b="0"/>
                      <wp:wrapNone/>
                      <wp:docPr id="497" name="Frame496"/>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9215" cy="175260"/>
                      <wp:effectExtent l="0" t="0" r="0" b="0"/>
                      <wp:wrapNone/>
                      <wp:docPr id="498" name="Frame4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362585" cy="175260"/>
                      <wp:effectExtent l="0" t="0" r="0" b="0"/>
                      <wp:wrapNone/>
                      <wp:docPr id="499" name="Frame4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9215" cy="175260"/>
                      <wp:effectExtent l="0" t="0" r="0" b="0"/>
                      <wp:wrapNone/>
                      <wp:docPr id="500" name="Frame4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89865" cy="175260"/>
                      <wp:effectExtent l="0" t="0" r="0" b="0"/>
                      <wp:wrapNone/>
                      <wp:docPr id="501" name="Frame50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82295" cy="175260"/>
                      <wp:effectExtent l="0" t="0" r="0" b="0"/>
                      <wp:wrapNone/>
                      <wp:docPr id="502" name="Frame501"/>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9215" cy="175260"/>
                      <wp:effectExtent l="0" t="0" r="0" b="0"/>
                      <wp:wrapNone/>
                      <wp:docPr id="503" name="Frame5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3995" cy="175260"/>
                      <wp:effectExtent l="0" t="0" r="0" b="0"/>
                      <wp:wrapNone/>
                      <wp:docPr id="504" name="Frame503"/>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558165" cy="175260"/>
                      <wp:effectExtent l="0" t="0" r="0" b="0"/>
                      <wp:wrapNone/>
                      <wp:docPr id="505" name="Frame504"/>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72390" cy="175260"/>
                      <wp:effectExtent l="0" t="0" r="0" b="0"/>
                      <wp:wrapNone/>
                      <wp:docPr id="506" name="Frame505"/>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3995" cy="175260"/>
                      <wp:effectExtent l="0" t="0" r="0" b="0"/>
                      <wp:wrapNone/>
                      <wp:docPr id="507" name="Frame50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58165" cy="175260"/>
                      <wp:effectExtent l="0" t="0" r="0" b="0"/>
                      <wp:wrapNone/>
                      <wp:docPr id="508" name="Frame507"/>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9215" cy="175260"/>
                      <wp:effectExtent l="0" t="0" r="0" b="0"/>
                      <wp:wrapNone/>
                      <wp:docPr id="509" name="Frame5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86385" cy="175260"/>
                      <wp:effectExtent l="0" t="0" r="0" b="0"/>
                      <wp:wrapNone/>
                      <wp:docPr id="510" name="Frame50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9215" cy="175260"/>
                      <wp:effectExtent l="0" t="0" r="0" b="0"/>
                      <wp:wrapNone/>
                      <wp:docPr id="511" name="Frame5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988060" cy="175260"/>
                      <wp:effectExtent l="0" t="0" r="0" b="0"/>
                      <wp:wrapNone/>
                      <wp:docPr id="512" name="Frame511"/>
                      <a:graphic xmlns:a="http://schemas.openxmlformats.org/drawingml/2006/main">
                        <a:graphicData uri="http://schemas.microsoft.com/office/word/2010/wordprocessingShape">
                          <wps:wsp>
                            <wps:cNvSpPr txBox="1"/>
                            <wps:spPr>
                              <a:xfrm>
                                <a:off x="0" y="0"/>
                                <a:ext cx="98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Fixed</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Notional</w:t>
            </w:r>
          </w:p>
        </w:tc>
        <w:tc>
          <w:tcPr>
            <w:tcW w:w="109"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right"/>
              <w:rPr/>
            </w:pPr>
            <w:r>
              <w:rPr/>
              <w:t>​</w:t>
            </w:r>
          </w:p>
        </w:tc>
        <w:tc>
          <w:tcPr>
            <w:tcW w:w="879" w:type="dxa"/>
            <w:tcBorders/>
            <w:vAlign w:val="center"/>
          </w:tcPr>
          <w:p>
            <w:pPr>
              <w:pStyle w:val="TableContents"/>
              <w:bidi w:val="0"/>
              <w:spacing w:before="0" w:after="1"/>
              <w:ind w:left="0" w:right="0" w:hanging="0"/>
              <w:jc w:val="left"/>
              <w:rPr/>
            </w:pPr>
            <w:r>
              <w:rPr/>
              <w:t>​</w:t>
            </w:r>
          </w:p>
        </w:tc>
        <w:tc>
          <w:tcPr>
            <w:tcW w:w="114"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right"/>
              <w:rPr/>
            </w:pPr>
            <w:r>
              <w:rPr/>
              <w:t>​</w:t>
            </w:r>
          </w:p>
        </w:tc>
        <w:tc>
          <w:tcPr>
            <w:tcW w:w="8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Fair</w:t>
            </w:r>
          </w:p>
        </w:tc>
        <w:tc>
          <w:tcPr>
            <w:tcW w:w="109" w:type="dxa"/>
            <w:tcBorders/>
            <w:vAlign w:val="center"/>
          </w:tcPr>
          <w:p>
            <w:pPr>
              <w:pStyle w:val="TableContents"/>
              <w:bidi w:val="0"/>
              <w:spacing w:before="0" w:after="1"/>
              <w:ind w:left="0" w:right="0" w:hanging="0"/>
              <w:jc w:val="left"/>
              <w:rPr/>
            </w:pPr>
            <w:r>
              <w:rPr/>
              <w:t>​</w:t>
            </w:r>
          </w:p>
        </w:tc>
        <w:tc>
          <w:tcPr>
            <w:tcW w:w="155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 in</w:t>
            </w:r>
          </w:p>
        </w:tc>
      </w:tr>
      <w:tr>
        <w:trPr/>
        <w:tc>
          <w:tcPr>
            <w:tcW w:w="13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47"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Effective</w:t>
            </w:r>
          </w:p>
        </w:tc>
        <w:tc>
          <w:tcPr>
            <w:tcW w:w="109" w:type="dxa"/>
            <w:tcBorders/>
            <w:vAlign w:val="center"/>
          </w:tcPr>
          <w:p>
            <w:pPr>
              <w:pStyle w:val="TableContents"/>
              <w:bidi w:val="0"/>
              <w:spacing w:before="0" w:after="1"/>
              <w:ind w:left="0" w:right="0" w:hanging="0"/>
              <w:jc w:val="center"/>
              <w:rPr/>
            </w:pPr>
            <w:r>
              <w:rPr/>
              <w:t>​</w:t>
            </w:r>
          </w:p>
        </w:tc>
        <w:tc>
          <w:tcPr>
            <w:tcW w:w="782"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109"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 as of</w:t>
            </w:r>
          </w:p>
        </w:tc>
        <w:tc>
          <w:tcPr>
            <w:tcW w:w="109" w:type="dxa"/>
            <w:tcBorders/>
            <w:vAlign w:val="center"/>
          </w:tcPr>
          <w:p>
            <w:pPr>
              <w:pStyle w:val="TableContents"/>
              <w:bidi w:val="0"/>
              <w:spacing w:before="0" w:after="1"/>
              <w:ind w:left="0" w:right="0" w:hanging="0"/>
              <w:jc w:val="center"/>
              <w:rPr/>
            </w:pPr>
            <w:r>
              <w:rPr/>
              <w:t>​</w:t>
            </w:r>
          </w:p>
        </w:tc>
        <w:tc>
          <w:tcPr>
            <w:tcW w:w="25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Derivative Asset Fair Value</w:t>
            </w:r>
          </w:p>
        </w:tc>
        <w:tc>
          <w:tcPr>
            <w:tcW w:w="109"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109" w:type="dxa"/>
            <w:tcBorders/>
            <w:vAlign w:val="center"/>
          </w:tcPr>
          <w:p>
            <w:pPr>
              <w:pStyle w:val="TableContents"/>
              <w:bidi w:val="0"/>
              <w:spacing w:before="0" w:after="1"/>
              <w:ind w:left="0" w:right="0" w:hanging="0"/>
              <w:jc w:val="center"/>
              <w:rPr/>
            </w:pPr>
            <w:r>
              <w:rPr/>
              <w:t>​</w:t>
            </w:r>
          </w:p>
        </w:tc>
        <w:tc>
          <w:tcPr>
            <w:tcW w:w="155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Consolidated </w:t>
            </w:r>
          </w:p>
        </w:tc>
      </w:tr>
      <w:tr>
        <w:trPr/>
        <w:tc>
          <w:tcPr>
            <w:tcW w:w="13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Description</w:t>
            </w:r>
          </w:p>
        </w:tc>
        <w:tc>
          <w:tcPr>
            <w:tcW w:w="109" w:type="dxa"/>
            <w:tcBorders/>
            <w:vAlign w:val="center"/>
          </w:tcPr>
          <w:p>
            <w:pPr>
              <w:pStyle w:val="TableContents"/>
              <w:bidi w:val="0"/>
              <w:spacing w:before="0" w:after="1"/>
              <w:ind w:left="0" w:right="0" w:hanging="0"/>
              <w:jc w:val="center"/>
              <w:rPr/>
            </w:pPr>
            <w:r>
              <w:rPr/>
              <w:t>​</w:t>
            </w:r>
          </w:p>
        </w:tc>
        <w:tc>
          <w:tcPr>
            <w:tcW w:w="94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vAlign w:val="center"/>
          </w:tcPr>
          <w:p>
            <w:pPr>
              <w:pStyle w:val="TableContents"/>
              <w:bidi w:val="0"/>
              <w:spacing w:before="0" w:after="1"/>
              <w:ind w:left="0" w:right="0" w:hanging="0"/>
              <w:jc w:val="center"/>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2025</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2025</w:t>
            </w:r>
          </w:p>
        </w:tc>
        <w:tc>
          <w:tcPr>
            <w:tcW w:w="114"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2024</w:t>
            </w:r>
          </w:p>
        </w:tc>
        <w:tc>
          <w:tcPr>
            <w:tcW w:w="109" w:type="dxa"/>
            <w:tcBorders/>
            <w:vAlign w:val="center"/>
          </w:tcPr>
          <w:p>
            <w:pPr>
              <w:pStyle w:val="TableContents"/>
              <w:bidi w:val="0"/>
              <w:spacing w:before="0" w:after="1"/>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Level</w:t>
            </w:r>
          </w:p>
        </w:tc>
        <w:tc>
          <w:tcPr>
            <w:tcW w:w="109" w:type="dxa"/>
            <w:tcBorders/>
            <w:vAlign w:val="center"/>
          </w:tcPr>
          <w:p>
            <w:pPr>
              <w:pStyle w:val="TableContents"/>
              <w:bidi w:val="0"/>
              <w:spacing w:before="0" w:after="1"/>
              <w:ind w:left="0" w:right="0" w:hanging="0"/>
              <w:jc w:val="center"/>
              <w:rPr/>
            </w:pPr>
            <w:r>
              <w:rPr/>
              <w:t>​</w:t>
            </w:r>
          </w:p>
        </w:tc>
        <w:tc>
          <w:tcPr>
            <w:tcW w:w="1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Sheets</w:t>
            </w:r>
          </w:p>
        </w:tc>
      </w:tr>
      <w:tr>
        <w:trPr/>
        <w:tc>
          <w:tcPr>
            <w:tcW w:w="10205" w:type="dxa"/>
            <w:gridSpan w:val="20"/>
            <w:tcBorders/>
            <w:vAlign w:val="center"/>
          </w:tcPr>
          <w:p>
            <w:pPr>
              <w:pStyle w:val="TableContents"/>
              <w:bidi w:val="0"/>
              <w:spacing w:before="0" w:after="283"/>
              <w:ind w:left="0" w:right="0" w:hanging="0"/>
              <w:jc w:val="left"/>
              <w:rPr>
                <w:sz w:val="4"/>
                <w:szCs w:val="4"/>
              </w:rPr>
            </w:pPr>
            <w:r>
              <w:rPr>
                <w:sz w:val="4"/>
                <w:szCs w:val="4"/>
              </w:rPr>
            </w:r>
          </w:p>
        </w:tc>
      </w:tr>
      <w:tr>
        <w:trPr/>
        <w:tc>
          <w:tcPr>
            <w:tcW w:w="13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4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8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99" w:type="dxa"/>
            <w:tcBorders/>
            <w:vAlign w:val="center"/>
          </w:tcPr>
          <w:p>
            <w:pPr>
              <w:pStyle w:val="TableContents"/>
              <w:bidi w:val="0"/>
              <w:spacing w:before="0" w:after="1"/>
              <w:ind w:left="0" w:right="0" w:hanging="0"/>
              <w:jc w:val="right"/>
              <w:rPr/>
            </w:pPr>
            <w:r>
              <w:rPr/>
              <w:t>​</w:t>
            </w:r>
          </w:p>
        </w:tc>
        <w:tc>
          <w:tcPr>
            <w:tcW w:w="917" w:type="dxa"/>
            <w:tcBorders/>
            <w:vAlign w:val="center"/>
          </w:tcPr>
          <w:p>
            <w:pPr>
              <w:pStyle w:val="TableContents"/>
              <w:bidi w:val="0"/>
              <w:spacing w:before="0" w:after="1"/>
              <w:ind w:left="0" w:right="0" w:hanging="0"/>
              <w:jc w:val="center"/>
              <w:rPr>
                <w:rFonts w:ascii="Times New Roman;Times;serif" w:hAnsi="Times New Roman;Times;serif"/>
                <w:i/>
                <w:sz w:val="14"/>
              </w:rPr>
            </w:pPr>
            <w:r>
              <w:rPr>
                <w:rFonts w:ascii="Times New Roman;Times;serif" w:hAnsi="Times New Roman;Times;serif"/>
                <w:i/>
                <w:sz w:val="14"/>
              </w:rPr>
              <w:t>In Millions</w:t>
            </w:r>
          </w:p>
        </w:tc>
        <w:tc>
          <w:tcPr>
            <w:tcW w:w="109" w:type="dxa"/>
            <w:tcBorders/>
            <w:vAlign w:val="center"/>
          </w:tcPr>
          <w:p>
            <w:pPr>
              <w:pStyle w:val="TableContents"/>
              <w:bidi w:val="0"/>
              <w:spacing w:before="0" w:after="1"/>
              <w:ind w:left="0" w:right="0" w:hanging="0"/>
              <w:jc w:val="center"/>
              <w:rPr/>
            </w:pPr>
            <w:r>
              <w:rPr/>
              <w:t>​</w:t>
            </w:r>
          </w:p>
        </w:tc>
        <w:tc>
          <w:tcPr>
            <w:tcW w:w="2546" w:type="dxa"/>
            <w:gridSpan w:val="5"/>
            <w:tcBorders/>
            <w:vAlign w:val="center"/>
          </w:tcPr>
          <w:p>
            <w:pPr>
              <w:pStyle w:val="TableContents"/>
              <w:bidi w:val="0"/>
              <w:spacing w:before="0" w:after="1"/>
              <w:ind w:left="0" w:right="0" w:hanging="0"/>
              <w:jc w:val="center"/>
              <w:rPr>
                <w:rFonts w:ascii="Times New Roman;Times;serif" w:hAnsi="Times New Roman;Times;serif"/>
                <w:i/>
                <w:sz w:val="14"/>
              </w:rPr>
            </w:pPr>
            <w:r>
              <w:rPr>
                <w:rFonts w:ascii="Times New Roman;Times;serif" w:hAnsi="Times New Roman;Times;serif"/>
                <w:i/>
                <w:sz w:val="14"/>
              </w:rPr>
              <w:t>In Thousands</w:t>
            </w:r>
          </w:p>
        </w:tc>
        <w:tc>
          <w:tcPr>
            <w:tcW w:w="109"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556" w:type="dxa"/>
            <w:tcBorders/>
            <w:vAlign w:val="center"/>
          </w:tcPr>
          <w:p>
            <w:pPr>
              <w:pStyle w:val="TableContents"/>
              <w:bidi w:val="0"/>
              <w:spacing w:before="0" w:after="1"/>
              <w:ind w:left="0" w:right="0" w:hanging="0"/>
              <w:jc w:val="center"/>
              <w:rPr/>
            </w:pPr>
            <w:r>
              <w:rPr/>
              <w:t>​</w:t>
            </w:r>
          </w:p>
        </w:tc>
      </w:tr>
      <w:tr>
        <w:trPr/>
        <w:tc>
          <w:tcPr>
            <w:tcW w:w="137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Pier Park Resort Hotel JV Loan</w:t>
            </w:r>
            <w:r>
              <w:rPr>
                <w:rFonts w:ascii="Times New Roman;Times;serif" w:hAnsi="Times New Roman;Times;serif"/>
                <w:sz w:val="16"/>
              </w:rPr>
              <w:t xml:space="preserve"> </w:t>
            </w:r>
            <w:r>
              <w:rPr>
                <w:rFonts w:ascii="Times New Roman;Times;serif" w:hAnsi="Times New Roman;Times;serif"/>
                <w:sz w:val="13"/>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947"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December 2022</w:t>
            </w:r>
          </w:p>
        </w:tc>
        <w:tc>
          <w:tcPr>
            <w:tcW w:w="109" w:type="dxa"/>
            <w:tcBorders/>
            <w:shd w:fill="CCEEFF" w:val="clear"/>
            <w:vAlign w:val="center"/>
          </w:tcPr>
          <w:p>
            <w:pPr>
              <w:pStyle w:val="TableContents"/>
              <w:bidi w:val="0"/>
              <w:spacing w:before="0" w:after="1"/>
              <w:ind w:left="0" w:right="0" w:hanging="0"/>
              <w:jc w:val="center"/>
              <w:rPr/>
            </w:pPr>
            <w:r>
              <w:rPr/>
              <w:t>​</w:t>
            </w:r>
          </w:p>
        </w:tc>
        <w:tc>
          <w:tcPr>
            <w:tcW w:w="782"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April 2027</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39.8</w:t>
            </w:r>
          </w:p>
        </w:tc>
        <w:tc>
          <w:tcPr>
            <w:tcW w:w="109"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1,127</w:t>
            </w:r>
          </w:p>
        </w:tc>
        <w:tc>
          <w:tcPr>
            <w:tcW w:w="114" w:type="dxa"/>
            <w:tcBorders/>
            <w:shd w:fill="CCEEFF" w:val="clear"/>
            <w:vAlign w:val="center"/>
          </w:tcPr>
          <w:p>
            <w:pPr>
              <w:pStyle w:val="TableContents"/>
              <w:bidi w:val="0"/>
              <w:spacing w:before="0" w:after="1"/>
              <w:ind w:left="0" w:right="0" w:hanging="0"/>
              <w:jc w:val="righ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2,560</w:t>
            </w:r>
          </w:p>
        </w:tc>
        <w:tc>
          <w:tcPr>
            <w:tcW w:w="109"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55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Other assets</w:t>
            </w:r>
          </w:p>
        </w:tc>
      </w:tr>
      <w:tr>
        <w:trPr/>
        <w:tc>
          <w:tcPr>
            <w:tcW w:w="1373"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Pier Park TPS JV Loan</w:t>
            </w:r>
            <w:r>
              <w:rPr>
                <w:rFonts w:ascii="Times New Roman;Times;serif" w:hAnsi="Times New Roman;Times;serif"/>
                <w:sz w:val="16"/>
              </w:rPr>
              <w:t xml:space="preserve"> </w:t>
            </w:r>
            <w:r>
              <w:rPr>
                <w:rFonts w:ascii="Times New Roman;Times;serif" w:hAnsi="Times New Roman;Times;serif"/>
                <w:sz w:val="13"/>
              </w:rPr>
              <w:t>(b)</w:t>
            </w:r>
          </w:p>
        </w:tc>
        <w:tc>
          <w:tcPr>
            <w:tcW w:w="109" w:type="dxa"/>
            <w:tcBorders/>
            <w:vAlign w:val="center"/>
          </w:tcPr>
          <w:p>
            <w:pPr>
              <w:pStyle w:val="TableContents"/>
              <w:bidi w:val="0"/>
              <w:spacing w:before="0" w:after="1"/>
              <w:ind w:left="0" w:right="0" w:hanging="0"/>
              <w:jc w:val="left"/>
              <w:rPr/>
            </w:pPr>
            <w:r>
              <w:rPr/>
              <w:t>​</w:t>
            </w:r>
          </w:p>
        </w:tc>
        <w:tc>
          <w:tcPr>
            <w:tcW w:w="947"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January 2021</w:t>
            </w:r>
          </w:p>
        </w:tc>
        <w:tc>
          <w:tcPr>
            <w:tcW w:w="109" w:type="dxa"/>
            <w:tcBorders/>
            <w:vAlign w:val="center"/>
          </w:tcPr>
          <w:p>
            <w:pPr>
              <w:pStyle w:val="TableContents"/>
              <w:bidi w:val="0"/>
              <w:spacing w:before="0" w:after="1"/>
              <w:ind w:left="0" w:right="0" w:hanging="0"/>
              <w:jc w:val="center"/>
              <w:rPr/>
            </w:pPr>
            <w:r>
              <w:rPr/>
              <w:t>​</w:t>
            </w:r>
          </w:p>
        </w:tc>
        <w:tc>
          <w:tcPr>
            <w:tcW w:w="782"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12.8</w:t>
            </w:r>
          </w:p>
        </w:tc>
        <w:tc>
          <w:tcPr>
            <w:tcW w:w="109"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w:t>
            </w:r>
          </w:p>
        </w:tc>
        <w:tc>
          <w:tcPr>
            <w:tcW w:w="114"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108</w:t>
            </w:r>
          </w:p>
        </w:tc>
        <w:tc>
          <w:tcPr>
            <w:tcW w:w="109"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2</w:t>
            </w:r>
          </w:p>
        </w:tc>
        <w:tc>
          <w:tcPr>
            <w:tcW w:w="109" w:type="dxa"/>
            <w:tcBorders/>
            <w:vAlign w:val="center"/>
          </w:tcPr>
          <w:p>
            <w:pPr>
              <w:pStyle w:val="TableContents"/>
              <w:bidi w:val="0"/>
              <w:spacing w:before="0" w:after="1"/>
              <w:ind w:left="0" w:right="0" w:hanging="0"/>
              <w:jc w:val="left"/>
              <w:rPr/>
            </w:pPr>
            <w:r>
              <w:rPr/>
              <w:t>​</w:t>
            </w:r>
          </w:p>
        </w:tc>
        <w:tc>
          <w:tcPr>
            <w:tcW w:w="155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Accounts payable and other liabilities</w:t>
            </w:r>
          </w:p>
        </w:tc>
      </w:tr>
    </w:tbl>
    <w:tbl>
      <w:tblPr>
        <w:tblW w:w="3932" w:type="dxa"/>
        <w:jc w:val="left"/>
        <w:tblInd w:w="0" w:type="dxa"/>
        <w:tblLayout w:type="fixed"/>
        <w:tblCellMar>
          <w:top w:w="0" w:type="dxa"/>
          <w:left w:w="0" w:type="dxa"/>
          <w:bottom w:w="0" w:type="dxa"/>
          <w:right w:w="0" w:type="dxa"/>
        </w:tblCellMar>
      </w:tblPr>
      <w:tblGrid>
        <w:gridCol w:w="316"/>
        <w:gridCol w:w="36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36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See Note 9. </w:t>
            </w:r>
            <w:r>
              <w:rPr>
                <w:rFonts w:ascii="Times New Roman;Times;serif" w:hAnsi="Times New Roman;Times;serif"/>
                <w:b w:val="false"/>
                <w:i/>
                <w:sz w:val="18"/>
              </w:rPr>
              <w:t>Debt, Net</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Interest rate swap was entered into by the Pier Park TPS JV, which is unconsolidated and accounted for using the equity method. The derivative asset has been recorded at the Company’s proportionate share of its estimated fair value. The Company’s proportionate share of the gain or loss on the derivative instrument is reported as a component of other comprehensive loss and reclassified into equity in income from unconsolidated joint ventures in the period during which the hedged transaction affects earnings.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and</w:t>
            </w:r>
            <w:r>
              <w:rPr/>
              <w:t xml:space="preserve"> </w:t>
            </w:r>
            <w:r>
              <w:rPr>
                <w:rFonts w:ascii="Times New Roman;Times;serif" w:hAnsi="Times New Roman;Times;serif"/>
                <w:b w:val="false"/>
                <w:i w:val="false"/>
                <w:caps w:val="false"/>
                <w:smallCaps w:val="false"/>
                <w:sz w:val="18"/>
              </w:rPr>
              <w:t xml:space="preserve">Note 19. </w:t>
            </w:r>
            <w:r>
              <w:rPr>
                <w:rFonts w:ascii="Times New Roman;Times;serif" w:hAnsi="Times New Roman;Times;serif"/>
                <w:b w:val="false"/>
                <w:i/>
                <w:sz w:val="18"/>
              </w:rPr>
              <w:t>Commitments and Contingencies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summary of the effect of derivative instruments on the Company’s consolidated statements of income and consolidated statements of comprehensive income: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27"/>
        <w:gridCol w:w="109"/>
        <w:gridCol w:w="109"/>
        <w:gridCol w:w="211"/>
        <w:gridCol w:w="687"/>
        <w:gridCol w:w="109"/>
        <w:gridCol w:w="211"/>
        <w:gridCol w:w="687"/>
        <w:gridCol w:w="109"/>
        <w:gridCol w:w="211"/>
        <w:gridCol w:w="735"/>
      </w:tblGrid>
      <w:tr>
        <w:trPr/>
        <w:tc>
          <w:tcPr>
            <w:tcW w:w="7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462145" cy="175260"/>
                      <wp:effectExtent l="0" t="0" r="0" b="0"/>
                      <wp:wrapNone/>
                      <wp:docPr id="513" name="Frame512"/>
                      <a:graphic xmlns:a="http://schemas.openxmlformats.org/drawingml/2006/main">
                        <a:graphicData uri="http://schemas.microsoft.com/office/word/2010/wordprocessingShape">
                          <wps:wsp>
                            <wps:cNvSpPr txBox="1"/>
                            <wps:spPr>
                              <a:xfrm>
                                <a:off x="0" y="0"/>
                                <a:ext cx="4462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9215" cy="175260"/>
                      <wp:effectExtent l="0" t="0" r="0" b="0"/>
                      <wp:wrapNone/>
                      <wp:docPr id="514" name="Frame5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9215" cy="175260"/>
                      <wp:effectExtent l="0" t="0" r="0" b="0"/>
                      <wp:wrapNone/>
                      <wp:docPr id="515" name="Frame5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6" name="Frame5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436245" cy="175260"/>
                      <wp:effectExtent l="0" t="0" r="0" b="0"/>
                      <wp:wrapNone/>
                      <wp:docPr id="517" name="Frame516"/>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9215" cy="175260"/>
                      <wp:effectExtent l="0" t="0" r="0" b="0"/>
                      <wp:wrapNone/>
                      <wp:docPr id="518" name="Frame5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19" name="Frame5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36245" cy="175260"/>
                      <wp:effectExtent l="0" t="0" r="0" b="0"/>
                      <wp:wrapNone/>
                      <wp:docPr id="520" name="Frame51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9215" cy="175260"/>
                      <wp:effectExtent l="0" t="0" r="0" b="0"/>
                      <wp:wrapNone/>
                      <wp:docPr id="521" name="Frame5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2" name="Frame5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466725" cy="175260"/>
                      <wp:effectExtent l="0" t="0" r="0" b="0"/>
                      <wp:wrapNone/>
                      <wp:docPr id="523" name="Frame522"/>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6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70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0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of net (loss) gain recognized in other comprehensive loss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r>
      <w:tr>
        <w:trPr/>
        <w:tc>
          <w:tcPr>
            <w:tcW w:w="70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of net gain reclassified into interest expense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w:t>
            </w:r>
          </w:p>
        </w:tc>
      </w:tr>
      <w:tr>
        <w:trPr/>
        <w:tc>
          <w:tcPr>
            <w:tcW w:w="70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of net gain reclassified into equity in income from unconsolidated joint ventures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based on current value, the Company expects to reclassify $0.9 million of derivative instruments from accumulated other comprehensive income to earnings during the next twelve months. See Note 13. </w:t>
      </w:r>
      <w:r>
        <w:rPr>
          <w:rFonts w:ascii="Times New Roman;Times;serif" w:hAnsi="Times New Roman;Times;serif"/>
          <w:i/>
          <w:sz w:val="20"/>
        </w:rPr>
        <w:t>Accumulated Other Comprehensive</w:t>
      </w:r>
      <w:r>
        <w:rPr>
          <w:rFonts w:ascii="Times New Roman;Times;serif" w:hAnsi="Times New Roman;Times;serif"/>
          <w:sz w:val="20"/>
        </w:rPr>
        <w:t xml:space="preserve"> Income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the Company’s investment in unconsolidated joint ventures is determined primarily using a discounted cash flow model to value the underlying net assets or cash flows of the respective JV. The fair value of investment in unconsolidated joint ventures required to be assessed for impairment is determined using Level 3 inputs in the fair value hierarchy. No impairment for unconsolidated JVs was recorded during 2025, 2024 or 2023.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reviews its long-lived assets for impairment whenever events or changes in circumstances indicate that the carrying amount of an asset may not be recoverable. The fair value of long-lived assets required to be assessed for impairment is determined using Level 3 inputs in the fair value hierarchy. During 2025, 2024 and 2023 the Company did not record any impairment charges related to long-lived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the Company’s cash and cash equivalents, restricted cash, receivables, other assets, accounts payable and other liabilities approximate fair value due to the short-term nature of these instruments.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787" w:name="Tc_1hVNbIj9HEmgh2PPEHj1gQ_13_13"/>
      <w:bookmarkStart w:id="1788" w:name="Tc_4sJ2afz-S0KfGUElwPkG1g_13_10"/>
      <w:bookmarkStart w:id="1789" w:name="Tc_J7V7PoBbO0KtK6RRaeW7eg_13_5"/>
      <w:bookmarkStart w:id="1790" w:name="Tc_-In3tV77zkqntId3oC7KIw_13_2"/>
      <w:bookmarkStart w:id="1791" w:name="Tc_OAFSVvkhZEmRwOZcSL__ZA_13_0"/>
      <w:bookmarkStart w:id="1792" w:name="Tc_x1NWVMZnPUOuVfPtOF0kQg_12_16"/>
      <w:bookmarkStart w:id="1793" w:name="Tc_K_Ou5_DW6UOPJ-yZYYtHCA_12_8"/>
      <w:bookmarkStart w:id="1794" w:name="Tc_6wGg-TJ_g0iu6YsR4etaaQ_12_0"/>
      <w:bookmarkStart w:id="1795" w:name="Tc_YjJIu3yL-069llbktJy8zw_11_16"/>
      <w:bookmarkStart w:id="1796" w:name="Tc_9AaUk7zPn0qE_3LVZd1EpA_11_13"/>
      <w:bookmarkStart w:id="1797" w:name="Tc_I6aBjS05aUadDi0_CZyLJA_11_10"/>
      <w:bookmarkStart w:id="1798" w:name="Tc_YwUBneP-hE6ogtha6tmdzQ_11_8"/>
      <w:bookmarkStart w:id="1799" w:name="Tc_gVppxoQ_SUKHzDuYFQ75_g_11_5"/>
      <w:bookmarkStart w:id="1800" w:name="Tc_TUXchsAd8Ua6UFFL1q6b_A_11_2"/>
      <w:bookmarkStart w:id="1801" w:name="Tc_xa8y94RL_kiSy2ML31gENA_11_0"/>
      <w:bookmarkStart w:id="1802" w:name="Tc_p-URsysP9kWYzd-ptHGQ_A_10_0"/>
      <w:bookmarkStart w:id="1803" w:name="Tc_blHoa001pEONQ72vwMQr5Q_8_16"/>
      <w:bookmarkStart w:id="1804" w:name="Tc_ENQuXxVfr0utoH54-q0VUg_8_13"/>
      <w:bookmarkStart w:id="1805" w:name="Tc_GENHYYuc-UWPMSy2xWQSLg_8_10"/>
      <w:bookmarkStart w:id="1806" w:name="Tc_uaBXNbSrZUOon0o_wBeUvg_8_8"/>
      <w:bookmarkStart w:id="1807" w:name="Tc_16ganuQHOku1Dcu_YK9gsQ_8_5"/>
      <w:bookmarkStart w:id="1808" w:name="Tc_4nNl6lrDE0ylsdUdgPQ9gQ_8_2"/>
      <w:bookmarkStart w:id="1809" w:name="Tc_2FoAOOISKUKVBQxTzA6a5g_8_0"/>
      <w:bookmarkStart w:id="1810" w:name="Tc_6StClQdz1kOpG4AXf5EaNA_6_16"/>
      <w:bookmarkStart w:id="1811" w:name="Tc_5DjN3-3mRUakPLYpchHvog_6_13"/>
      <w:bookmarkStart w:id="1812" w:name="Tc_OuCYGCyue0aSWjs8Z5IuPQ_6_10"/>
      <w:bookmarkStart w:id="1813" w:name="Tc_9CnKGFMEeEOYK-owOuP_Jw_6_8"/>
      <w:bookmarkStart w:id="1814" w:name="Tc_K15wMDg7WEiDg-6-3je72Q_6_5"/>
      <w:bookmarkStart w:id="1815" w:name="Tc_Nk43MpkF_k26GNtpvxYJLQ_6_2"/>
      <w:bookmarkStart w:id="1816" w:name="Tc_frVCf1rNqUSjqhtn3DD7ow_6_0"/>
      <w:bookmarkStart w:id="1817" w:name="Tc_7VG0tP_6VUK5vN5LfB9b5g_5_16"/>
      <w:bookmarkStart w:id="1818" w:name="Tc_j-409bvkhEqzpxI6hBlOqw_5_13"/>
      <w:bookmarkStart w:id="1819" w:name="Tc_10ecQbVD-EO91QO_ZTWW1g_5_10"/>
      <w:bookmarkStart w:id="1820" w:name="Tc_LI5q2GKJ_U-6fxiafEPAFw_5_8"/>
      <w:bookmarkStart w:id="1821" w:name="Tc_Q_9IiPogikWpd4adDDTGzQ_5_5"/>
      <w:bookmarkStart w:id="1822" w:name="Tc_-XAwPJl3a0S4B61ZKLTM9g_5_2"/>
      <w:bookmarkStart w:id="1823" w:name="Tc_P6zQnxpZBEinzHmxyLsGwg_5_0"/>
      <w:bookmarkStart w:id="1824" w:name="Tc_Ka_rLZ_9V0Ca56UOtcp-SQ_4_0"/>
      <w:bookmarkStart w:id="1825" w:name="Tc_xO9-gyAl606EauIqrcQ7zQ_3_16"/>
      <w:bookmarkStart w:id="1826" w:name="Tc_VYnYu0UyakqPgAJ-YOyqig_3_13"/>
      <w:bookmarkStart w:id="1827" w:name="Tc_3gbf7jRYrkm0Xdr9flUpGQ_3_10"/>
      <w:bookmarkStart w:id="1828" w:name="Tc_T4410Jlvn0aC_tFENC2uBA_3_8"/>
      <w:bookmarkStart w:id="1829" w:name="Tc_Neh34xEWqEqGU7LWCu5jLw_3_5"/>
      <w:bookmarkStart w:id="1830" w:name="Tc_ikrA-bq7cUOmZJYiRqLAnA_3_2"/>
      <w:bookmarkStart w:id="1831" w:name="Tc_UKqIFqTgZE-A1udKhpqzpw_2_13"/>
      <w:bookmarkStart w:id="1832" w:name="Tc_BwT2iYYvfEGm3O5P-mXhbg_2_10"/>
      <w:bookmarkStart w:id="1833" w:name="Tc_IwgP7hAwr0WEVLFNj6czLQ_2_5"/>
      <w:bookmarkStart w:id="1834" w:name="Tc_NB8OvhdtG0CMBrqHpbI1Uw_2_2"/>
      <w:bookmarkStart w:id="1835" w:name="Tc_vYKDuPryIEy9ruBRMNxKAw_1_10"/>
      <w:bookmarkStart w:id="1836" w:name="Tc_lHvLDjcgf06rheaXYFITHQ_1_2"/>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r>
        <w:rPr>
          <w:rFonts w:ascii="Times New Roman;Times;serif" w:hAnsi="Times New Roman;Times;serif"/>
          <w:sz w:val="20"/>
        </w:rPr>
        <w:t>The Company uses the following methods and assumptions in estimating fair value for financial instruments: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investments held by SPE - time deposit is based on the present value of future cash flows at the current market 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investments held by SPE - U.S. Treasury Bills are measured based on quoted market prices in an active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debt is based on discounted future expected cash flows based on current market rates for financial instruments with similar risks, terms and maturities.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Senior Notes held by SPE is based on the present value of future cash flows at the current market rate.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amount and estimated fair value, measured on a nonrecurring basis, of the Company’s financial instruments were as follows:</w:t>
      </w:r>
    </w:p>
    <w:p>
      <w:pPr>
        <w:pStyle w:val="TextBody"/>
        <w:bidi w:val="0"/>
        <w:spacing w:before="0" w:after="0"/>
        <w:ind w:left="0" w:right="0" w:hanging="0"/>
        <w:jc w:val="left"/>
        <w:rPr/>
      </w:pPr>
      <w:r>
        <w:rPr/>
        <w:t>​</w:t>
      </w:r>
    </w:p>
    <w:tbl>
      <w:tblPr>
        <w:tblW w:w="9347" w:type="dxa"/>
        <w:jc w:val="left"/>
        <w:tblInd w:w="0" w:type="dxa"/>
        <w:tblLayout w:type="fixed"/>
        <w:tblCellMar>
          <w:top w:w="0" w:type="dxa"/>
          <w:left w:w="0" w:type="dxa"/>
          <w:bottom w:w="0" w:type="dxa"/>
          <w:right w:w="0" w:type="dxa"/>
        </w:tblCellMar>
      </w:tblPr>
      <w:tblGrid>
        <w:gridCol w:w="2266"/>
        <w:gridCol w:w="346"/>
        <w:gridCol w:w="211"/>
        <w:gridCol w:w="781"/>
        <w:gridCol w:w="346"/>
        <w:gridCol w:w="211"/>
        <w:gridCol w:w="781"/>
        <w:gridCol w:w="346"/>
        <w:gridCol w:w="496"/>
        <w:gridCol w:w="346"/>
        <w:gridCol w:w="211"/>
        <w:gridCol w:w="781"/>
        <w:gridCol w:w="346"/>
        <w:gridCol w:w="211"/>
        <w:gridCol w:w="781"/>
        <w:gridCol w:w="346"/>
        <w:gridCol w:w="54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438910" cy="175260"/>
                      <wp:effectExtent l="0" t="0" r="0" b="0"/>
                      <wp:wrapNone/>
                      <wp:docPr id="524" name="Frame523"/>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5"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26"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495935" cy="175260"/>
                      <wp:effectExtent l="0" t="0" r="0" b="0"/>
                      <wp:wrapNone/>
                      <wp:docPr id="527" name="Frame5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28" name="Frame5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260"/>
                      <wp:effectExtent l="0" t="0" r="0" b="0"/>
                      <wp:wrapNone/>
                      <wp:docPr id="529" name="Frame5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95935" cy="175260"/>
                      <wp:effectExtent l="0" t="0" r="0" b="0"/>
                      <wp:wrapNone/>
                      <wp:docPr id="530" name="Frame5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31" name="Frame5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14960" cy="175260"/>
                      <wp:effectExtent l="0" t="0" r="0" b="0"/>
                      <wp:wrapNone/>
                      <wp:docPr id="532" name="Frame53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33"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4" name="Frame5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95935" cy="175260"/>
                      <wp:effectExtent l="0" t="0" r="0" b="0"/>
                      <wp:wrapNone/>
                      <wp:docPr id="535" name="Frame5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6"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37" name="Frame5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95935" cy="175260"/>
                      <wp:effectExtent l="0" t="0" r="0" b="0"/>
                      <wp:wrapNone/>
                      <wp:docPr id="538" name="Frame5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39"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43535" cy="175260"/>
                      <wp:effectExtent l="0" t="0" r="0" b="0"/>
                      <wp:wrapNone/>
                      <wp:docPr id="540" name="Frame53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w:t>
            </w:r>
          </w:p>
        </w:tc>
        <w:tc>
          <w:tcPr>
            <w:tcW w:w="32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left"/>
              <w:rPr/>
            </w:pPr>
            <w:r>
              <w:rPr/>
              <w:t>  ​ ​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left"/>
              <w:rPr/>
            </w:pPr>
            <w:r>
              <w:rPr/>
              <w:t>  ​ ​ ​</w:t>
            </w:r>
          </w:p>
        </w:tc>
        <w:tc>
          <w:tcPr>
            <w:tcW w:w="541" w:type="dxa"/>
            <w:tcBorders/>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SPEs: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  ​</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held by SPE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183,033</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178,473</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Fixed-rate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239,992</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206,775</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Variable-rate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115,919</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184,581</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396,008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355,911</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442,716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391,356</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and Senior Notes Held by Special Purpose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a real estate sale in 2014, the Company received consideration including a $200.0 million fifteen-year installment note (the “Timber Note”) issued by Panama City Timber Finance Company, LLC. The Company contributed the Timber Note and assigned its rights as a beneficiary under a letter of credit to Northwest Florida Timber Finance, LLC. Northwest Florida Timber Finance, LLC monetized the Timber Note by issuing $180.0 million aggregate principal amount of its 4.8% Senior Secured Notes due in 2029 at an issue price of 98.5% of face value to third-party investors. The investments held by Panama City Timber Finance Company, LLC as of December 31, 2025, consist of a $200.0 million time deposit that, subsequent to April 2, 2014, pays interest at 4.0% and matures in March 2029, U.S. Treasuries of $2.4 million and cash of $0.4 million. The Senior Notes held by Northwest Florida Timber Finance, LLC as of December 31, 2025, consist of $178.8 million, net of the $1.2 million discount and debt issuance costs. Panama City Timber Finance Company, LLC and Northwest Florida Timber Finance, LLC are VIEs, which the Company consolidates as the primary beneficiary of each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Company as Lessor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consists of rental revenue from multi-family, senior living, prior to the sale of the Watercrest JV’s senior living community property in September 2025, self-storage, retail, office and commercial property, marinas, cell towers and other assets, which is recognized as earned, using the straight-line method over the life of each lease. Variable lease payments primarily include property taxes, insurance, utilities and common area maintenance or payments based on a percent of sales over specified levels and senior living services, prior to the sale of the Watercrest JV’s senior living community property. The Company’s leases have remaining lease terms up to the year 2072, some of which include options to terminate or extend.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837" w:name="Tc_HAbPL7zqmUKLbzi82FDTiQ_16_9"/>
      <w:bookmarkStart w:id="1838" w:name="Tc_w1PHXoJkWEaTEptelOPE3A_16_6"/>
      <w:bookmarkStart w:id="1839" w:name="Tc_KvgUAAKCUkGfqTaSZhXdwQ_16_3"/>
      <w:bookmarkStart w:id="1840" w:name="Tc_fe5BIg37IkOV1m4kWtQ5Fw_16_0"/>
      <w:bookmarkStart w:id="1841" w:name="Tc_c-EX1DO4qkO7W7mr-i3qfw_15_9"/>
      <w:bookmarkStart w:id="1842" w:name="Tc_mjSTjrb2ZEqSzsitD_8LXw_15_6"/>
      <w:bookmarkStart w:id="1843" w:name="Tc_6CTjpMRqs02THxZFbRsMaQ_15_3"/>
      <w:bookmarkStart w:id="1844" w:name="Tc_-9JvCypIS02rJFtGhUNSlg_15_0"/>
      <w:bookmarkStart w:id="1845" w:name="Tc_PHx6d9KzPUCnE7I2nzsddA_14_0"/>
      <w:bookmarkStart w:id="1846" w:name="Tc_iISFQN_PuUa3B-Tdgd8ffw_13_0"/>
      <w:bookmarkStart w:id="1847" w:name="Tc_aSihcy9tM0eF9X4R2r55jA_12_0"/>
      <w:bookmarkStart w:id="1848" w:name="Tc_JsIHn8aSfkueo7VrRZptLg_10_7"/>
      <w:bookmarkStart w:id="1849" w:name="Tc_h4TdUh_6pUaRmPxDxaUsRg_10_4"/>
      <w:bookmarkStart w:id="1850" w:name="Tc_vAm8sfV-h0WvFyLAOm2oBQ_10_1"/>
      <w:bookmarkStart w:id="1851" w:name="Tc_LGVBAoy_SUChnBkpgw0_KA_10_0"/>
      <w:bookmarkStart w:id="1852" w:name="Tc_-fBvss5GckiLO3bmD_ONTw_9_0"/>
      <w:bookmarkStart w:id="1853" w:name="Tc_GBGCBb29s0i1_S7wIzUTRw_8_0"/>
      <w:bookmarkStart w:id="1854" w:name="Tc_s0vKDR1uUEqGKu5Eu3rLsQ_7_0"/>
      <w:bookmarkStart w:id="1855" w:name="Tc_63OWJ2M34km8DaQgOV-mWg_6_7"/>
      <w:bookmarkStart w:id="1856" w:name="Tc_LAmeCmOx80-0r4ammhiw_g_6_4"/>
      <w:bookmarkStart w:id="1857" w:name="Tc_zwi9ZNHaWEyR1eN2owB7Xg_6_1"/>
      <w:bookmarkStart w:id="1858" w:name="Tc_KK9UD-H0okuK14LWFnSpCA_6_0"/>
      <w:bookmarkStart w:id="1859" w:name="Tc_VSwzPC-dfEyFWor57UEV_A_5_0"/>
      <w:bookmarkStart w:id="1860" w:name="Tc_CQCFKJz3KkuaHUYrpsCMng_4_0"/>
      <w:bookmarkStart w:id="1861" w:name="Tc_HUkf9LrR-0mvYHX4Vx4c3A_3_7"/>
      <w:bookmarkStart w:id="1862" w:name="Tc_E8OnrVDOf0q9Jq0qW2HSig_3_4"/>
      <w:bookmarkStart w:id="1863" w:name="Tc_n-yKYkTi_keG-iuQrSsAGQ_3_1"/>
      <w:bookmarkStart w:id="1864" w:name="Tc_-wGJFbCuDEOj1Oxg2bpdSw_2_1"/>
      <w:bookmarkStart w:id="1865" w:name="Tc_gCnMlXm09Uiu28y4eTwh1g_7_2"/>
      <w:bookmarkStart w:id="1866" w:name="Tc_pPXRYpNtgk2977la2QtOjA_6_0"/>
      <w:bookmarkStart w:id="1867" w:name="Tc_267yOGDO506Zh9Q5ZXEXEA_5_0"/>
      <w:bookmarkStart w:id="1868" w:name="Tc_DckPRy_8hk24YWn_mD1eYQ_4_0"/>
      <w:bookmarkStart w:id="1869" w:name="Tc_XodnVFqztkWT0vF3ppwgCw_3_0"/>
      <w:bookmarkStart w:id="1870" w:name="Tc_I7FnSXX9SkGYN57mcuL5Iw_2_0"/>
      <w:bookmarkStart w:id="1871" w:name="Tc_2KgTcUDP_UOiMAKibGR8Fw_1_2"/>
      <w:bookmarkStart w:id="1872" w:name="Tc_rXXoLgOU8U2wIC5iHvjQdA_1_0"/>
      <w:bookmarkStart w:id="1873" w:name="Tc_BaIZsUdRIkS9uXbNP8wnuw_6_8"/>
      <w:bookmarkStart w:id="1874" w:name="Tc_TFH-mSZ4IE-BXnwQOJn9ZA_6_5"/>
      <w:bookmarkStart w:id="1875" w:name="Tc_CfppdB10dE-Njf9FpZF53g_6_2"/>
      <w:bookmarkStart w:id="1876" w:name="Tc_37TG8IKcikC4IVanDUNIsg_6_0"/>
      <w:bookmarkStart w:id="1877" w:name="Tc_jHdPYW6qgESf71HnIEVHhw_5_0"/>
      <w:bookmarkStart w:id="1878" w:name="Tc_daApMDdwC0GfcXq9eMIt1Q_4_8"/>
      <w:bookmarkStart w:id="1879" w:name="Tc_v9abVqSvVkKd8BJWZfk3jw_4_5"/>
      <w:bookmarkStart w:id="1880" w:name="Tc_WAKD5YoZvkeB3vp0w-GVdA_4_2"/>
      <w:bookmarkStart w:id="1881" w:name="Tc_Tb65aUH2h0G4kfVoNnMFSA_4_0"/>
      <w:bookmarkStart w:id="1882" w:name="Tc_yJh2CU1nH0eaGSEbatlfRA_3_0"/>
      <w:bookmarkStart w:id="1883" w:name="Tc_UWMHQ8cY10ebKsKT2pdChg_2_8"/>
      <w:bookmarkStart w:id="1884" w:name="Tc_JnysReGY_0SwLXGeyy8S3w_2_5"/>
      <w:bookmarkStart w:id="1885" w:name="Tc_8FmfGozgA06E2AoU-a405w_2_2"/>
      <w:bookmarkStart w:id="1886" w:name="Tc_WBsS4BDtSEWYWFGftDxvqw_1_2"/>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r>
        <w:rPr>
          <w:rFonts w:ascii="Times New Roman;Times;serif" w:hAnsi="Times New Roman;Times;serif"/>
          <w:sz w:val="20"/>
        </w:rPr>
        <w:t>The components of leasing revenue are as follows:</w:t>
      </w:r>
    </w:p>
    <w:p>
      <w:pPr>
        <w:pStyle w:val="TextBody"/>
        <w:bidi w:val="0"/>
        <w:spacing w:before="0" w:after="0"/>
        <w:ind w:left="0" w:right="0" w:hanging="0"/>
        <w:jc w:val="left"/>
        <w:rPr/>
      </w:pPr>
      <w:r>
        <w:rPr/>
        <w:t>​</w:t>
      </w:r>
    </w:p>
    <w:tbl>
      <w:tblPr>
        <w:tblW w:w="5179" w:type="dxa"/>
        <w:jc w:val="left"/>
        <w:tblInd w:w="0" w:type="dxa"/>
        <w:tblLayout w:type="fixed"/>
        <w:tblCellMar>
          <w:top w:w="0" w:type="dxa"/>
          <w:left w:w="0" w:type="dxa"/>
          <w:bottom w:w="0" w:type="dxa"/>
          <w:right w:w="0" w:type="dxa"/>
        </w:tblCellMar>
      </w:tblPr>
      <w:tblGrid>
        <w:gridCol w:w="2086"/>
        <w:gridCol w:w="109"/>
        <w:gridCol w:w="211"/>
        <w:gridCol w:w="676"/>
        <w:gridCol w:w="109"/>
        <w:gridCol w:w="211"/>
        <w:gridCol w:w="676"/>
        <w:gridCol w:w="109"/>
        <w:gridCol w:w="211"/>
        <w:gridCol w:w="78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24610" cy="175260"/>
                      <wp:effectExtent l="0" t="0" r="0" b="0"/>
                      <wp:wrapNone/>
                      <wp:docPr id="541" name="Frame540"/>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9215" cy="175260"/>
                      <wp:effectExtent l="0" t="0" r="0" b="0"/>
                      <wp:wrapNone/>
                      <wp:docPr id="542" name="Frame5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33985" cy="175260"/>
                      <wp:effectExtent l="0" t="0" r="0" b="0"/>
                      <wp:wrapNone/>
                      <wp:docPr id="543" name="Frame5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429260" cy="175260"/>
                      <wp:effectExtent l="0" t="0" r="0" b="0"/>
                      <wp:wrapNone/>
                      <wp:docPr id="544" name="Frame5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9215" cy="175260"/>
                      <wp:effectExtent l="0" t="0" r="0" b="0"/>
                      <wp:wrapNone/>
                      <wp:docPr id="545" name="Frame5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6" name="Frame5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29260" cy="175260"/>
                      <wp:effectExtent l="0" t="0" r="0" b="0"/>
                      <wp:wrapNone/>
                      <wp:docPr id="547" name="Frame5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9215" cy="175260"/>
                      <wp:effectExtent l="0" t="0" r="0" b="0"/>
                      <wp:wrapNone/>
                      <wp:docPr id="548" name="Frame5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3985" cy="175260"/>
                      <wp:effectExtent l="0" t="0" r="0" b="0"/>
                      <wp:wrapNone/>
                      <wp:docPr id="549" name="Frame5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95935" cy="175260"/>
                      <wp:effectExtent l="0" t="0" r="0" b="0"/>
                      <wp:wrapNone/>
                      <wp:docPr id="550" name="Frame5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43,756</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7,080</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leasing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63,634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60,316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50,836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Minimum future base rental revenue on non-cancelable leases subsequent to December 31, 2025, for the years ending December 31 are:</w:t>
      </w:r>
    </w:p>
    <w:p>
      <w:pPr>
        <w:pStyle w:val="TextBody"/>
        <w:bidi w:val="0"/>
        <w:spacing w:before="0" w:after="0"/>
        <w:ind w:left="0" w:right="0" w:hanging="0"/>
        <w:jc w:val="left"/>
        <w:rPr/>
      </w:pPr>
      <w:r>
        <w:rPr/>
        <w:t>​</w:t>
      </w:r>
    </w:p>
    <w:tbl>
      <w:tblPr>
        <w:tblW w:w="2152" w:type="dxa"/>
        <w:jc w:val="left"/>
        <w:tblInd w:w="0" w:type="dxa"/>
        <w:tblLayout w:type="fixed"/>
        <w:tblCellMar>
          <w:top w:w="0" w:type="dxa"/>
          <w:left w:w="0" w:type="dxa"/>
          <w:bottom w:w="0" w:type="dxa"/>
          <w:right w:w="0" w:type="dxa"/>
        </w:tblCellMar>
      </w:tblPr>
      <w:tblGrid>
        <w:gridCol w:w="946"/>
        <w:gridCol w:w="109"/>
        <w:gridCol w:w="211"/>
        <w:gridCol w:w="88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00710" cy="175895"/>
                      <wp:effectExtent l="0" t="0" r="0" b="0"/>
                      <wp:wrapNone/>
                      <wp:docPr id="551" name="Frame550"/>
                      <a:graphic xmlns:a="http://schemas.openxmlformats.org/drawingml/2006/main">
                        <a:graphicData uri="http://schemas.microsoft.com/office/word/2010/wordprocessingShape">
                          <wps:wsp>
                            <wps:cNvSpPr txBox="1"/>
                            <wps:spPr>
                              <a:xfrm>
                                <a:off x="0" y="0"/>
                                <a:ext cx="600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9215" cy="175895"/>
                      <wp:effectExtent l="0" t="0" r="0" b="0"/>
                      <wp:wrapNone/>
                      <wp:docPr id="552" name="Frame55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33985" cy="175895"/>
                      <wp:effectExtent l="0" t="0" r="0" b="0"/>
                      <wp:wrapNone/>
                      <wp:docPr id="553" name="Frame55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62610" cy="175895"/>
                      <wp:effectExtent l="0" t="0" r="0" b="0"/>
                      <wp:wrapNone/>
                      <wp:docPr id="554" name="Frame553"/>
                      <a:graphic xmlns:a="http://schemas.openxmlformats.org/drawingml/2006/main">
                        <a:graphicData uri="http://schemas.microsoft.com/office/word/2010/wordprocessingShape">
                          <wps:wsp>
                            <wps:cNvSpPr txBox="1"/>
                            <wps:spPr>
                              <a:xfrm>
                                <a:off x="0" y="0"/>
                                <a:ext cx="562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32,744</w:t>
            </w:r>
          </w:p>
        </w:tc>
      </w:tr>
      <w:tr>
        <w:trPr/>
        <w:tc>
          <w:tcPr>
            <w:tcW w:w="9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18,746</w:t>
            </w:r>
          </w:p>
        </w:tc>
      </w:tr>
      <w:tr>
        <w:trPr/>
        <w:tc>
          <w:tcPr>
            <w:tcW w:w="9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14,702</w:t>
            </w:r>
          </w:p>
        </w:tc>
      </w:tr>
      <w:tr>
        <w:trPr/>
        <w:tc>
          <w:tcPr>
            <w:tcW w:w="9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11,330</w:t>
            </w:r>
          </w:p>
        </w:tc>
      </w:tr>
      <w:tr>
        <w:trPr/>
        <w:tc>
          <w:tcPr>
            <w:tcW w:w="9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7,001</w:t>
            </w:r>
          </w:p>
        </w:tc>
      </w:tr>
      <w:tr>
        <w:trPr/>
        <w:tc>
          <w:tcPr>
            <w:tcW w:w="9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36,205</w:t>
            </w:r>
          </w:p>
        </w:tc>
      </w:tr>
      <w:tr>
        <w:trPr/>
        <w:tc>
          <w:tcPr>
            <w:tcW w:w="946"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b/>
                <w:sz w:val="20"/>
              </w:rPr>
            </w:pPr>
            <w:r>
              <w:rPr>
                <w:rFonts w:ascii="Times New Roman;Times;serif" w:hAnsi="Times New Roman;Times;serif"/>
                <w:b/>
                <w:sz w:val="20"/>
              </w:rPr>
              <w:t>120,728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Company as Lessee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the Company leased certain office and other equipment under finance leases and had operating leases for property and equipment used in corporate, hospitality and commercial operations with remaining lease terms up to the year 2081. Operating leases also include property for hospitality employee housing. Certain leases include options to purchase, terminate or renew for one or more years, which are included in the lease term used to establish right-of-use assets and lease liabilities when it is reasonably certain that the option will be exercised. Cash paid for amounts included in the measurement of lease liabilities included operating cash flows from operating leases of $1.9 million, $1.8 million and $0.4 million in 2025,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lease expense are as follows:</w:t>
      </w:r>
    </w:p>
    <w:p>
      <w:pPr>
        <w:pStyle w:val="TextBody"/>
        <w:bidi w:val="0"/>
        <w:spacing w:before="0" w:after="0"/>
        <w:ind w:left="0" w:right="0" w:hanging="0"/>
        <w:jc w:val="left"/>
        <w:rPr/>
      </w:pPr>
      <w:r>
        <w:rPr/>
        <w:t>​</w:t>
      </w:r>
    </w:p>
    <w:tbl>
      <w:tblPr>
        <w:tblW w:w="8785" w:type="dxa"/>
        <w:jc w:val="left"/>
        <w:tblInd w:w="0" w:type="dxa"/>
        <w:tblLayout w:type="fixed"/>
        <w:tblCellMar>
          <w:top w:w="0" w:type="dxa"/>
          <w:left w:w="0" w:type="dxa"/>
          <w:bottom w:w="0" w:type="dxa"/>
          <w:right w:w="0" w:type="dxa"/>
        </w:tblCellMar>
      </w:tblPr>
      <w:tblGrid>
        <w:gridCol w:w="5581"/>
        <w:gridCol w:w="211"/>
        <w:gridCol w:w="571"/>
        <w:gridCol w:w="271"/>
        <w:gridCol w:w="211"/>
        <w:gridCol w:w="571"/>
        <w:gridCol w:w="271"/>
        <w:gridCol w:w="211"/>
        <w:gridCol w:w="571"/>
        <w:gridCol w:w="316"/>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3543935" cy="175260"/>
                      <wp:effectExtent l="0" t="0" r="0" b="0"/>
                      <wp:wrapNone/>
                      <wp:docPr id="555" name="Frame554"/>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6" name="Frame5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62585" cy="175260"/>
                      <wp:effectExtent l="0" t="0" r="0" b="0"/>
                      <wp:wrapNone/>
                      <wp:docPr id="557" name="Frame5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72085" cy="175260"/>
                      <wp:effectExtent l="0" t="0" r="0" b="0"/>
                      <wp:wrapNone/>
                      <wp:docPr id="558" name="Frame55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59" name="Frame5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362585" cy="175260"/>
                      <wp:effectExtent l="0" t="0" r="0" b="0"/>
                      <wp:wrapNone/>
                      <wp:docPr id="560" name="Frame5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72085" cy="175260"/>
                      <wp:effectExtent l="0" t="0" r="0" b="0"/>
                      <wp:wrapNone/>
                      <wp:docPr id="561" name="Frame56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3985" cy="175260"/>
                      <wp:effectExtent l="0" t="0" r="0" b="0"/>
                      <wp:wrapNone/>
                      <wp:docPr id="562" name="Frame5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362585" cy="175260"/>
                      <wp:effectExtent l="0" t="0" r="0" b="0"/>
                      <wp:wrapNone/>
                      <wp:docPr id="563" name="Frame5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0660" cy="175260"/>
                      <wp:effectExtent l="0" t="0" r="0" b="0"/>
                      <wp:wrapNone/>
                      <wp:docPr id="564" name="Frame5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pPr>
            <w:r>
              <w:rPr/>
              <w:t>​</w:t>
            </w:r>
          </w:p>
        </w:tc>
        <w:tc>
          <w:tcPr>
            <w:tcW w:w="288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16" w:type="dxa"/>
            <w:tcBorders/>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liability</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and short-term lease cost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27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27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c>
          <w:tcPr>
            <w:tcW w:w="316"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cost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4,675</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3,948</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 finance lease (in years)</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vAlign w:val="center"/>
          </w:tcPr>
          <w:p>
            <w:pPr>
              <w:pStyle w:val="TableContents"/>
              <w:bidi w:val="0"/>
              <w:spacing w:before="0" w:after="0"/>
              <w:ind w:left="0" w:right="0" w:hanging="0"/>
              <w:jc w:val="left"/>
              <w:rPr/>
            </w:pPr>
            <w:r>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 operating leases (in years)</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 - finance lease</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 - operating leases</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887" w:name="Tc_i48LUhxZOkKUBGgiGOiKmg_9_5"/>
      <w:bookmarkStart w:id="1888" w:name="Tc_udy9ZuiVTEqNYIEbNuMOjA_9_2"/>
      <w:bookmarkStart w:id="1889" w:name="Tc_-0otrCs72UCKRQyYOsjfqw_9_0"/>
      <w:bookmarkStart w:id="1890" w:name="Tc_aJHB43hsq0exDgZ7RYqDgA_8_0"/>
      <w:bookmarkStart w:id="1891" w:name="Tc_t8_y0Pg5Sk-X2Um7ElwnZQ_7_0"/>
      <w:bookmarkStart w:id="1892" w:name="Tc_eQohbxUs-0qH97Rse_5uZw_6_3"/>
      <w:bookmarkStart w:id="1893" w:name="Tc_8qIEDzH3v0C4LwGWIa0K7g_6_0"/>
      <w:bookmarkStart w:id="1894" w:name="Tc_OWe8V4_550auLkmQ-JDDyw_5_0"/>
      <w:bookmarkStart w:id="1895" w:name="Tc_dqoPEs-A_0awAtcI26nWYQ_4_0"/>
      <w:bookmarkStart w:id="1896" w:name="Tc_stZtOoDhnkiGE5Vj4mT21A_3_0"/>
      <w:bookmarkStart w:id="1897" w:name="Tc_B5MWm7o5ZEuqP2ksZnRXpQ_2_5"/>
      <w:bookmarkStart w:id="1898" w:name="Tc_YaNGxt0ea0GyKhbZrNRjYQ_2_2"/>
      <w:bookmarkStart w:id="1899" w:name="Tc_tVjhtp-D_kW1eLigPyxPkg_2_0"/>
      <w:bookmarkStart w:id="1900" w:name="Tc_II1msxcuXEOB2C6ATfojAg_1_5"/>
      <w:bookmarkStart w:id="1901" w:name="Tc_VluYEi0ViEmiJUe-9otvzQ_1_2"/>
      <w:bookmarkStart w:id="1902" w:name="_03d55a8b_c11f_4338_8f16_8a4886514c79"/>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r>
        <w:rPr>
          <w:rFonts w:ascii="Times New Roman;Times;serif" w:hAnsi="Times New Roman;Times;serif"/>
          <w:sz w:val="20"/>
        </w:rPr>
        <w:t>The aggregate payments of finance and operating lease liabilities subsequent to December 31, 2025, for the years ending December 31 are:</w:t>
      </w:r>
    </w:p>
    <w:tbl>
      <w:tblPr>
        <w:tblW w:w="4704" w:type="dxa"/>
        <w:jc w:val="left"/>
        <w:tblInd w:w="0" w:type="dxa"/>
        <w:tblLayout w:type="fixed"/>
        <w:tblCellMar>
          <w:top w:w="0" w:type="dxa"/>
          <w:left w:w="0" w:type="dxa"/>
          <w:bottom w:w="0" w:type="dxa"/>
          <w:right w:w="0" w:type="dxa"/>
        </w:tblCellMar>
      </w:tblPr>
      <w:tblGrid>
        <w:gridCol w:w="1891"/>
        <w:gridCol w:w="109"/>
        <w:gridCol w:w="394"/>
        <w:gridCol w:w="791"/>
        <w:gridCol w:w="109"/>
        <w:gridCol w:w="335"/>
        <w:gridCol w:w="1075"/>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200785" cy="175260"/>
                      <wp:effectExtent l="0" t="0" r="0" b="0"/>
                      <wp:wrapNone/>
                      <wp:docPr id="565" name="Frame564"/>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9215" cy="175260"/>
                      <wp:effectExtent l="0" t="0" r="0" b="0"/>
                      <wp:wrapNone/>
                      <wp:docPr id="566" name="Frame5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50190" cy="175260"/>
                      <wp:effectExtent l="0" t="0" r="0" b="0"/>
                      <wp:wrapNone/>
                      <wp:docPr id="567" name="Frame56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502285" cy="175260"/>
                      <wp:effectExtent l="0" t="0" r="0" b="0"/>
                      <wp:wrapNone/>
                      <wp:docPr id="568" name="Frame56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9215" cy="175260"/>
                      <wp:effectExtent l="0" t="0" r="0" b="0"/>
                      <wp:wrapNone/>
                      <wp:docPr id="569" name="Frame5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2725" cy="175260"/>
                      <wp:effectExtent l="0" t="0" r="0" b="0"/>
                      <wp:wrapNone/>
                      <wp:docPr id="570" name="Frame56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82625" cy="175260"/>
                      <wp:effectExtent l="0" t="0" r="0" b="0"/>
                      <wp:wrapNone/>
                      <wp:docPr id="571" name="Frame570"/>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109"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liabilities</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529</w:t>
            </w:r>
          </w:p>
        </w:tc>
        <w:tc>
          <w:tcPr>
            <w:tcW w:w="109"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7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03" w:name="Tc_I3fkvanZ-UqYoxcfMfy8BQ_12_5"/>
      <w:bookmarkStart w:id="1904" w:name="Tc_FVkkMMNZ8USN8vwJv0-6BQ_12_2"/>
      <w:bookmarkStart w:id="1905" w:name="Tc_fsLlMkiauk-9P4FbWVaUwg_12_0"/>
      <w:bookmarkStart w:id="1906" w:name="Tc_I68OQxq3D0-0vKmNOLVGYw_11_0"/>
      <w:bookmarkStart w:id="1907" w:name="Tc_qLucKdXHBkuP19JiGUsL-w_10_0"/>
      <w:bookmarkStart w:id="1908" w:name="Tc_bO3DcbmVMUOqZx6Q738K6g_9_0"/>
      <w:bookmarkStart w:id="1909" w:name="Tc_BiF9J6rRR0-dc43PSfmsxg_7_0"/>
      <w:bookmarkStart w:id="1910" w:name="Tc_9DDD5mmIoUCt6hZGYTwiSQ_6_0"/>
      <w:bookmarkStart w:id="1911" w:name="Tc_5CG4sT0FyUWLtlf3_n2KoA_5_0"/>
      <w:bookmarkStart w:id="1912" w:name="Tc_fsdeGZrZZUaKcWYV88tkaQ_4_0"/>
      <w:bookmarkStart w:id="1913" w:name="Tc_mtXbK-5SX0isSKAn97wsnQ_3_5"/>
      <w:bookmarkStart w:id="1914" w:name="Tc_FZS6TUoG7kC5GKUTQ8hZXQ_3_2"/>
      <w:bookmarkStart w:id="1915" w:name="Tc_Niz5_HnAd0O39vh5fXWX8w_3_0"/>
      <w:bookmarkStart w:id="1916" w:name="Tc_g73amAw5lU-zQMHdxsigCg_2_5"/>
      <w:bookmarkStart w:id="1917" w:name="Tc_i1VCAl_ytEyluHSjuGa2cQ_2_2"/>
      <w:bookmarkStart w:id="1918" w:name="Tc_bJQW7h9V9UeGR1yD995XSQ_1_5"/>
      <w:bookmarkStart w:id="1919" w:name="Tc_arhm6lYZCkaynfAoBTp1-g_1_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r>
        <w:rPr>
          <w:rFonts w:ascii="Times New Roman;Times;serif" w:hAnsi="Times New Roman;Times;serif"/>
          <w:b/>
          <w:sz w:val="20"/>
        </w:rPr>
        <w:t>7. Other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assets consist of the following:</w:t>
      </w:r>
    </w:p>
    <w:p>
      <w:pPr>
        <w:pStyle w:val="TextBody"/>
        <w:bidi w:val="0"/>
        <w:spacing w:before="0" w:after="0"/>
        <w:ind w:left="0" w:right="0" w:hanging="0"/>
        <w:jc w:val="left"/>
        <w:rPr/>
      </w:pPr>
      <w:r>
        <w:rPr/>
        <w:t>​</w:t>
      </w:r>
    </w:p>
    <w:tbl>
      <w:tblPr>
        <w:tblW w:w="7728" w:type="dxa"/>
        <w:jc w:val="left"/>
        <w:tblInd w:w="0" w:type="dxa"/>
        <w:tblLayout w:type="fixed"/>
        <w:tblCellMar>
          <w:top w:w="0" w:type="dxa"/>
          <w:left w:w="0" w:type="dxa"/>
          <w:bottom w:w="0" w:type="dxa"/>
          <w:right w:w="0" w:type="dxa"/>
        </w:tblCellMar>
      </w:tblPr>
      <w:tblGrid>
        <w:gridCol w:w="4711"/>
        <w:gridCol w:w="346"/>
        <w:gridCol w:w="271"/>
        <w:gridCol w:w="869"/>
        <w:gridCol w:w="346"/>
        <w:gridCol w:w="252"/>
        <w:gridCol w:w="933"/>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991485" cy="175260"/>
                      <wp:effectExtent l="0" t="0" r="0" b="0"/>
                      <wp:wrapNone/>
                      <wp:docPr id="572" name="Frame571"/>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3"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72085" cy="175260"/>
                      <wp:effectExtent l="0" t="0" r="0" b="0"/>
                      <wp:wrapNone/>
                      <wp:docPr id="574" name="Frame57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551815" cy="175260"/>
                      <wp:effectExtent l="0" t="0" r="0" b="0"/>
                      <wp:wrapNone/>
                      <wp:docPr id="575" name="Frame57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6" name="Frame5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60020" cy="175260"/>
                      <wp:effectExtent l="0" t="0" r="0" b="0"/>
                      <wp:wrapNone/>
                      <wp:docPr id="577" name="Frame57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592455" cy="175260"/>
                      <wp:effectExtent l="0" t="0" r="0" b="0"/>
                      <wp:wrapNone/>
                      <wp:docPr id="578" name="Frame57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11,003</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14,590</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Homesite sales receivable</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28,075</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25,788</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3,312</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4,036</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11,847</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12,556</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3,595</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2,996</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4,417</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6,897</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7,560</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3,841</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5,437</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receivable for Senior Notes held by SPE</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2,938</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assets</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73,782</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80,318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Accounts receivable, net primarily includes leasing receivables, membership fees, hospitality receivables and other receivables. As of January 1, 2025, 2024 and 2023 accounts receivable, net had opening balances of $14.6 million, $20.3 million and $9.0 million, respectively. As of December 31, 2025 and 2024, accounts receivable, net includes $3.6 million and $7.5 million, respectively, of club membership initiation fee installments receivable. As of December 31, 2025 and 2024, accounts receivable, net includes receivables from unconsolidated JVs of $1.0 million and less than $0.1 million, respectively. See Note 20. </w:t>
      </w:r>
      <w:r>
        <w:rPr>
          <w:rFonts w:ascii="Times New Roman;Times;serif" w:hAnsi="Times New Roman;Times;serif"/>
          <w:i/>
          <w:sz w:val="20"/>
        </w:rPr>
        <w:t>Related Party Transactions</w:t>
      </w:r>
      <w:r>
        <w:rPr>
          <w:rFonts w:ascii="Times New Roman;Times;serif" w:hAnsi="Times New Roman;Times;serif"/>
          <w:sz w:val="20"/>
        </w:rPr>
        <w:t xml:space="preserve"> for additional information. As of December 31, 2025 and 2024, accounts receivable, net were presented net of allowance for credit losses and net of allowance for lease related receivables of $0.5 million and $0.3 million, respectively. During 2025 and 2024, allowance for credit losses and allowance for leases related to accounts receivable, net increased $0.2 million and $0.1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Homesite Sales Receivable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Homesite sales receivable from contracts with customers include estimated homesite residuals and certain estimated fees that are recognized as revenue at the time of sale to homebuilders, subject to constraints. Any change in circumstances from the estimated amounts will be updated at each reporting period. The receivable will be collected as the homebuilders build the homes and sell to retail consumers, which can occur over multiple years. See Note 2. </w:t>
      </w:r>
      <w:r>
        <w:rPr>
          <w:rFonts w:ascii="Times New Roman;Times;serif" w:hAnsi="Times New Roman;Times;serif"/>
          <w:i/>
          <w:sz w:val="20"/>
        </w:rPr>
        <w:t>Summary of Significant Accounting Policies</w:t>
      </w:r>
      <w:r>
        <w:rPr>
          <w:rFonts w:ascii="Times New Roman;Times;serif" w:hAnsi="Times New Roman;Times;serif"/>
          <w:sz w:val="20"/>
        </w:rPr>
        <w:t xml:space="preserve">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920" w:name="Tc_vfUjbocuv0is2UKpJsM2yg_6_8"/>
      <w:bookmarkStart w:id="1921" w:name="Tc_1Ekq9bCh10KMHq8QCu_f8g_6_5"/>
      <w:bookmarkStart w:id="1922" w:name="Tc_Dxc5Cin1GEu9YxX-xzPJiQ_6_2"/>
      <w:bookmarkStart w:id="1923" w:name="Tc_1mL2362DsE-89sxpEKNxIw_6_0"/>
      <w:bookmarkStart w:id="1924" w:name="Tc_f5M1JjLle0WRM4qbVuqqYg_5_0"/>
      <w:bookmarkStart w:id="1925" w:name="Tc_y6UrktwJhkK4vGm7u64XSg_4_0"/>
      <w:bookmarkStart w:id="1926" w:name="Tc_U28FFTmcnEO4uQULJennRA_3_8"/>
      <w:bookmarkStart w:id="1927" w:name="Tc_5rkQdNIy50CpugPJHyFLtw_3_5"/>
      <w:bookmarkStart w:id="1928" w:name="Tc_Yge_o-2Js06c83ihvDC7-A_3_2"/>
      <w:bookmarkStart w:id="1929" w:name="Tc_xFfAdcQ-80qJIjVFr-isRg_3_0"/>
      <w:bookmarkStart w:id="1930" w:name="Tc_mH5POGVxAECHJFfPVFsLAA_2_8"/>
      <w:bookmarkStart w:id="1931" w:name="Tc_ECPdZdEkqUKtDqmEGbwtOg_2_5"/>
      <w:bookmarkStart w:id="1932" w:name="Tc_LKTZPTngvUiva6T-j_NQqw_2_2"/>
      <w:bookmarkStart w:id="1933" w:name="Tc_scI6S5IMXkGoM1yri8zhag_1_8"/>
      <w:bookmarkStart w:id="1934" w:name="Tc_4PDT2lxAmUqO7yRJpAgFNw_1_5"/>
      <w:bookmarkStart w:id="1935" w:name="Tc_Da8TGEurNk23HFMbY6f0XA_1_2"/>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r>
        <w:rPr>
          <w:rFonts w:ascii="Times New Roman;Times;serif" w:hAnsi="Times New Roman;Times;serif"/>
          <w:sz w:val="20"/>
        </w:rPr>
        <w:t>The following table presents the changes in homesite sales receivable:</w:t>
      </w:r>
    </w:p>
    <w:p>
      <w:pPr>
        <w:pStyle w:val="TextBody"/>
        <w:bidi w:val="0"/>
        <w:spacing w:before="0" w:after="0"/>
        <w:ind w:left="0" w:right="0" w:hanging="0"/>
        <w:jc w:val="left"/>
        <w:rPr/>
      </w:pPr>
      <w:r>
        <w:rPr/>
        <w:t>​</w:t>
      </w:r>
    </w:p>
    <w:tbl>
      <w:tblPr>
        <w:tblW w:w="8353" w:type="dxa"/>
        <w:jc w:val="left"/>
        <w:tblInd w:w="0" w:type="dxa"/>
        <w:tblLayout w:type="fixed"/>
        <w:tblCellMar>
          <w:top w:w="0" w:type="dxa"/>
          <w:left w:w="0" w:type="dxa"/>
          <w:bottom w:w="0" w:type="dxa"/>
          <w:right w:w="0" w:type="dxa"/>
        </w:tblCellMar>
      </w:tblPr>
      <w:tblGrid>
        <w:gridCol w:w="4561"/>
        <w:gridCol w:w="109"/>
        <w:gridCol w:w="254"/>
        <w:gridCol w:w="886"/>
        <w:gridCol w:w="109"/>
        <w:gridCol w:w="254"/>
        <w:gridCol w:w="886"/>
        <w:gridCol w:w="109"/>
        <w:gridCol w:w="252"/>
        <w:gridCol w:w="933"/>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896235" cy="175260"/>
                      <wp:effectExtent l="0" t="0" r="0" b="0"/>
                      <wp:wrapNone/>
                      <wp:docPr id="579" name="Frame578"/>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9215" cy="175260"/>
                      <wp:effectExtent l="0" t="0" r="0" b="0"/>
                      <wp:wrapNone/>
                      <wp:docPr id="580" name="Frame5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61290" cy="175260"/>
                      <wp:effectExtent l="0" t="0" r="0" b="0"/>
                      <wp:wrapNone/>
                      <wp:docPr id="581" name="Frame58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562610" cy="175260"/>
                      <wp:effectExtent l="0" t="0" r="0" b="0"/>
                      <wp:wrapNone/>
                      <wp:docPr id="582" name="Frame58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9215" cy="175260"/>
                      <wp:effectExtent l="0" t="0" r="0" b="0"/>
                      <wp:wrapNone/>
                      <wp:docPr id="583" name="Frame5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61290" cy="175260"/>
                      <wp:effectExtent l="0" t="0" r="0" b="0"/>
                      <wp:wrapNone/>
                      <wp:docPr id="584" name="Frame583"/>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562610" cy="175260"/>
                      <wp:effectExtent l="0" t="0" r="0" b="0"/>
                      <wp:wrapNone/>
                      <wp:docPr id="585" name="Frame5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9215" cy="175260"/>
                      <wp:effectExtent l="0" t="0" r="0" b="0"/>
                      <wp:wrapNone/>
                      <wp:docPr id="586" name="Frame5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60020" cy="175260"/>
                      <wp:effectExtent l="0" t="0" r="0" b="0"/>
                      <wp:wrapNone/>
                      <wp:docPr id="587" name="Frame58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592455" cy="175260"/>
                      <wp:effectExtent l="0" t="0" r="0" b="0"/>
                      <wp:wrapNone/>
                      <wp:docPr id="588" name="Frame58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25,788</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29,862</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10,086</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Increases due to revenue recognized for homesites sold</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13,566</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6,132</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29,005</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Decreases due to amounts received</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(11,279)</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(10,206)</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(9,229)</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year</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28,075</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25,788</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29,862</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Prepaid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Prepaid expenses as of December 31, 2025 and 2024, include commercial leasing related prepaid expenses of $4.0 million and $4.7 million, respectively, and prepaid insurance of $4.1 million and $4.7 million, respectively, as well as other prepaid items.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Restricted cash as of December 31, 2025 and 2024, includes cash and escrow deposits primarily related to requirements for financing, development for certain of the Company’s projects or long-term mitigation bank management.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assets as of December 31, 2025 and 2024, include $1.1 million and $2.6 million, respectively, for the fair value of derivative assets.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sz w:val="20"/>
        </w:rPr>
      </w:pPr>
      <w:bookmarkStart w:id="1936" w:name="Tc_Vudv5JzZi0umT8Yg94xsXw_12_5"/>
      <w:bookmarkStart w:id="1937" w:name="Tc_AIsWz5XMwUiiQES3Xlr7bg_12_2"/>
      <w:bookmarkStart w:id="1938" w:name="Tc_Y88GxgDE-k2o11t2ASpKnQ_12_0"/>
      <w:bookmarkStart w:id="1939" w:name="Tc_cP-qZjTEp0Cceqvz6vEqzg_11_0"/>
      <w:bookmarkStart w:id="1940" w:name="Tc_T52UWll4fUO3GDrs9BXWtA_9_0"/>
      <w:bookmarkStart w:id="1941" w:name="Tc_sHe6qrxJrk2oGBbK1xxAXA_7_0"/>
      <w:bookmarkStart w:id="1942" w:name="Tc_enGIvGi0eEKxnqdd0TZARw_6_0"/>
      <w:bookmarkStart w:id="1943" w:name="Tc_rKre4IqaHUq6qpn2Rzt4LQ_5_0"/>
      <w:bookmarkStart w:id="1944" w:name="Tc_swVyF-ob80ucPbey0IjNTw_4_0"/>
      <w:bookmarkStart w:id="1945" w:name="Tc_vgNuH6pA7kiLT-3Db1gAPg_3_5"/>
      <w:bookmarkStart w:id="1946" w:name="Tc_Gd3sG8fENEiRF0f0RyhqFg_3_2"/>
      <w:bookmarkStart w:id="1947" w:name="Tc_K6EsYQqZtkOoLJmgmlMmLw_3_0"/>
      <w:bookmarkStart w:id="1948" w:name="Tc_n5omi9wHOUyLhvgK_f6nKg_2_5"/>
      <w:bookmarkStart w:id="1949" w:name="Tc_CtiZZXvCn0Ck2UklAING3w_2_2"/>
      <w:bookmarkStart w:id="1950" w:name="Tc_iehPDMolYU6_A4uXg0Hv5Q_1_5"/>
      <w:bookmarkStart w:id="1951" w:name="Tc_UejE7yGRJEqhK4nJyyy3iw_1_2"/>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r>
        <w:rPr>
          <w:rFonts w:ascii="Times New Roman;Times;serif" w:hAnsi="Times New Roman;Times;serif"/>
          <w:b/>
          <w:sz w:val="20"/>
        </w:rPr>
        <w:t>8. Property and Equipment,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Property and equipment, net consists of the following:</w:t>
      </w:r>
    </w:p>
    <w:p>
      <w:pPr>
        <w:pStyle w:val="TextBody"/>
        <w:bidi w:val="0"/>
        <w:spacing w:before="0" w:after="0"/>
        <w:ind w:left="0" w:right="0" w:hanging="0"/>
        <w:jc w:val="left"/>
        <w:rPr/>
      </w:pPr>
      <w:r>
        <w:rPr/>
        <w:t>​</w:t>
      </w:r>
    </w:p>
    <w:tbl>
      <w:tblPr>
        <w:tblW w:w="5943" w:type="dxa"/>
        <w:jc w:val="left"/>
        <w:tblInd w:w="0" w:type="dxa"/>
        <w:tblLayout w:type="fixed"/>
        <w:tblCellMar>
          <w:top w:w="0" w:type="dxa"/>
          <w:left w:w="0" w:type="dxa"/>
          <w:bottom w:w="0" w:type="dxa"/>
          <w:right w:w="0" w:type="dxa"/>
        </w:tblCellMar>
      </w:tblPr>
      <w:tblGrid>
        <w:gridCol w:w="3016"/>
        <w:gridCol w:w="346"/>
        <w:gridCol w:w="232"/>
        <w:gridCol w:w="863"/>
        <w:gridCol w:w="346"/>
        <w:gridCol w:w="232"/>
        <w:gridCol w:w="908"/>
      </w:tblGrid>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left"/>
              <w:rPr/>
            </w:pPr>
            <w:r>
              <w:rPr/>
              <w:t>​</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51,606</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51,087</w:t>
            </w:r>
          </w:p>
        </w:tc>
      </w:tr>
      <w:tr>
        <w:trPr/>
        <w:tc>
          <w:tcPr>
            <w:tcW w:w="30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49,697</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53,833</w:t>
            </w:r>
          </w:p>
        </w:tc>
      </w:tr>
      <w:tr>
        <w:trPr/>
        <w:tc>
          <w:tcPr>
            <w:tcW w:w="30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Railroad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33,627</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33,627</w:t>
            </w:r>
          </w:p>
        </w:tc>
      </w:tr>
      <w:tr>
        <w:trPr/>
        <w:tc>
          <w:tcPr>
            <w:tcW w:w="30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8,033</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7,905</w:t>
            </w:r>
          </w:p>
        </w:tc>
      </w:tr>
      <w:tr>
        <w:trPr/>
        <w:tc>
          <w:tcPr>
            <w:tcW w:w="30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Autos, trucks and aircraft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2,281</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7,344</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145,244</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153,796</w:t>
            </w:r>
          </w:p>
        </w:tc>
      </w:tr>
      <w:tr>
        <w:trPr/>
        <w:tc>
          <w:tcPr>
            <w:tcW w:w="30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95,339</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40,069</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58,457</w:t>
            </w:r>
          </w:p>
        </w:tc>
      </w:tr>
      <w:tr>
        <w:trPr/>
        <w:tc>
          <w:tcPr>
            <w:tcW w:w="30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01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property and equipment, net</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41,314</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0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59,107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expense on property and equipment was $18.5 million, $19.0 million and $15.7 million in 2025,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52" w:name="Tc_GvMaUDdkY0qDMQsT2IVLjQ_28_12"/>
      <w:bookmarkStart w:id="1953" w:name="Tc_uSJqwa2AzEGmPBGcZ_bz_A_28_9"/>
      <w:bookmarkStart w:id="1954" w:name="Tc_SCEImXzwukq8fdy_TmuYFQ_28_0"/>
      <w:bookmarkStart w:id="1955" w:name="Tc_wuUY14_j50qozO4rD06MDQ_27_0"/>
      <w:bookmarkStart w:id="1956" w:name="Tc_I_Upp9nc9ECmGMPf4VsKsw_26_0"/>
      <w:bookmarkStart w:id="1957" w:name="Tc_ng4whKvEFEOVmWmNzQXwFQ_25_10"/>
      <w:bookmarkStart w:id="1958" w:name="Tc_Ns9dRbQK9kqpkdRADOwJ-A_25_6"/>
      <w:bookmarkStart w:id="1959" w:name="Tc_E_va2s5gtEu2BTE-owlkYw_25_4"/>
      <w:bookmarkStart w:id="1960" w:name="Narr_mIQgzJQXDkGu-LGSo8wsAQ"/>
      <w:bookmarkStart w:id="1961" w:name="Narr_xbVTCyERdE6tdxTLZhZjzA"/>
      <w:bookmarkStart w:id="1962" w:name="Tc_1MbizvWJEU6zM_9W2BkGKw_25_2"/>
      <w:bookmarkStart w:id="1963" w:name="Tc_ajuhzJ2DjEqczBYkMlDyMw_25_0"/>
      <w:bookmarkStart w:id="1964" w:name="Tc_nfhz42W2WUKX1OoJ5VyaCQ_24_10"/>
      <w:bookmarkStart w:id="1965" w:name="Tc_iONCqUrAzEq7SfYc9YspYg_24_6"/>
      <w:bookmarkStart w:id="1966" w:name="Tc_cwkvTsonmES8uUTup1kbjg_24_4"/>
      <w:bookmarkStart w:id="1967" w:name="Narr_TMd2TVifSUmih9kB0vULwA"/>
      <w:bookmarkStart w:id="1968" w:name="Narr_-a20auag5k64aF5Uj241wA"/>
      <w:bookmarkStart w:id="1969" w:name="Tc_iSHK65Mib0-WD5OQTDMYxg_24_2"/>
      <w:bookmarkStart w:id="1970" w:name="Tc_EC5eRDETBUyxxyY1PnmGcw_24_0"/>
      <w:bookmarkStart w:id="1971" w:name="Tc_bUFAJiP1VUWs3USc0iHieg_23_10"/>
      <w:bookmarkStart w:id="1972" w:name="Tc_lIWRGvc8IkCInnBZnpdMwQ_23_6"/>
      <w:bookmarkStart w:id="1973" w:name="Tc_94hrQLqJxESPxXpT-e8yuw_23_4"/>
      <w:bookmarkStart w:id="1974" w:name="Narr_3Fcb1230-UyhWRt372PRsQ"/>
      <w:bookmarkStart w:id="1975" w:name="Narr_rXxeO-WnZ0m_bJ0lr5MtPg"/>
      <w:bookmarkStart w:id="1976" w:name="Tc_KF69xQSmq0aLkp77pRoYSg_23_2"/>
      <w:bookmarkStart w:id="1977" w:name="Tc_8hXQ0RZlK0SUnmeN0tC4Ug_23_0"/>
      <w:bookmarkStart w:id="1978" w:name="Tc_JV_J_mPkHk-fDOPV8TfCDw_22_10"/>
      <w:bookmarkStart w:id="1979" w:name="Tc_xBZACerEw0m8lOfW9OrF_A_22_6"/>
      <w:bookmarkStart w:id="1980" w:name="Tc_HTwxZQKaXUCzYgrt928MXA_22_4"/>
      <w:bookmarkStart w:id="1981" w:name="Narr_QlbbFLFDbE2nVkGLjgHkDg"/>
      <w:bookmarkStart w:id="1982" w:name="Narr_W6Ugthg2yUucr60PyygBcw"/>
      <w:bookmarkStart w:id="1983" w:name="Tc_fMs_GPpcc0WiXQ_oh7MfkA_22_2"/>
      <w:bookmarkStart w:id="1984" w:name="Tc_yVN0QDUhCE6cwSrtqhhi2g_22_0"/>
      <w:bookmarkStart w:id="1985" w:name="Tc_1mZ1HIMiPEyZ1rRgzydP3g_21_10"/>
      <w:bookmarkStart w:id="1986" w:name="Tc_mn1rLLvPYEitxEpjMlDunw_21_6"/>
      <w:bookmarkStart w:id="1987" w:name="Tc_Yuf1dz9a0UWSeYrdmPqLNA_21_4"/>
      <w:bookmarkStart w:id="1988" w:name="Tc_MbJtkuuZ40KBwqy5fHbKHw_21_2"/>
      <w:bookmarkStart w:id="1989" w:name="Tc_fx0s9aEI6kGnl6ddVWdoxg_21_0"/>
      <w:bookmarkStart w:id="1990" w:name="Tc_ojy5ZlFsK06yzMOf_M4DEA_20_7"/>
      <w:bookmarkStart w:id="1991" w:name="Tc_0UQePr4dfU6jxTfy4QXhLQ_20_4"/>
      <w:bookmarkStart w:id="1992" w:name="Tc_B9PgQOyTZ0eI659FVWqpLg_20_2"/>
      <w:bookmarkStart w:id="1993" w:name="Tc_1LJmRH04ZUW-0vCkN0PtBg_20_0"/>
      <w:bookmarkStart w:id="1994" w:name="Tc_3D1JkZJtZ0CSvu1vVP8gYg_19_7"/>
      <w:bookmarkStart w:id="1995" w:name="Tc_teSvCVzfRE-fWMFVYlQ01Q_19_6"/>
      <w:bookmarkStart w:id="1996" w:name="Tc_shelM7b2-EKtW6uVCg5upw_19_4"/>
      <w:bookmarkStart w:id="1997" w:name="Tc_o6pG1G67GkSzu2VCJ_QCkQ_19_2"/>
      <w:bookmarkStart w:id="1998" w:name="Tc_697g1oRrKk-aPlY0CSNs_g_19_0"/>
      <w:bookmarkStart w:id="1999" w:name="Tc_9jrvETSRhEuR-6XSidyiHA_18_7"/>
      <w:bookmarkStart w:id="2000" w:name="Tc_FtAo6fS9ZU29FkTBO1_2wQ_18_4"/>
      <w:bookmarkStart w:id="2001" w:name="Tc_BfphG85hlkicLcWvNDwGuQ_18_2"/>
      <w:bookmarkStart w:id="2002" w:name="Tc_W43Q5n9P5kqo9YQ2vGq8vQ_18_0"/>
      <w:bookmarkStart w:id="2003" w:name="Tc_iA3_mnXgGEGtXDSdSvGqog_17_7"/>
      <w:bookmarkStart w:id="2004" w:name="Tc_BBgeu3jjnUq63zjGieWOkA_17_4"/>
      <w:bookmarkStart w:id="2005" w:name="Tc_yjnI9CJQO0-2q8sX_xbthQ_17_2"/>
      <w:bookmarkStart w:id="2006" w:name="Tc_t0U2ePCi50OgGwqeR8tgKA_17_0"/>
      <w:bookmarkStart w:id="2007" w:name="Tc_f7PRKwgBt0S18q5YypfWJw_16_7"/>
      <w:bookmarkStart w:id="2008" w:name="Tc_0iDyRZMtjk2P-aOKaQ3EAg_16_4"/>
      <w:bookmarkStart w:id="2009" w:name="Tc_ZDaRmeCUqku-3mfbUhKqcw_16_2"/>
      <w:bookmarkStart w:id="2010" w:name="Tc_XEll1-sDBEGj2DJZW8BTtQ_16_0"/>
      <w:bookmarkStart w:id="2011" w:name="Tc_szlNrgSdWUuW5KhqwSOTyw_15_7"/>
      <w:bookmarkStart w:id="2012" w:name="Tc_ZD-8KFlIo0KLiE6VZ1Uy-g_15_4"/>
      <w:bookmarkStart w:id="2013" w:name="Tc_PuHOP8Rm2E-XsfQeC6ZF4Q_15_2"/>
      <w:bookmarkStart w:id="2014" w:name="Tc_Ic03ASQyJk6SH6XrIpwDbg_15_0"/>
      <w:bookmarkStart w:id="2015" w:name="Tc_PBw35CMUa06X1zeqhlQWBw_14_7"/>
      <w:bookmarkStart w:id="2016" w:name="Tc_tO3m80c2c0m2EdNLzB5VFw_14_4"/>
      <w:bookmarkStart w:id="2017" w:name="Tc_lx0h6emjikCzlZ_-3uM6NQ_14_2"/>
      <w:bookmarkStart w:id="2018" w:name="Tc_YKS3ehVfXEWuo7rnQJpMEQ_14_0"/>
      <w:bookmarkStart w:id="2019" w:name="Tc_eGka14zmTEeG-xkjyvaXnQ_13_7"/>
      <w:bookmarkStart w:id="2020" w:name="Tc_6WtCtTKuUEmvY70PBVPeOA_13_4"/>
      <w:bookmarkStart w:id="2021" w:name="Tc_6FlUPdgf3keI8jRs7inuXA_13_2"/>
      <w:bookmarkStart w:id="2022" w:name="Tc_bYF3b787hEGZPMwBneEBqg_13_0"/>
      <w:bookmarkStart w:id="2023" w:name="Tc__60oOs8DpEivE5lEo46Fwg_12_7"/>
      <w:bookmarkStart w:id="2024" w:name="Tc_GZQ2pvVBQ06tWFB4Gi6oig_12_4"/>
      <w:bookmarkStart w:id="2025" w:name="Tc_f7D15GMk_EaOHqggKOs5dQ_12_2"/>
      <w:bookmarkStart w:id="2026" w:name="Tc_LmTDMqePHkua_WVlUETb0A_12_0"/>
      <w:bookmarkStart w:id="2027" w:name="Tc_T0Ol7nbsaESZo1sS_am4vg_11_7"/>
      <w:bookmarkStart w:id="2028" w:name="Tc_gn1rOORCr02wLvQbaB5RuA_11_4"/>
      <w:bookmarkStart w:id="2029" w:name="Tc_4CeRZXcRV06FK_fTgrZqrw_11_2"/>
      <w:bookmarkStart w:id="2030" w:name="Tc_iyUJFahxTkm7W5wYxjUQyg_11_0"/>
      <w:bookmarkStart w:id="2031" w:name="Tc_dU4KaXeRu0ih_uTVWjeAHw_10_7"/>
      <w:bookmarkStart w:id="2032" w:name="Tc_nybCCJWJZk23sjvCBtCaQw_10_4"/>
      <w:bookmarkStart w:id="2033" w:name="Tc_n5xa0zJ1XUKkSHKQ91_IFA_10_2"/>
      <w:bookmarkStart w:id="2034" w:name="Tc_MdJd9ViLCEeQeiaQWLe6Pg_10_0"/>
      <w:bookmarkStart w:id="2035" w:name="Tc_TFW65yCkj0ydDWK1NBRntA_9_7"/>
      <w:bookmarkStart w:id="2036" w:name="Tc_pNLLMx7HsE2bBICK-XwB-w_9_4"/>
      <w:bookmarkStart w:id="2037" w:name="Tc_hHzCIzYXgE-Wl5fcUKottw_9_2"/>
      <w:bookmarkStart w:id="2038" w:name="Tc_lztBgy87uUay1Cd3g7SG2A_9_0"/>
      <w:bookmarkStart w:id="2039" w:name="Tc_1ojAZEGa5kGgXG9h867P4Q_8_7"/>
      <w:bookmarkStart w:id="2040" w:name="Tc_zyxju43DV0qQ0MrThCbRfQ_8_4"/>
      <w:bookmarkStart w:id="2041" w:name="Tc__U9UOSXLvEy9-YQ2sxQjEA_8_2"/>
      <w:bookmarkStart w:id="2042" w:name="Tc_sUp021MfqUW7tunuyoCsog_8_0"/>
      <w:bookmarkStart w:id="2043" w:name="Tc_dXqWBY_te022b4TlWZeyog_7_7"/>
      <w:bookmarkStart w:id="2044" w:name="Tc_Kilol0ujoEeVdSIG6bG6Rg_7_4"/>
      <w:bookmarkStart w:id="2045" w:name="Tc_0EY-6grVCkGjXWkXpX1OHg_7_2"/>
      <w:bookmarkStart w:id="2046" w:name="Tc_pIHsWhZe4ESOu2UNH_pOtg_7_0"/>
      <w:bookmarkStart w:id="2047" w:name="Tc_bAx69uaDs0e9PaSQI7Vziw_6_7"/>
      <w:bookmarkStart w:id="2048" w:name="Tc_HVaZ4DRfJkGVO5TJiHv_qw_6_4"/>
      <w:bookmarkStart w:id="2049" w:name="Tc_MhmoLqIDm0SesPlCYO6NJA_6_2"/>
      <w:bookmarkStart w:id="2050" w:name="Tc_qQvcAwJh8kG1C9dJQ5pWVg_6_0"/>
      <w:bookmarkStart w:id="2051" w:name="Tc_fFWkDNIdaEChCVTJVyn-XQ_5_7"/>
      <w:bookmarkStart w:id="2052" w:name="Tc_CIF4cjq2Z0u34y3AeOTeJA_5_4"/>
      <w:bookmarkStart w:id="2053" w:name="Tc_m_aIA0_ab0u0oOAkWKO4lA_5_2"/>
      <w:bookmarkStart w:id="2054" w:name="Tc_aPJ2DKWT8E-qDIpUmtTGog_5_0"/>
      <w:bookmarkStart w:id="2055" w:name="Tc_wtFsEs1wx0W6kY6Tyv-udA_4_12"/>
      <w:bookmarkStart w:id="2056" w:name="Tc_N_xvJdgQcEistnZFyudPnA_4_9"/>
      <w:bookmarkStart w:id="2057" w:name="Tc_UprB0U-iNEmekeEEhY1Zww_4_7"/>
      <w:bookmarkStart w:id="2058" w:name="Tc_h1yhS07-70yN5qmbd5MQxw_4_4"/>
      <w:bookmarkStart w:id="2059" w:name="Tc_KPYAWnRTlUOjRrGnPz_0ug_4_2"/>
      <w:bookmarkStart w:id="2060" w:name="Tc_kpyognALSEKu-4lY4DaFHg_4_0"/>
      <w:bookmarkStart w:id="2061" w:name="Tc_WzQc7I9EyUGO5XM5dXK6vg_3_12"/>
      <w:bookmarkStart w:id="2062" w:name="Tc_yveByL8cL0Gp1IOW1tGEEQ_3_9"/>
      <w:bookmarkStart w:id="2063" w:name="Tc_ej7y_eKYK0qE6-zph2MUnA_3_6"/>
      <w:bookmarkStart w:id="2064" w:name="Tc_zvK9N_OHwkeatOjOugfe3w_3_4"/>
      <w:bookmarkStart w:id="2065" w:name="Tc_jNUI3TVtZ0KBRrAqWWPNYQ_3_2"/>
      <w:bookmarkStart w:id="2066" w:name="Tc_9kLe9JwFlkO6paaqnskR3g_2_12"/>
      <w:bookmarkStart w:id="2067" w:name="Tc_vuceECwcLk2E9bztRnKVCg_2_9"/>
      <w:bookmarkStart w:id="2068" w:name="Tc_NC_Ex1K_1U66tfNxbcmh2A_2_6"/>
      <w:bookmarkStart w:id="2069" w:name="Tc_jA1ryf36gkGFK2YqVyi0_Q_1_6"/>
      <w:bookmarkStart w:id="2070" w:name="_456c9590_e0ca_4666_908c_41203d73a9d2"/>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r>
        <w:rPr>
          <w:rFonts w:ascii="Times New Roman;Times;serif" w:hAnsi="Times New Roman;Times;serif"/>
          <w:b/>
          <w:sz w:val="20"/>
        </w:rPr>
        <w:t>9. Debt,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Debt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9"/>
        <w:gridCol w:w="109"/>
        <w:gridCol w:w="1381"/>
        <w:gridCol w:w="109"/>
        <w:gridCol w:w="1621"/>
        <w:gridCol w:w="109"/>
        <w:gridCol w:w="838"/>
        <w:gridCol w:w="272"/>
        <w:gridCol w:w="109"/>
        <w:gridCol w:w="244"/>
        <w:gridCol w:w="866"/>
        <w:gridCol w:w="109"/>
        <w:gridCol w:w="227"/>
        <w:gridCol w:w="932"/>
      </w:tblGrid>
      <w:tr>
        <w:trPr/>
        <w:tc>
          <w:tcPr>
            <w:tcW w:w="3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82165" cy="175260"/>
                      <wp:effectExtent l="0" t="0" r="0" b="0"/>
                      <wp:wrapNone/>
                      <wp:docPr id="589" name="Frame588"/>
                      <a:graphic xmlns:a="http://schemas.openxmlformats.org/drawingml/2006/main">
                        <a:graphicData uri="http://schemas.microsoft.com/office/word/2010/wordprocessingShape">
                          <wps:wsp>
                            <wps:cNvSpPr txBox="1"/>
                            <wps:spPr>
                              <a:xfrm>
                                <a:off x="0" y="0"/>
                                <a:ext cx="2082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175260"/>
                      <wp:effectExtent l="0" t="0" r="0" b="0"/>
                      <wp:wrapNone/>
                      <wp:docPr id="590" name="Frame5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876935" cy="175260"/>
                      <wp:effectExtent l="0" t="0" r="0" b="0"/>
                      <wp:wrapNone/>
                      <wp:docPr id="591" name="Frame590"/>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9215" cy="175260"/>
                      <wp:effectExtent l="0" t="0" r="0" b="0"/>
                      <wp:wrapNone/>
                      <wp:docPr id="592" name="Frame5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029335" cy="175260"/>
                      <wp:effectExtent l="0" t="0" r="0" b="0"/>
                      <wp:wrapNone/>
                      <wp:docPr id="593" name="Frame592"/>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9215" cy="175260"/>
                      <wp:effectExtent l="0" t="0" r="0" b="0"/>
                      <wp:wrapNone/>
                      <wp:docPr id="594" name="Frame5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532130" cy="175260"/>
                      <wp:effectExtent l="0" t="0" r="0" b="0"/>
                      <wp:wrapNone/>
                      <wp:docPr id="595" name="Frame594"/>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72720" cy="175260"/>
                      <wp:effectExtent l="0" t="0" r="0" b="0"/>
                      <wp:wrapNone/>
                      <wp:docPr id="596" name="Frame59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9215" cy="175260"/>
                      <wp:effectExtent l="0" t="0" r="0" b="0"/>
                      <wp:wrapNone/>
                      <wp:docPr id="597" name="Frame5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54940" cy="175260"/>
                      <wp:effectExtent l="0" t="0" r="0" b="0"/>
                      <wp:wrapNone/>
                      <wp:docPr id="598" name="Frame597"/>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549910" cy="175260"/>
                      <wp:effectExtent l="0" t="0" r="0" b="0"/>
                      <wp:wrapNone/>
                      <wp:docPr id="599" name="Frame598"/>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9215" cy="175260"/>
                      <wp:effectExtent l="0" t="0" r="0" b="0"/>
                      <wp:wrapNone/>
                      <wp:docPr id="600" name="Frame5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44145" cy="175260"/>
                      <wp:effectExtent l="0" t="0" r="0" b="0"/>
                      <wp:wrapNone/>
                      <wp:docPr id="601" name="Frame60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91820" cy="175260"/>
                      <wp:effectExtent l="0" t="0" r="0" b="0"/>
                      <wp:wrapNone/>
                      <wp:docPr id="602" name="Frame60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Effective Rate</w:t>
            </w:r>
          </w:p>
        </w:tc>
        <w:tc>
          <w:tcPr>
            <w:tcW w:w="109" w:type="dxa"/>
            <w:tcBorders/>
            <w:vAlign w:val="center"/>
          </w:tcPr>
          <w:p>
            <w:pPr>
              <w:pStyle w:val="TableContents"/>
              <w:bidi w:val="0"/>
              <w:spacing w:before="0" w:after="1"/>
              <w:ind w:left="0" w:right="0" w:hanging="0"/>
              <w:jc w:val="left"/>
              <w:rPr/>
            </w:pPr>
            <w:r>
              <w:rPr/>
              <w:t>​</w:t>
            </w:r>
          </w:p>
        </w:tc>
        <w:tc>
          <w:tcPr>
            <w:tcW w:w="1110"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59" w:type="dxa"/>
            <w:gridSpan w:val="2"/>
            <w:tcBorders/>
            <w:vAlign w:val="center"/>
          </w:tcPr>
          <w:p>
            <w:pPr>
              <w:pStyle w:val="TableContents"/>
              <w:bidi w:val="0"/>
              <w:spacing w:before="0" w:after="1"/>
              <w:ind w:left="0" w:right="0" w:hanging="0"/>
              <w:jc w:val="center"/>
              <w:rPr/>
            </w:pPr>
            <w:r>
              <w:rPr/>
              <w:t>​</w:t>
            </w:r>
          </w:p>
        </w:tc>
      </w:tr>
      <w:tr>
        <w:trPr/>
        <w:tc>
          <w:tcPr>
            <w:tcW w:w="32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left"/>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115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2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109" w:type="dxa"/>
            <w:tcBorders/>
            <w:vAlign w:val="center"/>
          </w:tcPr>
          <w:p>
            <w:pPr>
              <w:pStyle w:val="TableContents"/>
              <w:bidi w:val="0"/>
              <w:spacing w:before="0" w:after="1"/>
              <w:ind w:left="0" w:right="0" w:hanging="0"/>
              <w:jc w:val="left"/>
              <w:rPr/>
            </w:pPr>
            <w:r>
              <w:rPr/>
              <w:t>​</w:t>
            </w:r>
          </w:p>
        </w:tc>
        <w:tc>
          <w:tcPr>
            <w:tcW w:w="16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 Terms</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1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Watersound Origins Crossings JV Loan (insured by HUD)</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April 2058</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51,328</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51,953</w:t>
            </w:r>
          </w:p>
        </w:tc>
      </w:tr>
      <w:tr>
        <w:trPr/>
        <w:tc>
          <w:tcPr>
            <w:tcW w:w="32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Pier Park Resort Hotel JV Loan</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April 2027</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SOFR plus 2.1%</w:t>
            </w:r>
            <w:r>
              <w:rPr>
                <w:rFonts w:ascii="Times New Roman;Times;serif" w:hAnsi="Times New Roman;Times;serif"/>
                <w:sz w:val="16"/>
              </w:rPr>
              <w:t xml:space="preserve"> </w:t>
            </w:r>
            <w:r>
              <w:rPr>
                <w:rFonts w:ascii="Times New Roman;Times;serif" w:hAnsi="Times New Roman;Times;serif"/>
                <w:sz w:val="13"/>
              </w:rPr>
              <w:t>(a)</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2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49,817</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50,882</w:t>
            </w:r>
          </w:p>
        </w:tc>
      </w:tr>
      <w:tr>
        <w:trPr/>
        <w:tc>
          <w:tcPr>
            <w:tcW w:w="32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Mexico Beach Crossings JV Loan (insured by HUD)</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March 2064</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42,510</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43,069</w:t>
            </w:r>
          </w:p>
        </w:tc>
      </w:tr>
      <w:tr>
        <w:trPr/>
        <w:tc>
          <w:tcPr>
            <w:tcW w:w="3279"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PPN JV Loan </w:t>
            </w:r>
            <w:r>
              <w:rPr>
                <w:rFonts w:ascii="Times New Roman;Times;serif" w:hAnsi="Times New Roman;Times;serif"/>
                <w:sz w:val="14"/>
              </w:rPr>
              <w:t>(b)</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October 2035</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w:t>
            </w:r>
          </w:p>
        </w:tc>
        <w:tc>
          <w:tcPr>
            <w:tcW w:w="2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39,922</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40,370</w:t>
            </w:r>
          </w:p>
        </w:tc>
      </w:tr>
      <w:tr>
        <w:trPr/>
        <w:tc>
          <w:tcPr>
            <w:tcW w:w="32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PPC JV Loan (insured by HUD)</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2060</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33,616</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34,153</w:t>
            </w:r>
          </w:p>
        </w:tc>
      </w:tr>
      <w:tr>
        <w:trPr/>
        <w:tc>
          <w:tcPr>
            <w:tcW w:w="32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Pearl Hotel Loan</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December 2032</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w:t>
            </w:r>
          </w:p>
        </w:tc>
        <w:tc>
          <w:tcPr>
            <w:tcW w:w="2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32,560</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34,040</w:t>
            </w:r>
          </w:p>
        </w:tc>
      </w:tr>
      <w:tr>
        <w:trPr/>
        <w:tc>
          <w:tcPr>
            <w:tcW w:w="327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North Bay Landing Loan (insured by HUD) </w:t>
            </w:r>
            <w:r>
              <w:rPr>
                <w:rFonts w:ascii="Times New Roman;Times;serif" w:hAnsi="Times New Roman;Times;serif"/>
                <w:sz w:val="14"/>
              </w:rPr>
              <w:t>(c)</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March 2060</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27,619</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22,746</w:t>
            </w:r>
          </w:p>
        </w:tc>
      </w:tr>
      <w:tr>
        <w:trPr/>
        <w:tc>
          <w:tcPr>
            <w:tcW w:w="32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Watersound Camp Creek Loan</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December 2047</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SOFR plus 2.1%, floor 2.6%</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2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26,843</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27,377</w:t>
            </w:r>
          </w:p>
        </w:tc>
      </w:tr>
      <w:tr>
        <w:trPr/>
        <w:tc>
          <w:tcPr>
            <w:tcW w:w="32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PPC II JV Loan (insured by HUD)</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May 2057</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21,365</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21,796</w:t>
            </w:r>
          </w:p>
        </w:tc>
      </w:tr>
      <w:tr>
        <w:trPr/>
        <w:tc>
          <w:tcPr>
            <w:tcW w:w="32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Hotel Indigo Loan</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October 2028</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SOFR plus 2.5%, floor 2.5%</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w:t>
            </w:r>
          </w:p>
        </w:tc>
        <w:tc>
          <w:tcPr>
            <w:tcW w:w="2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19,024</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19,857</w:t>
            </w:r>
          </w:p>
        </w:tc>
      </w:tr>
      <w:tr>
        <w:trPr/>
        <w:tc>
          <w:tcPr>
            <w:tcW w:w="32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Breakfast Point Hotel Loan</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November 2042</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Fixed</w:t>
            </w:r>
            <w:r>
              <w:rPr>
                <w:rFonts w:ascii="Times New Roman;Times;serif" w:hAnsi="Times New Roman;Times;serif"/>
                <w:sz w:val="16"/>
              </w:rPr>
              <w:t xml:space="preserve"> </w:t>
            </w:r>
            <w:r>
              <w:rPr>
                <w:rFonts w:ascii="Times New Roman;Times;serif" w:hAnsi="Times New Roman;Times;serif"/>
                <w:sz w:val="13"/>
              </w:rPr>
              <w:t>(d)</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14,978</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15,473</w:t>
            </w:r>
          </w:p>
        </w:tc>
      </w:tr>
      <w:tr>
        <w:trPr/>
        <w:tc>
          <w:tcPr>
            <w:tcW w:w="32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Lodge 30A JV Loan</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January 2028</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c>
          <w:tcPr>
            <w:tcW w:w="2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13,587</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14,130</w:t>
            </w:r>
          </w:p>
        </w:tc>
      </w:tr>
      <w:tr>
        <w:trPr/>
        <w:tc>
          <w:tcPr>
            <w:tcW w:w="32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Topsail Hotel Loan</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July 2027</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SOFR plus 2.1%, floor 3.0%</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11,215</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12,307</w:t>
            </w:r>
          </w:p>
        </w:tc>
      </w:tr>
      <w:tr>
        <w:trPr/>
        <w:tc>
          <w:tcPr>
            <w:tcW w:w="32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Watersound Town Center Grocery Loan</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August 2031</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SOFR plus 2.1%, floor 2.3%</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2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4,682</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8,086</w:t>
            </w:r>
          </w:p>
        </w:tc>
      </w:tr>
      <w:tr>
        <w:trPr/>
        <w:tc>
          <w:tcPr>
            <w:tcW w:w="32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Airport Hotel Loan</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February 2030 </w:t>
            </w:r>
            <w:r>
              <w:rPr>
                <w:rFonts w:ascii="Times New Roman;Times;serif" w:hAnsi="Times New Roman;Times;serif"/>
                <w:sz w:val="14"/>
              </w:rPr>
              <w:t>(e)</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SOFR plus 2.1%, floor 3.0%</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3,227</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11,717</w:t>
            </w:r>
          </w:p>
        </w:tc>
      </w:tr>
      <w:tr>
        <w:trPr/>
        <w:tc>
          <w:tcPr>
            <w:tcW w:w="327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Community Development District debt</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May 2028-May 2039</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 to 6.0</w:t>
            </w:r>
          </w:p>
        </w:tc>
        <w:tc>
          <w:tcPr>
            <w:tcW w:w="2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2,604</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3,151</w:t>
            </w:r>
          </w:p>
        </w:tc>
      </w:tr>
      <w:tr>
        <w:trPr/>
        <w:tc>
          <w:tcPr>
            <w:tcW w:w="32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Beckrich Building III Loan</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August 2029</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SOFR plus 1.8%</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1,111</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5,014</w:t>
            </w:r>
          </w:p>
        </w:tc>
      </w:tr>
      <w:tr>
        <w:trPr/>
        <w:tc>
          <w:tcPr>
            <w:tcW w:w="3279"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Watercrest JV Loan </w:t>
            </w:r>
            <w:r>
              <w:rPr>
                <w:rFonts w:ascii="Times New Roman;Times;serif" w:hAnsi="Times New Roman;Times;serif"/>
                <w:sz w:val="14"/>
              </w:rPr>
              <w:t>(f)</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N/A</w:t>
            </w:r>
          </w:p>
        </w:tc>
        <w:tc>
          <w:tcPr>
            <w:tcW w:w="27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19,555</w:t>
            </w:r>
          </w:p>
        </w:tc>
      </w:tr>
      <w:tr>
        <w:trPr/>
        <w:tc>
          <w:tcPr>
            <w:tcW w:w="327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Self-Storage Facility Loan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N/A</w:t>
            </w:r>
          </w:p>
        </w:tc>
        <w:tc>
          <w:tcPr>
            <w:tcW w:w="27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3,360</w:t>
            </w:r>
          </w:p>
        </w:tc>
      </w:tr>
      <w:tr>
        <w:trPr/>
        <w:tc>
          <w:tcPr>
            <w:tcW w:w="3279"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Beach Homes Loan </w:t>
            </w:r>
            <w:r>
              <w:rPr>
                <w:rFonts w:ascii="Times New Roman;Times;serif" w:hAnsi="Times New Roman;Times;serif"/>
                <w:sz w:val="14"/>
              </w:rPr>
              <w:t>(f)</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N/A</w:t>
            </w:r>
          </w:p>
        </w:tc>
        <w:tc>
          <w:tcPr>
            <w:tcW w:w="27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1,385</w:t>
            </w:r>
          </w:p>
        </w:tc>
      </w:tr>
      <w:tr>
        <w:trPr/>
        <w:tc>
          <w:tcPr>
            <w:tcW w:w="327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Pier Park Outparcel Loan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N/A</w:t>
            </w:r>
          </w:p>
        </w:tc>
        <w:tc>
          <w:tcPr>
            <w:tcW w:w="27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1,252</w:t>
            </w:r>
          </w:p>
        </w:tc>
      </w:tr>
      <w:tr>
        <w:trPr/>
        <w:tc>
          <w:tcPr>
            <w:tcW w:w="3279"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WaterColor Crossings Loan </w:t>
            </w:r>
            <w:r>
              <w:rPr>
                <w:rFonts w:ascii="Times New Roman;Times;serif" w:hAnsi="Times New Roman;Times;serif"/>
                <w:sz w:val="14"/>
              </w:rPr>
              <w:t>(f)</w:t>
            </w:r>
          </w:p>
        </w:tc>
        <w:tc>
          <w:tcPr>
            <w:tcW w:w="109"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N/A</w:t>
            </w:r>
          </w:p>
        </w:tc>
        <w:tc>
          <w:tcPr>
            <w:tcW w:w="27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w:t>
            </w:r>
          </w:p>
        </w:tc>
      </w:tr>
      <w:tr>
        <w:trPr/>
        <w:tc>
          <w:tcPr>
            <w:tcW w:w="3279"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principal outstanding</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396,008</w:t>
            </w:r>
          </w:p>
        </w:tc>
        <w:tc>
          <w:tcPr>
            <w:tcW w:w="109" w:type="dxa"/>
            <w:tcBorders/>
            <w:shd w:fill="CCEEFF" w:val="clear"/>
            <w:vAlign w:val="center"/>
          </w:tcPr>
          <w:p>
            <w:pPr>
              <w:pStyle w:val="TableContents"/>
              <w:bidi w:val="0"/>
              <w:spacing w:before="0" w:after="1"/>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442,716</w:t>
            </w:r>
          </w:p>
        </w:tc>
      </w:tr>
      <w:tr>
        <w:trPr/>
        <w:tc>
          <w:tcPr>
            <w:tcW w:w="4769" w:type="dxa"/>
            <w:gridSpan w:val="3"/>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Unamortized discount and debt issuance costs</w:t>
            </w:r>
          </w:p>
        </w:tc>
        <w:tc>
          <w:tcPr>
            <w:tcW w:w="109"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(4,849)</w:t>
            </w:r>
          </w:p>
        </w:tc>
        <w:tc>
          <w:tcPr>
            <w:tcW w:w="109"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(4,962)</w:t>
            </w:r>
          </w:p>
        </w:tc>
      </w:tr>
      <w:tr>
        <w:trPr/>
        <w:tc>
          <w:tcPr>
            <w:tcW w:w="3279"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debt, net</w:t>
            </w:r>
          </w:p>
        </w:tc>
        <w:tc>
          <w:tcPr>
            <w:tcW w:w="109"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391,159</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437,754</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Pier Park Resort Hotel JV entered into an interest rate swap that matures in April 2027 and fixed the variable rate on the notional amount of related debt, initially at $42.0</w:t>
            </w:r>
            <w:r>
              <w:rPr>
                <w:caps w:val="false"/>
                <w:smallCaps w:val="false"/>
              </w:rPr>
              <w:t xml:space="preserve"> </w:t>
            </w:r>
            <w:r>
              <w:rPr>
                <w:rFonts w:ascii="Times New Roman;Times;serif" w:hAnsi="Times New Roman;Times;serif"/>
                <w:b w:val="false"/>
                <w:i w:val="false"/>
                <w:caps w:val="false"/>
                <w:smallCaps w:val="false"/>
                <w:sz w:val="18"/>
              </w:rPr>
              <w:t>million, amortizing to $38.7</w:t>
            </w:r>
            <w:r>
              <w:rPr>
                <w:caps w:val="false"/>
                <w:smallCaps w:val="false"/>
              </w:rPr>
              <w:t xml:space="preserve"> </w:t>
            </w:r>
            <w:r>
              <w:rPr>
                <w:rFonts w:ascii="Times New Roman;Times;serif" w:hAnsi="Times New Roman;Times;serif"/>
                <w:b w:val="false"/>
                <w:i w:val="false"/>
                <w:caps w:val="false"/>
                <w:smallCaps w:val="false"/>
                <w:sz w:val="18"/>
              </w:rPr>
              <w:t xml:space="preserve">million at swap maturity, to a rate of 3.2%. See Note 5. </w:t>
            </w:r>
            <w:r>
              <w:rPr>
                <w:rFonts w:ascii="Times New Roman;Times;serif" w:hAnsi="Times New Roman;Times;serif"/>
                <w:b w:val="false"/>
                <w:i/>
                <w:sz w:val="18"/>
              </w:rPr>
              <w:t xml:space="preserve">Financial Instruments and Fair Value Measurements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8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 September 2025, the PPN JV Loan was refinanced. The previous loan had an interest rate of 4.1%</w:t>
            </w:r>
            <w:r>
              <w:rPr>
                <w:caps w:val="false"/>
                <w:smallCaps w:val="false"/>
              </w:rPr>
              <w:t xml:space="preserve"> </w:t>
            </w:r>
            <w:r>
              <w:rPr>
                <w:rFonts w:ascii="Times New Roman;Times;serif" w:hAnsi="Times New Roman;Times;serif"/>
                <w:b w:val="false"/>
                <w:i w:val="false"/>
                <w:caps w:val="false"/>
                <w:smallCaps w:val="false"/>
                <w:sz w:val="18"/>
              </w:rPr>
              <w:t>and a maturity date of November 2025.</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 February 2025, the North Bay Landing Loan was refinanced. The previous loan had an interest rate of SOFR</w:t>
            </w:r>
            <w:r>
              <w:rPr>
                <w:caps w:val="false"/>
                <w:smallCaps w:val="false"/>
              </w:rPr>
              <w:t xml:space="preserve"> </w:t>
            </w:r>
            <w:r>
              <w:rPr>
                <w:rFonts w:ascii="Times New Roman;Times;serif" w:hAnsi="Times New Roman;Times;serif"/>
                <w:b w:val="false"/>
                <w:i w:val="false"/>
                <w:caps w:val="false"/>
                <w:smallCaps w:val="false"/>
                <w:sz w:val="18"/>
              </w:rPr>
              <w:t>plus 2.5%, with a floor of 3.2%</w:t>
            </w:r>
            <w:r>
              <w:rPr>
                <w:caps w:val="false"/>
                <w:smallCaps w:val="false"/>
              </w:rPr>
              <w:t xml:space="preserve"> </w:t>
            </w:r>
            <w:r>
              <w:rPr>
                <w:rFonts w:ascii="Times New Roman;Times;serif" w:hAnsi="Times New Roman;Times;serif"/>
                <w:b w:val="false"/>
                <w:i w:val="false"/>
                <w:caps w:val="false"/>
                <w:smallCaps w:val="false"/>
                <w:sz w:val="18"/>
              </w:rPr>
              <w:t>and a maturity date of March 2026.</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Breakfast Point Hotel Loan interest rate is fixed through November 2027 and in December 2027 the rate will adjust to the 1-year constant maturity Treasury rate</w:t>
            </w:r>
            <w:r>
              <w:rPr>
                <w:caps w:val="false"/>
                <w:smallCaps w:val="false"/>
              </w:rPr>
              <w:t xml:space="preserve"> </w:t>
            </w:r>
            <w:r>
              <w:rPr>
                <w:rFonts w:ascii="Times New Roman;Times;serif" w:hAnsi="Times New Roman;Times;serif"/>
                <w:b w:val="false"/>
                <w:i w:val="false"/>
                <w:caps w:val="false"/>
                <w:smallCaps w:val="false"/>
                <w:sz w:val="18"/>
              </w:rPr>
              <w:t>plus 3.3%</w:t>
            </w:r>
            <w:r>
              <w:rPr>
                <w:caps w:val="false"/>
                <w:smallCaps w:val="false"/>
              </w:rPr>
              <w:t xml:space="preserve"> </w:t>
            </w:r>
            <w:r>
              <w:rPr>
                <w:rFonts w:ascii="Times New Roman;Times;serif" w:hAnsi="Times New Roman;Times;serif"/>
                <w:b w:val="false"/>
                <w:i w:val="false"/>
                <w:caps w:val="false"/>
                <w:smallCaps w:val="false"/>
                <w:sz w:val="18"/>
              </w:rPr>
              <w:t>from December 2027 through November 2042, with a minimum rate of 6.0%</w:t>
            </w:r>
            <w:r>
              <w:rPr>
                <w:caps w:val="false"/>
                <w:smallCaps w:val="false"/>
              </w:rPr>
              <w:t xml:space="preserve"> </w:t>
            </w:r>
            <w:r>
              <w:rPr>
                <w:rFonts w:ascii="Times New Roman;Times;serif" w:hAnsi="Times New Roman;Times;serif"/>
                <w:b w:val="false"/>
                <w:i w:val="false"/>
                <w:caps w:val="false"/>
                <w:smallCaps w:val="false"/>
                <w:sz w:val="18"/>
              </w:rPr>
              <w:t>throughout the term of the loan.</w:t>
            </w:r>
          </w:p>
        </w:tc>
      </w:tr>
    </w:tbl>
    <w:tbl>
      <w:tblPr>
        <w:tblW w:w="6707" w:type="dxa"/>
        <w:jc w:val="left"/>
        <w:tblInd w:w="0" w:type="dxa"/>
        <w:tblLayout w:type="fixed"/>
        <w:tblCellMar>
          <w:top w:w="0" w:type="dxa"/>
          <w:left w:w="0" w:type="dxa"/>
          <w:bottom w:w="0" w:type="dxa"/>
          <w:right w:w="0" w:type="dxa"/>
        </w:tblCellMar>
      </w:tblPr>
      <w:tblGrid>
        <w:gridCol w:w="316"/>
        <w:gridCol w:w="639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6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February 2025, the Airport Hotel Loan maturity date was extended to February 2030.</w:t>
            </w:r>
          </w:p>
        </w:tc>
      </w:tr>
    </w:tbl>
    <w:tbl>
      <w:tblPr>
        <w:tblW w:w="3197" w:type="dxa"/>
        <w:jc w:val="left"/>
        <w:tblInd w:w="0" w:type="dxa"/>
        <w:tblLayout w:type="fixed"/>
        <w:tblCellMar>
          <w:top w:w="0" w:type="dxa"/>
          <w:left w:w="0" w:type="dxa"/>
          <w:bottom w:w="0" w:type="dxa"/>
          <w:right w:w="0" w:type="dxa"/>
        </w:tblCellMar>
      </w:tblPr>
      <w:tblGrid>
        <w:gridCol w:w="301"/>
        <w:gridCol w:w="2896"/>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2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During 2025, the loan was paid in full.</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Company’s indebtedness consists of various loans on real and leasehold property. These loans are typically secured by various interests in the property such as assignment of rents, leases, deposits, permits, plans, specifications, fees, agreements, approvals, contracts, licenses, construction contracts, development contracts, service contracts, franchise agreements, the borrower’s assets, improvements, and security interests in the rents, personal property,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agreements, construction agreements, improvements, accounts, profits, leases and fixtures. The specific Security Interests vary from loan to loan. As of December 31, 2025, the weighted average effective interest rate of total outstanding debt was 4.8%, of which 80.8% includes fixed or swapped interest rates, and the average remaining life was 19.6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2023, the Watersound Origins Crossings JV refinanced into a $52.9 million loan, insured by HUD, for a multi-family community located near the entrance to the Watersound Origins residential community. The loan provides for monthly payments of principal and interest through maturity in April 2058. The loan includes a prepayment premium due to the lender of 1% - 8% for any principal that is prepaid through April 2033.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the Pier Park Resort Hotel JV entered into a loan with an initial amount of $52.5 million up to a maximum of $60.0 million through additional earn-out requests. The Pier Park Resort Hotel JV Loan was entered into to finance the construction of a hotel in the Pier Park area of Panama City Beach, Florida. The loan provides for monthly principal and interest payments with a final balloon payment at maturity in April 2027. The loan is secured by the real property and certain other Security Interests. In connection with the loan, as guarantors, the Company and the Company’s JV partner entered into a guarantee based on each partner’s ownership interest in favor of the lender, to guarantee the payment and performance of the borrower. As guarantor, the Company’s liability under the Pier Park Resort Hotel JV Loan can be released upon reaching and maintaining certain debt service coverage.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amortizing to $38.7 million at swap maturity, to a rate of 3.2%.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the Mexico Beach Crossings JV entered into a $43.5 million loan, insured by HUD, to finance the construction of a multi-family community in Mexico Beach, Florida. The Mexico Beach Crossings JV Loan provides for monthly principal and interest payments through maturity in March 2064. The loan includes a prepayment premium due to the lender of 1% - 9% for any principal that is prepaid through March 2034.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2015, the Pier Park North JV entered into a $48.2 million loan, secured by a first lien on, and Security Interest in, a majority of the Pier Park North JV’s property. In September 2025, The PPN JV Loan was refinanced, which increased the principal amount of the loan from $39.5 million to $40.0 million and fixed the interest rate to 6.1%. The refinanced loan provides for monthly payments of principal and interest with a final balloon payment at maturity in October 2035. The loan may not be prepaid prior to October 2029. Commencing in October 2029 through May 2035, any principal prepaid is subject to a prepayment fee equal to the greater of (i) a prepayment ratio, as outlined in the loan agreement, or (ii) 1% of the amount prepaid. From June 2035 through maturity, the loan may be prepaid without a prepayment fee upon prior written notice. In connection with the loan, the Company entered into a limited guarantee in favor of the lender with respect to environmental indemnity matters and specified non-recourse carveouts outlined in the loan agreement. The Company incurred $0.3 million in loan costs due to the refinance.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2018, the Pier Park Crossings JV entered into a $36.6 million loan, insured by HUD, to finance the construction of a multi-family community in Panama City Beach, Florida. The PPC JV Loan provides for monthly principal and interest payments through maturity in June 2060. The loan includes a prepayment premium due to the lender of 2% - 7% for any additional principal that is prepaid through August 2031. The loan is secured by the real property and certain other Security Interests.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2022, a wholly-owned subsidiary of the Company entered into a $37.0 million loan, which is guaranteed by the Company, to finance the acquisition of a hotel located on Scenic Highway 30A. The Pearl Hotel Loan provides for monthly principal and interest payments with a final balloon payment at maturity in December 2032. The loan includes a prepayment fee due to the lender of 1% - 2% of the outstanding principal balance if the loan is refinanced with another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institution through December 2027.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a wholly-owned subsidiary of the Company entered into a loan, as amended, to finance the construction of a multi-family community in Panama City, Florida. In February 2025, the North Bay Landing loan was refinanced, which increased the principal amount of the loan to $27.8 million, fixed the interest rate to 5.9% and provides for monthly payments of principal and interest through maturity in March 2060. The refinanced loan terms include a prepayment premium due to the lender of 1% - 10% for any principal that is prepaid through March 2035. The refinanced loan is insured by HUD and secured by the real property and certain other Security Interests. The Company incurred $0.6 million in loan costs due to the refinance. The year ended December 31, 2025, includes less than a $0.1 million loss on early extinguishment of debt related to unamortized debt issuance costs included within other income, net on the consolidated statements of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a wholly-owned subsidiary of the Company entered into a $28.0 million loan, which is guaranteed by the Company, to finance the construction of an inn and amenity center near the Watersound Camp Creek residential community. The Watersound Camp Creek Loan provides for monthly principal and interest payments through maturity in December 2047. The loan is secured by the real property and certain other Security Interests. As guarantor, the Company’s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the guarantor to abide by or perform any of the covenants, warranties or other certain obligations to be performed on the part of such guarantor.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the Pier Park Crossings Phase II JV entered into a $22.9 million loan, insured by HUD, for a multi-family community in Panama City Beach, Florida. The PPC II JV Loan provides for monthly payments of principal and interest through maturity in May 2057. The loan includes a prepayment premium due to the lender of 1% - 7% for any additional principal that is prepaid through May 2032.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the Company entered into a $21.2 million loan, which is guaranteed by the Company, to finance the construction of a hotel in Panama City, Florida. The Hotel Indigo Loan provides for monthly principal and interest payments with a final balloon payment at maturity in October 2028. The loan includes an option for an extension of the maturity date by sixty months, subject to certain conditions, which would provide for continued principal and interest payments with a final balloon payment at the extended maturity date. The loan is secured by the leasehold property and certain other Security Interests.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2020, a wholly-owned subsidiary of the Company entered into a $16.8 million loan, which is guaranteed by the Company, to finance the construction of a hotel in the Breakfast Point area of Panama City Beach, Florida. The Breakfast Point Hotel Loan provides for monthly principal and interest payments through maturity in November 2042. The loan includes a prepayment premium due to the lender of 1% of the outstanding principal balance for any additional principal that is prepaid through November 2027.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The Lodge 30A JV entered into a $15.0 million loan to finance the construction of a boutique hotel in Seagrove Beach, Florida. The Lodge 30A JV Loan provides for monthly principal and interest payments with a final balloon payment at maturity in January 2028. The loan is secured by the real property and certain other Security Interests. In connection with the loan, the Company, wholly-owned subsidiaries of the Company and the Company’s JV partner entered into a joint and several payment and performance guarantee in favor of the lender. Upon reaching a certain debt service coverage ratio for a minimum of twenty-four months, the Company’s liability as guarantor can be reduced to 75% of the outstanding principal amount for a twelve-month period. The debt service coverage ratio will be tested annually thereafter and the Company’s liability can be reduced to 50% in year four and 25% in year five. The Company receives a monthly fee related to the guarantee from its JV partner based on the JV partner’s ownership percentage.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39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a wholly-owned subsidiary of the Company entered into a $13.7 million loan, which is guaranteed by the Company, to finance the construction of a hotel in Santa Rosa Beach, Florida. The Topsail Hotel Loan provides for monthly principal and interest payments with a final balloon payment at maturity in July 2027.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a wholly-owned subsidiary of the Company entered into a $12.0 million loan, which is guaranteed by the Company, to finance the construction of a building in the Watersound Town Center near the Watersound Origins residential community. The Watersound Town Center Grocery Loan provides for monthly principal and interest payments with a final balloon payment at maturity in August 2031. The loan is secured by the real property and certain other Security Interests. As guarantor, the Company’s liability under the loan has been reduced to 25% of the outstanding principal amount after reaching a certain debt service coverage ratio.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2020, a wholly-owned subsidiary of the Company entered into a $15.3 million loan, which is guaranteed by the Company, to finance construction of a hotel in Panama City, Florida. The Airport Hotel Loan provided for monthly principal and interest payments with a final balloon payment at maturity. In February 2025, the Airport Hotel Loan maturity date was extended from March 2025 to February 2030. The Company incurred less than $0.1 million of additional loan costs due to the modification.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CDD bonds financed the construction of infrastructure improvements at some of the Company’s projects. The principal and interest payments on the bonds are paid by assessments on the properties benefited by the improvements financed by the bonds. CDD debt is secured by certain real estate or other collateral. The Company has recorded a liability for CDD debt that is associated with platted property, which is the point at which it becomes fixed and determinable. Additionally, the Company has recorded a liability for the portion of the CDD debt that is associated with unplatted property if it is probable and reasonably estimable that the Company will ultimately be responsible for repayment. The Company’s total CDD debt assigned to property it owns was $9.0 million and $9.6 million as of December 31, 2025 and 2024, respectively. The Company pays interest on this total outstanding CDD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2019, a wholly-owned subsidiary of the Company entered into a $5.5 million loan, which is guaranteed by the Company, to finance the construction of an office building in Panama City Beach, Florida. The Beckrich Building III Loan provides for monthly principal and interest payments with a final balloon payment at maturity in August 2029. The loan is secured by the real property and certain other Security Interests. In January 2026, the loan was paid in full.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2019, the Watercrest JV entered into a $22.5 million loan to finance the construction of a senior living facility in Santa Rosa Beach, Florida. In September 2025, the Watercrest JV sold its senior living community property to a third party and the loan was paid in full. The year ended December 31, 2025, includes $0.3 million loss on early extinguishment of debt related to unamortized debt issuance costs included within other income, net on the consolidated statements of income. 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2020, a wholly-owned subsidiary of the Company entered into a $5.8 million loan to finance the construction of a self-storage facility in Santa Rosa Beach, Florida. In the first quarter of 2025, the loan was paid in full.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2018, a wholly-owned subsidiary of the Company entered into a $1.7 million loan to finance the construction of two beach homes located in Panama City Beach, Florida (the “Beach Homes Loan”). In the second quarter of 2025, the loan was paid in full.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2017, a wholly-owned subsidiary of the Company entered into a $1.6 million loan to finance the construction of a commercial leasing property located in Panama City Beach, Florida (the “Pier Park Outparcel Loan”). In the first quarter of 2025, the loan was paid in full.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2018, a wholly-owned subsidiary of the Company entered into a $1.9 million loan to finance the construction of a commercial leasing property located in Santa Rosa Beach, Florida (the “WaterColor Crossings Loan”). In the second quarter of 2025, the loan was paid in full.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071" w:name="Tc_zloMr64qUE-WWiy4dD0ueg_7_2"/>
      <w:bookmarkStart w:id="2072" w:name="Tc_sSUddyxV30C-tvU0eDOfkA_6_0"/>
      <w:bookmarkStart w:id="2073" w:name="Tc_oKDRyJJBHkKFBuYuAK5GBA_5_0"/>
      <w:bookmarkStart w:id="2074" w:name="Tc_X5NcM836TkyVrw-Q58uwCA_4_0"/>
      <w:bookmarkStart w:id="2075" w:name="Tc_HQpv-rsIRkC7ccWVa3Hnig_3_0"/>
      <w:bookmarkStart w:id="2076" w:name="Tc_KkTIAks2sUOriNyUS3LSxg_2_0"/>
      <w:bookmarkStart w:id="2077" w:name="Tc_-OBOe3dVAkiILsYeHzTS9Q_1_2"/>
      <w:bookmarkStart w:id="2078" w:name="Tc_TW7TqFQjoESa9_ooRj-6AA_1_0"/>
      <w:bookmarkStart w:id="2079" w:name="_cc7852c8_b29b_43e6_83a8_889d6e7cc718"/>
      <w:bookmarkStart w:id="2080" w:name="HH_3"/>
      <w:bookmarkEnd w:id="2071"/>
      <w:bookmarkEnd w:id="2072"/>
      <w:bookmarkEnd w:id="2073"/>
      <w:bookmarkEnd w:id="2074"/>
      <w:bookmarkEnd w:id="2075"/>
      <w:bookmarkEnd w:id="2076"/>
      <w:bookmarkEnd w:id="2077"/>
      <w:bookmarkEnd w:id="2078"/>
      <w:bookmarkEnd w:id="2079"/>
      <w:bookmarkEnd w:id="2080"/>
      <w:r>
        <w:rPr>
          <w:rFonts w:ascii="Times New Roman;Times;serif" w:hAnsi="Times New Roman;Times;serif"/>
          <w:sz w:val="20"/>
        </w:rPr>
        <w:t>The Company’s financing agreements are subject to various customary debt covenants and as of both of December 31, 2025 and 2024, the Company was in compliance with the financial debt 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property, receivables and inventory that were pledged as collateral related to the Company’s </w:t>
      </w:r>
      <w:r>
        <w:rPr>
          <w:rFonts w:ascii="Times New Roman;Times;serif" w:hAnsi="Times New Roman;Times;serif"/>
          <w:b w:val="false"/>
          <w:i w:val="false"/>
          <w:caps w:val="false"/>
          <w:smallCaps w:val="false"/>
          <w:sz w:val="20"/>
        </w:rPr>
        <w:t>debt agreements</w:t>
      </w:r>
      <w:r>
        <w:rPr>
          <w:rFonts w:ascii="Times New Roman;Times;serif" w:hAnsi="Times New Roman;Times;serif"/>
          <w:sz w:val="20"/>
        </w:rPr>
        <w:t>, had an approximate carrying amount of $496.8 million. These assets are included within investment in real estate, net, property and equipment, net and other assets on the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aggregate maturities of debt subsequent to December 31, 2025 are:</w:t>
      </w:r>
    </w:p>
    <w:tbl>
      <w:tblPr>
        <w:tblW w:w="2152" w:type="dxa"/>
        <w:jc w:val="left"/>
        <w:tblInd w:w="0" w:type="dxa"/>
        <w:tblLayout w:type="fixed"/>
        <w:tblCellMar>
          <w:top w:w="0" w:type="dxa"/>
          <w:left w:w="0" w:type="dxa"/>
          <w:bottom w:w="0" w:type="dxa"/>
          <w:right w:w="0" w:type="dxa"/>
        </w:tblCellMar>
      </w:tblPr>
      <w:tblGrid>
        <w:gridCol w:w="946"/>
        <w:gridCol w:w="109"/>
        <w:gridCol w:w="211"/>
        <w:gridCol w:w="88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00710" cy="175260"/>
                      <wp:effectExtent l="0" t="0" r="0" b="0"/>
                      <wp:wrapNone/>
                      <wp:docPr id="603" name="Frame60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9215" cy="175260"/>
                      <wp:effectExtent l="0" t="0" r="0" b="0"/>
                      <wp:wrapNone/>
                      <wp:docPr id="604" name="Frame6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33985" cy="175260"/>
                      <wp:effectExtent l="0" t="0" r="0" b="0"/>
                      <wp:wrapNone/>
                      <wp:docPr id="605" name="Frame6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562610" cy="175260"/>
                      <wp:effectExtent l="0" t="0" r="0" b="0"/>
                      <wp:wrapNone/>
                      <wp:docPr id="606" name="Frame6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9,844</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68,108</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36,987</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8,083</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265,507</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396,008</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81" w:name="Tc_Ju-aGbhktUuqeJBGIsXr4A_12_5"/>
      <w:bookmarkStart w:id="2082" w:name="Tc_Aq_znXuoKUKbBdETvDrd8w_12_2"/>
      <w:bookmarkStart w:id="2083" w:name="Tc_9v_l3SmRMUCLB6iXk2QAVg_12_0"/>
      <w:bookmarkStart w:id="2084" w:name="Tc_m3CIOUOhY06R8IkCei0-Lw_11_0"/>
      <w:bookmarkStart w:id="2085" w:name="Tc_LS1s7wuPzEe9QdrChlGA_g_10_0"/>
      <w:bookmarkStart w:id="2086" w:name="Tc_05fPyla0aUyCWOrjggGbcA_9_0"/>
      <w:bookmarkStart w:id="2087" w:name="Tc_4K-_O0_ZfUeji-kONiawUg_8_0"/>
      <w:bookmarkStart w:id="2088" w:name="Tc_Tb6DST5S2Ee3y0x39vB6Pw_7_0"/>
      <w:bookmarkStart w:id="2089" w:name="Tc_PYapFSW6bUSDXh0O_7mAHQ_4_0"/>
      <w:bookmarkStart w:id="2090" w:name="Tc_hYCDu6-4DEebD7tMFChMGw_3_5"/>
      <w:bookmarkStart w:id="2091" w:name="Tc_b1DLRFkedEydbd3Sbbcc-Q_3_2"/>
      <w:bookmarkStart w:id="2092" w:name="Tc_pNwKaH0bHkOZsZb_tWrjIA_3_0"/>
      <w:bookmarkStart w:id="2093" w:name="Tc_ITeQEiDeTEmwBbkozYZnTA_2_5"/>
      <w:bookmarkStart w:id="2094" w:name="Tc_8ySLslTMuk-3OAjoZTLp-w_2_2"/>
      <w:bookmarkStart w:id="2095" w:name="Tc_K6qgAda9YEKJSBAjIqLOyw_1_5"/>
      <w:bookmarkStart w:id="2096" w:name="Tc_6zqFnq_8N0GBRRchawo7ig_1_2"/>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r>
        <w:rPr>
          <w:rFonts w:ascii="Times New Roman;Times;serif" w:hAnsi="Times New Roman;Times;serif"/>
          <w:b/>
          <w:sz w:val="20"/>
        </w:rPr>
        <w:t>10. Accounts Payable and Other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Accounts payable and other liabilities consist of the following:</w:t>
      </w:r>
    </w:p>
    <w:p>
      <w:pPr>
        <w:pStyle w:val="TextBody"/>
        <w:bidi w:val="0"/>
        <w:spacing w:before="0" w:after="0"/>
        <w:ind w:left="0" w:right="0" w:hanging="0"/>
        <w:jc w:val="left"/>
        <w:rPr/>
      </w:pPr>
      <w:r>
        <w:rPr/>
        <w:t>​</w:t>
      </w:r>
    </w:p>
    <w:tbl>
      <w:tblPr>
        <w:tblW w:w="7548" w:type="dxa"/>
        <w:jc w:val="left"/>
        <w:tblInd w:w="0" w:type="dxa"/>
        <w:tblLayout w:type="fixed"/>
        <w:tblCellMar>
          <w:top w:w="0" w:type="dxa"/>
          <w:left w:w="0" w:type="dxa"/>
          <w:bottom w:w="0" w:type="dxa"/>
          <w:right w:w="0" w:type="dxa"/>
        </w:tblCellMar>
      </w:tblPr>
      <w:tblGrid>
        <w:gridCol w:w="4531"/>
        <w:gridCol w:w="346"/>
        <w:gridCol w:w="271"/>
        <w:gridCol w:w="869"/>
        <w:gridCol w:w="346"/>
        <w:gridCol w:w="252"/>
        <w:gridCol w:w="933"/>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877185" cy="175260"/>
                      <wp:effectExtent l="0" t="0" r="0" b="0"/>
                      <wp:wrapNone/>
                      <wp:docPr id="607" name="Frame606"/>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19710" cy="175260"/>
                      <wp:effectExtent l="0" t="0" r="0" b="0"/>
                      <wp:wrapNone/>
                      <wp:docPr id="608" name="Frame6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72085" cy="175260"/>
                      <wp:effectExtent l="0" t="0" r="0" b="0"/>
                      <wp:wrapNone/>
                      <wp:docPr id="609" name="Frame60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551815" cy="175260"/>
                      <wp:effectExtent l="0" t="0" r="0" b="0"/>
                      <wp:wrapNone/>
                      <wp:docPr id="610" name="Frame609"/>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19710" cy="175260"/>
                      <wp:effectExtent l="0" t="0" r="0" b="0"/>
                      <wp:wrapNone/>
                      <wp:docPr id="611" name="Frame6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60020" cy="175260"/>
                      <wp:effectExtent l="0" t="0" r="0" b="0"/>
                      <wp:wrapNone/>
                      <wp:docPr id="612" name="Frame61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592455" cy="175260"/>
                      <wp:effectExtent l="0" t="0" r="0" b="0"/>
                      <wp:wrapNone/>
                      <wp:docPr id="613" name="Frame61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22,847</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4,366</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7,635</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5,196</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membership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3,155</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deposits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5,879</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expense for Senior Notes held by SPE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accounts payable and other liabilities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48,297</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53,969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Accounts payable as of December 31, 2025 and 2024, primarily includes payables and retainage related to the Company’s development and construction projects.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Advance deposits consist of deposits received on hotel rooms and related hospitality activities. Advance deposits are recorded as accounts payable and other liabilities in the consolidated balance sheets without regard to whether they are refundable and are recognized as income at the time the service is provided for the related deposit.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Deferred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both December 31, 2025 and 2024, deferred revenue includes club initiation fees of $45.9 million. Deferred revenue also includes other deferred revenue of $12.8 million and $13.4 million, as of December 31, 2025 and 2024,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Club initiation fees are recognized as revenue over the estimated average duration of membership, which is evaluated periodically. The following table presents the changes in club initiation fees related to contracts with customers: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097" w:name="Tc_lpVSJsJJ9EGCVenBYz406Q_7_8"/>
      <w:bookmarkStart w:id="2098" w:name="Tc_uISbIo6yrE-HR5HB-m2fHA_7_5"/>
      <w:bookmarkStart w:id="2099" w:name="Tc_kwTJqOhbjECCPNFoOS4lTA_7_2"/>
      <w:bookmarkStart w:id="2100" w:name="Tc_y26ZNIJrjEiBBJ1cu58_KA_7_0"/>
      <w:bookmarkStart w:id="2101" w:name="Tc_AqjFhXG0VkKpvumlIFvi4g_6_0"/>
      <w:bookmarkStart w:id="2102" w:name="Tc_PaSRH-sN20aKSdVybvlATw_5_0"/>
      <w:bookmarkStart w:id="2103" w:name="Tc__QNdiknTfEC1J25iXchLEg_4_0"/>
      <w:bookmarkStart w:id="2104" w:name="Tc_qT1Fctk_PUKN3z_GOLs_sg_3_8"/>
      <w:bookmarkStart w:id="2105" w:name="Tc_ITWsyKxbaE-_avmSoMuEGw_3_5"/>
      <w:bookmarkStart w:id="2106" w:name="Tc_N2Rqj5sPGkWi4Z7RSpZ8_g_3_2"/>
      <w:bookmarkStart w:id="2107" w:name="Tc_soGZOz8D2UOCn2adGLnRsg_3_0"/>
      <w:bookmarkStart w:id="2108" w:name="Tc_DeWnIYSZok2R-cwhDyJTFA_2_8"/>
      <w:bookmarkStart w:id="2109" w:name="Tc_2utQccKQGUOGGZT2K16rCA_2_5"/>
      <w:bookmarkStart w:id="2110" w:name="Tc_Bq3LguUegEeSi_m30Olyhg_2_2"/>
      <w:bookmarkStart w:id="2111" w:name="Tc_s_T9LOvuFUatXxMJwZAOOQ_1_8"/>
      <w:bookmarkStart w:id="2112" w:name="Tc_42e84JbwpESEjJpvRG7eIw_1_5"/>
      <w:bookmarkStart w:id="2113" w:name="Tc_l0R4PZOVgUKx4vDGfeylOQ_1_2"/>
      <w:bookmarkStart w:id="2114" w:name="Tc_lpVSJsJJ9EGCVenBYz406Q_7_8"/>
      <w:bookmarkStart w:id="2115" w:name="Tc_uISbIo6yrE-HR5HB-m2fHA_7_5"/>
      <w:bookmarkStart w:id="2116" w:name="Tc_kwTJqOhbjECCPNFoOS4lTA_7_2"/>
      <w:bookmarkStart w:id="2117" w:name="Tc_y26ZNIJrjEiBBJ1cu58_KA_7_0"/>
      <w:bookmarkStart w:id="2118" w:name="Tc_AqjFhXG0VkKpvumlIFvi4g_6_0"/>
      <w:bookmarkStart w:id="2119" w:name="Tc_PaSRH-sN20aKSdVybvlATw_5_0"/>
      <w:bookmarkStart w:id="2120" w:name="Tc__QNdiknTfEC1J25iXchLEg_4_0"/>
      <w:bookmarkStart w:id="2121" w:name="Tc_qT1Fctk_PUKN3z_GOLs_sg_3_8"/>
      <w:bookmarkStart w:id="2122" w:name="Tc_ITWsyKxbaE-_avmSoMuEGw_3_5"/>
      <w:bookmarkStart w:id="2123" w:name="Tc_N2Rqj5sPGkWi4Z7RSpZ8_g_3_2"/>
      <w:bookmarkStart w:id="2124" w:name="Tc_soGZOz8D2UOCn2adGLnRsg_3_0"/>
      <w:bookmarkStart w:id="2125" w:name="Tc_DeWnIYSZok2R-cwhDyJTFA_2_8"/>
      <w:bookmarkStart w:id="2126" w:name="Tc_2utQccKQGUOGGZT2K16rCA_2_5"/>
      <w:bookmarkStart w:id="2127" w:name="Tc_Bq3LguUegEeSi_m30Olyhg_2_2"/>
      <w:bookmarkStart w:id="2128" w:name="Tc_s_T9LOvuFUatXxMJwZAOOQ_1_8"/>
      <w:bookmarkStart w:id="2129" w:name="Tc_42e84JbwpESEjJpvRG7eIw_1_5"/>
      <w:bookmarkStart w:id="2130" w:name="Tc_l0R4PZOVgUKx4vDGfeylOQ_1_2"/>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p>
    <w:tbl>
      <w:tblPr>
        <w:tblW w:w="9568" w:type="dxa"/>
        <w:jc w:val="left"/>
        <w:tblInd w:w="0" w:type="dxa"/>
        <w:tblLayout w:type="fixed"/>
        <w:tblCellMar>
          <w:top w:w="0" w:type="dxa"/>
          <w:left w:w="0" w:type="dxa"/>
          <w:bottom w:w="0" w:type="dxa"/>
          <w:right w:w="0" w:type="dxa"/>
        </w:tblCellMar>
      </w:tblPr>
      <w:tblGrid>
        <w:gridCol w:w="5776"/>
        <w:gridCol w:w="109"/>
        <w:gridCol w:w="254"/>
        <w:gridCol w:w="886"/>
        <w:gridCol w:w="109"/>
        <w:gridCol w:w="254"/>
        <w:gridCol w:w="886"/>
        <w:gridCol w:w="109"/>
        <w:gridCol w:w="252"/>
        <w:gridCol w:w="933"/>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3667760" cy="175260"/>
                      <wp:effectExtent l="0" t="0" r="0" b="0"/>
                      <wp:wrapNone/>
                      <wp:docPr id="614" name="Frame613"/>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9215" cy="175260"/>
                      <wp:effectExtent l="0" t="0" r="0" b="0"/>
                      <wp:wrapNone/>
                      <wp:docPr id="615" name="Frame6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61290" cy="175260"/>
                      <wp:effectExtent l="0" t="0" r="0" b="0"/>
                      <wp:wrapNone/>
                      <wp:docPr id="616" name="Frame61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562610" cy="175260"/>
                      <wp:effectExtent l="0" t="0" r="0" b="0"/>
                      <wp:wrapNone/>
                      <wp:docPr id="617" name="Frame6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9215" cy="175260"/>
                      <wp:effectExtent l="0" t="0" r="0" b="0"/>
                      <wp:wrapNone/>
                      <wp:docPr id="618" name="Frame6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61290" cy="175260"/>
                      <wp:effectExtent l="0" t="0" r="0" b="0"/>
                      <wp:wrapNone/>
                      <wp:docPr id="619" name="Frame61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562610" cy="175260"/>
                      <wp:effectExtent l="0" t="0" r="0" b="0"/>
                      <wp:wrapNone/>
                      <wp:docPr id="620" name="Frame61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9215" cy="175260"/>
                      <wp:effectExtent l="0" t="0" r="0" b="0"/>
                      <wp:wrapNone/>
                      <wp:docPr id="621" name="Frame6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60020" cy="175260"/>
                      <wp:effectExtent l="0" t="0" r="0" b="0"/>
                      <wp:wrapNone/>
                      <wp:docPr id="622" name="Frame62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592455" cy="175260"/>
                      <wp:effectExtent l="0" t="0" r="0" b="0"/>
                      <wp:wrapNone/>
                      <wp:docPr id="623" name="Frame62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7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45,885</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48,742</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25,088</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New club memberships</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14,322</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11,551</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33,200</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from amounts included in contract liability opening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(12,998)</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(12,791)</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(6,989)</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from current period new memberships</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(2,557)</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year</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45,929</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45,885</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48,742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Remaining performance obligations represent contracted revenue that has not been recognized related to club initiation fees. As of December 31, 2025, remaining performance obligations were $45.9 million, of which the Company expects to recognize as revenue $13.1 million in </w:t>
      </w:r>
      <w:r>
        <w:rPr>
          <w:rFonts w:ascii="Times New Roman;Times;serif" w:hAnsi="Times New Roman;Times;serif"/>
          <w:b w:val="false"/>
          <w:i w:val="false"/>
          <w:caps w:val="false"/>
          <w:smallCaps w:val="false"/>
          <w:sz w:val="20"/>
        </w:rPr>
        <w:t>2026</w:t>
      </w:r>
      <w:r>
        <w:rPr>
          <w:rFonts w:ascii="Times New Roman;Times;serif" w:hAnsi="Times New Roman;Times;serif"/>
          <w:sz w:val="20"/>
        </w:rPr>
        <w:t xml:space="preserve">, $21.4 million in </w:t>
      </w:r>
      <w:r>
        <w:rPr>
          <w:rFonts w:ascii="Times New Roman;Times;serif" w:hAnsi="Times New Roman;Times;serif"/>
          <w:b w:val="false"/>
          <w:i w:val="false"/>
          <w:caps w:val="false"/>
          <w:smallCaps w:val="false"/>
          <w:sz w:val="20"/>
        </w:rPr>
        <w:t>2027 through 2028</w:t>
      </w:r>
      <w:r>
        <w:rPr>
          <w:rFonts w:ascii="Times New Roman;Times;serif" w:hAnsi="Times New Roman;Times;serif"/>
          <w:sz w:val="20"/>
        </w:rPr>
        <w:t xml:space="preserve">, $10.2 million in </w:t>
      </w:r>
      <w:r>
        <w:rPr>
          <w:rFonts w:ascii="Times New Roman;Times;serif" w:hAnsi="Times New Roman;Times;serif"/>
          <w:b w:val="false"/>
          <w:i w:val="false"/>
          <w:caps w:val="false"/>
          <w:smallCaps w:val="false"/>
          <w:sz w:val="20"/>
        </w:rPr>
        <w:t>2029 through 2030</w:t>
      </w:r>
      <w:r>
        <w:rPr>
          <w:rFonts w:ascii="Times New Roman;Times;serif" w:hAnsi="Times New Roman;Times;serif"/>
          <w:sz w:val="20"/>
        </w:rPr>
        <w:t xml:space="preserve"> and $1.2 million thereafter.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deferred revenue as of both December 31, 2025 and 2024, includes $10.9 million related to a 2006 agreement, pursuant to which the Company agreed to sell land to the Florida Department of Transportation. Revenue is recognized when title to a specific parcel is legally transferred.</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131" w:name="Tc_dUaPiei4vUetrDiY-rTDkQ_6_8"/>
      <w:bookmarkStart w:id="2132" w:name="Tc_tycMXgo-H0KiUAUtlr3tng_6_5"/>
      <w:bookmarkStart w:id="2133" w:name="Tc_ZiKpE9koyEiu4_54WdMmFw_6_2"/>
      <w:bookmarkStart w:id="2134" w:name="Tc_LTq63OL4fEmCOuFetdslmQ_6_0"/>
      <w:bookmarkStart w:id="2135" w:name="Tc_iAQkCMRlWkqehqOkWdWJuw_5_0"/>
      <w:bookmarkStart w:id="2136" w:name="Tc_Ti-JVa3SX0enZ5HfTqe-9Q_4_0"/>
      <w:bookmarkStart w:id="2137" w:name="Tc_k3CrVy_JjkyKDwE37uSuwA_3_8"/>
      <w:bookmarkStart w:id="2138" w:name="Tc_eVz1bgNoi0Ocgg27osWcQQ_3_5"/>
      <w:bookmarkStart w:id="2139" w:name="Tc_0IFrlAUbskuU0qeYLw9rpg_3_2"/>
      <w:bookmarkStart w:id="2140" w:name="Tc_c3QLy7luEUik6A_FobmBCA_3_0"/>
      <w:bookmarkStart w:id="2141" w:name="Tc_dT6QZRUVh0-bC9r59MSZuQ_2_8"/>
      <w:bookmarkStart w:id="2142" w:name="Tc_4ztYRi1N8UO9dNwDX9p8sQ_2_5"/>
      <w:bookmarkStart w:id="2143" w:name="Tc_I402uR5RtEymuaIQmQFu5w_2_2"/>
      <w:bookmarkStart w:id="2144" w:name="Tc_3HVSK-rZuESs3OSDwt8YmQ_1_2"/>
      <w:bookmarkStart w:id="2145" w:name="Tc_3GX5hJfh3kOCRx_uKPttLA_11_8"/>
      <w:bookmarkStart w:id="2146" w:name="Tc_LtLzHCdBLEiTLKRGUisioA_11_5"/>
      <w:bookmarkStart w:id="2147" w:name="Tc__FHVaXGLLUCJMfMOfQsW1Q_11_2"/>
      <w:bookmarkStart w:id="2148" w:name="Tc_zK85k3jpL0SygcjUnfF5Wg_11_0"/>
      <w:bookmarkStart w:id="2149" w:name="Tc_8jRnbf7ZcEuORDEbDJDYeA_10_0"/>
      <w:bookmarkStart w:id="2150" w:name="Tc_dt5-WqWjfk-t8jxjKqlotw_9_0"/>
      <w:bookmarkStart w:id="2151" w:name="Tc_xDYs6M7ApEGQC0pX_sIiEA_8_0"/>
      <w:bookmarkStart w:id="2152" w:name="Tc_UV0TR0mj5kCEUNGbGPfpeA_7_0"/>
      <w:bookmarkStart w:id="2153" w:name="Tc_ovZYn-sloEm_8FX3cOlk4A_6_0"/>
      <w:bookmarkStart w:id="2154" w:name="Tc_E6WxGzU3cUS3L8qktSiLvw_5_0"/>
      <w:bookmarkStart w:id="2155" w:name="Tc_wS3R58zEK0Khnv4KeHIFHA_4_8"/>
      <w:bookmarkStart w:id="2156" w:name="Tc_KfegkeOKb06qPe0VZe6RWg_4_5"/>
      <w:bookmarkStart w:id="2157" w:name="Tc_ohIrSUPwhUGzM1M5rbTeuQ_4_2"/>
      <w:bookmarkStart w:id="2158" w:name="Tc_r_dA7w1CY0aQV6Nptu9Z0g_4_0"/>
      <w:bookmarkStart w:id="2159" w:name="Tc_rzx3Uz628k-4wWpS2S-WYw_3_0"/>
      <w:bookmarkStart w:id="2160" w:name="Tc_IKWeaswNg0q6dIf3iYlfQA_2_8"/>
      <w:bookmarkStart w:id="2161" w:name="Tc_Uo-ryIj0y0aU6C8iHjq3yA_2_5"/>
      <w:bookmarkStart w:id="2162" w:name="Tc_ofq4I0ZT40ypZaCxWVqQ1w_2_2"/>
      <w:bookmarkStart w:id="2163" w:name="Tc_nAn3xa8flE-aD8NbJJjQkw_1_2"/>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r>
        <w:rPr>
          <w:rFonts w:ascii="Times New Roman;Times;serif" w:hAnsi="Times New Roman;Times;serif"/>
          <w:b/>
          <w:sz w:val="20"/>
        </w:rPr>
        <w:t>12.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(benefit) consist of the following:</w:t>
      </w:r>
    </w:p>
    <w:p>
      <w:pPr>
        <w:pStyle w:val="TextBody"/>
        <w:bidi w:val="0"/>
        <w:spacing w:before="0" w:after="0"/>
        <w:ind w:left="0" w:right="0" w:hanging="0"/>
        <w:jc w:val="left"/>
        <w:rPr/>
      </w:pPr>
      <w:r>
        <w:rPr/>
        <w:t>​</w:t>
      </w:r>
    </w:p>
    <w:tbl>
      <w:tblPr>
        <w:tblW w:w="5650" w:type="dxa"/>
        <w:jc w:val="left"/>
        <w:tblInd w:w="0" w:type="dxa"/>
        <w:tblLayout w:type="fixed"/>
        <w:tblCellMar>
          <w:top w:w="0" w:type="dxa"/>
          <w:left w:w="0" w:type="dxa"/>
          <w:bottom w:w="0" w:type="dxa"/>
          <w:right w:w="0" w:type="dxa"/>
        </w:tblCellMar>
      </w:tblPr>
      <w:tblGrid>
        <w:gridCol w:w="1771"/>
        <w:gridCol w:w="346"/>
        <w:gridCol w:w="211"/>
        <w:gridCol w:w="691"/>
        <w:gridCol w:w="346"/>
        <w:gridCol w:w="211"/>
        <w:gridCol w:w="676"/>
        <w:gridCol w:w="346"/>
        <w:gridCol w:w="211"/>
        <w:gridCol w:w="84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124585" cy="175260"/>
                      <wp:effectExtent l="0" t="0" r="0" b="0"/>
                      <wp:wrapNone/>
                      <wp:docPr id="624" name="Frame623"/>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19710" cy="175260"/>
                      <wp:effectExtent l="0" t="0" r="0" b="0"/>
                      <wp:wrapNone/>
                      <wp:docPr id="625" name="Frame6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33985" cy="175260"/>
                      <wp:effectExtent l="0" t="0" r="0" b="0"/>
                      <wp:wrapNone/>
                      <wp:docPr id="626" name="Frame6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438785" cy="175260"/>
                      <wp:effectExtent l="0" t="0" r="0" b="0"/>
                      <wp:wrapNone/>
                      <wp:docPr id="627" name="Frame6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19710" cy="175260"/>
                      <wp:effectExtent l="0" t="0" r="0" b="0"/>
                      <wp:wrapNone/>
                      <wp:docPr id="628" name="Frame6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33985" cy="175260"/>
                      <wp:effectExtent l="0" t="0" r="0" b="0"/>
                      <wp:wrapNone/>
                      <wp:docPr id="629" name="Frame6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429260" cy="175260"/>
                      <wp:effectExtent l="0" t="0" r="0" b="0"/>
                      <wp:wrapNone/>
                      <wp:docPr id="630" name="Frame6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19710" cy="175260"/>
                      <wp:effectExtent l="0" t="0" r="0" b="0"/>
                      <wp:wrapNone/>
                      <wp:docPr id="631" name="Frame6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33985" cy="175260"/>
                      <wp:effectExtent l="0" t="0" r="0" b="0"/>
                      <wp:wrapNone/>
                      <wp:docPr id="632" name="Frame6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534035" cy="175260"/>
                      <wp:effectExtent l="0" t="0" r="0" b="0"/>
                      <wp:wrapNone/>
                      <wp:docPr id="633" name="Frame63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32,103</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4,584</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36,687</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(11,413)</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(10,678)</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39,231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26,009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Total income tax expense (benefit) was allocated in the consolidated financial statements as follows:</w:t>
      </w:r>
    </w:p>
    <w:p>
      <w:pPr>
        <w:pStyle w:val="TextBody"/>
        <w:bidi w:val="0"/>
        <w:spacing w:before="0" w:after="0"/>
        <w:ind w:left="0" w:right="0" w:hanging="0"/>
        <w:jc w:val="left"/>
        <w:rPr/>
      </w:pPr>
      <w:r>
        <w:rPr/>
        <w:t>​</w:t>
      </w:r>
    </w:p>
    <w:tbl>
      <w:tblPr>
        <w:tblW w:w="9250" w:type="dxa"/>
        <w:jc w:val="left"/>
        <w:tblInd w:w="0" w:type="dxa"/>
        <w:tblLayout w:type="fixed"/>
        <w:tblCellMar>
          <w:top w:w="0" w:type="dxa"/>
          <w:left w:w="0" w:type="dxa"/>
          <w:bottom w:w="0" w:type="dxa"/>
          <w:right w:w="0" w:type="dxa"/>
        </w:tblCellMar>
      </w:tblPr>
      <w:tblGrid>
        <w:gridCol w:w="5446"/>
        <w:gridCol w:w="346"/>
        <w:gridCol w:w="211"/>
        <w:gridCol w:w="676"/>
        <w:gridCol w:w="346"/>
        <w:gridCol w:w="211"/>
        <w:gridCol w:w="676"/>
        <w:gridCol w:w="346"/>
        <w:gridCol w:w="211"/>
        <w:gridCol w:w="781"/>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3458210" cy="175260"/>
                      <wp:effectExtent l="0" t="0" r="0" b="0"/>
                      <wp:wrapNone/>
                      <wp:docPr id="634" name="Frame633"/>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19710" cy="175260"/>
                      <wp:effectExtent l="0" t="0" r="0" b="0"/>
                      <wp:wrapNone/>
                      <wp:docPr id="635" name="Frame6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33985" cy="175260"/>
                      <wp:effectExtent l="0" t="0" r="0" b="0"/>
                      <wp:wrapNone/>
                      <wp:docPr id="636" name="Frame6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429260" cy="175260"/>
                      <wp:effectExtent l="0" t="0" r="0" b="0"/>
                      <wp:wrapNone/>
                      <wp:docPr id="637" name="Frame6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19710" cy="175260"/>
                      <wp:effectExtent l="0" t="0" r="0" b="0"/>
                      <wp:wrapNone/>
                      <wp:docPr id="638" name="Frame6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33985" cy="175260"/>
                      <wp:effectExtent l="0" t="0" r="0" b="0"/>
                      <wp:wrapNone/>
                      <wp:docPr id="639" name="Frame6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29260" cy="175260"/>
                      <wp:effectExtent l="0" t="0" r="0" b="0"/>
                      <wp:wrapNone/>
                      <wp:docPr id="640" name="Frame6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19710" cy="175260"/>
                      <wp:effectExtent l="0" t="0" r="0" b="0"/>
                      <wp:wrapNone/>
                      <wp:docPr id="641" name="Frame6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33985" cy="175260"/>
                      <wp:effectExtent l="0" t="0" r="0" b="0"/>
                      <wp:wrapNone/>
                      <wp:docPr id="642" name="Frame6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495935" cy="175260"/>
                      <wp:effectExtent l="0" t="0" r="0" b="0"/>
                      <wp:wrapNone/>
                      <wp:docPr id="643" name="Frame6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26,009</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recorded in 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38,951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25,810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164" w:name="Tc_Jhqu2lMWBkWFq88RMcvnRw_17_5"/>
      <w:bookmarkStart w:id="2165" w:name="Tc_paOAvm4LikCvCTFKGQQXcQ_17_2"/>
      <w:bookmarkStart w:id="2166" w:name="Tc_2K_qJmMpX02NbNGXhcbCOQ_17_0"/>
      <w:bookmarkStart w:id="2167" w:name="Tc_69gqPBSn-EarfP_4259dlA_16_0"/>
      <w:bookmarkStart w:id="2168" w:name="Tc_PP3tHb3_jkuGtZrnNt70wA_15_0"/>
      <w:bookmarkStart w:id="2169" w:name="Tc_vhrCF-1dEEiSxCPJDAG_aQ_14_0"/>
      <w:bookmarkStart w:id="2170" w:name="Tc_XUIvSXGOTk6X3_gGbDWbSg_13_0"/>
      <w:bookmarkStart w:id="2171" w:name="Tc_KnhHf6RNmUCizXu3u_yNNg_12_0"/>
      <w:bookmarkStart w:id="2172" w:name="Tc_pwN3LEpGtkKxMHxCmdPMcw_11_0"/>
      <w:bookmarkStart w:id="2173" w:name="Tc_i6uerzh5Yku2qCZldtVLkg_10_0"/>
      <w:bookmarkStart w:id="2174" w:name="Tc_crjV9FHWk0ymPOXStw0kVg_9_0"/>
      <w:bookmarkStart w:id="2175" w:name="Tc_gCA6AuyAdkOnrt_rtyCTcw_8_0"/>
      <w:bookmarkStart w:id="2176" w:name="Tc_Nb7UlmBI0EiKD20J5zYjmA_7_0"/>
      <w:bookmarkStart w:id="2177" w:name="Tc_FRXjcvufGEWe8yI2uNXXyw_6_0"/>
      <w:bookmarkStart w:id="2178" w:name="Tc_irdoPdd8bEmv91lXu-ITtA_5_0"/>
      <w:bookmarkStart w:id="2179" w:name="Tc_qx1eUobw9UOyRzIga8Brow_4_5"/>
      <w:bookmarkStart w:id="2180" w:name="Tc_olGrNsREEkecr4QBu0MEGQ_4_2"/>
      <w:bookmarkStart w:id="2181" w:name="Tc_d58bLEwBFk-qe5cQ2DjDOA_4_0"/>
      <w:bookmarkStart w:id="2182" w:name="Tc_kxAi57qFM0azhzAZC_SZ7g_3_0"/>
      <w:bookmarkStart w:id="2183" w:name="Tc_I1OxDb6jsUuboRkOrRz8iQ_2_5"/>
      <w:bookmarkStart w:id="2184" w:name="Tc_U_iSOJR_DEu9FqA9OQy4tg_2_2"/>
      <w:bookmarkStart w:id="2185" w:name="Tc_-XlhAqXVcEK6dAd4APFaqw_1_5"/>
      <w:bookmarkStart w:id="2186" w:name="Tc_Rc8p7R7GQkeh2_uZ1866mg_1_2"/>
      <w:bookmarkStart w:id="2187" w:name="_17ba0666_ab62_4211_aa69_aac774da40ae"/>
      <w:bookmarkStart w:id="2188" w:name="_d423b610_a4ea_4863_ada6_a794cca34886_4"/>
      <w:bookmarkStart w:id="2189" w:name="_d423b610_a4ea_4863_ada6_a794cca34886_3"/>
      <w:bookmarkStart w:id="2190" w:name="_d423b610_a4ea_4863_ada6_a794cca34886_2"/>
      <w:bookmarkStart w:id="2191" w:name="_d423b610_a4ea_4863_ada6_a794cca34886"/>
      <w:bookmarkStart w:id="2192" w:name="Tc_2Bw61fh-qEKl9I5xCqGj3w_9_18"/>
      <w:bookmarkStart w:id="2193" w:name="Tc_-Y7CUH3OB02-oSRcpbKkYw_9_14"/>
      <w:bookmarkStart w:id="2194" w:name="Tc_YgtOPTCH_UiozPlE-pu_9Q_9_12"/>
      <w:bookmarkStart w:id="2195" w:name="Tc_wCn5uWL0FU6VQhuLm5XhGw_9_8"/>
      <w:bookmarkStart w:id="2196" w:name="Tc_RUKlnRtqJ0qo8BRRc7_Gdg_9_6"/>
      <w:bookmarkStart w:id="2197" w:name="Tc_8d25uMAA_k-Sc0H611RHqg_9_2"/>
      <w:bookmarkStart w:id="2198" w:name="Tc__Dc-lZX8S0mgiy5jvZ0I2Q_9_0"/>
      <w:bookmarkStart w:id="2199" w:name="Tc_I0LaU3hO2kyb9kNjQpuUSA_8_18"/>
      <w:bookmarkStart w:id="2200" w:name="Tc_8sPDQLDRCUuhH5kIn_8cYA_8_12"/>
      <w:bookmarkStart w:id="2201" w:name="Tc_aW6Q6_GAcE2KAqH77Xc9HQ_8_6"/>
      <w:bookmarkStart w:id="2202" w:name="Tc_AOInEpUI_EyHAqgl5sRSxw_8_0"/>
      <w:bookmarkStart w:id="2203" w:name="Tc_3ShdJ9jE2k2xgz7ylipIKQ_7_18"/>
      <w:bookmarkStart w:id="2204" w:name="Tc_Tcalt6W4XUqxfDBzSWba0w_7_12"/>
      <w:bookmarkStart w:id="2205" w:name="Tc_ay1mop-0_EKkvSfQ-ShYCA_7_6"/>
      <w:bookmarkStart w:id="2206" w:name="Tc__BmFowt7sEKxkn-ALp-ekw_7_0"/>
      <w:bookmarkStart w:id="2207" w:name="Tc_3rAlsBfPDEKLmKNc21Rc7w_6_18"/>
      <w:bookmarkStart w:id="2208" w:name="Tc_iciBDwLI0k-Qx8xVgpQKAg_6_17"/>
      <w:bookmarkStart w:id="2209" w:name="Tc_B2271gJFhkuWaOOl1njy1A_6_12"/>
      <w:bookmarkStart w:id="2210" w:name="Tc_YHTM1ffWzkeiimX7o6Nkqw_6_6"/>
      <w:bookmarkStart w:id="2211" w:name="Tc_5dTg2Sj7s0SK1lCCJU3Tcg_6_5"/>
      <w:bookmarkStart w:id="2212" w:name="Tc_U5PEUc2zA0SVu8N3LmMEiw_6_3"/>
      <w:bookmarkStart w:id="2213" w:name="Tc_al7T7-RhKkuEO18Ae7xueA_6_0"/>
      <w:bookmarkStart w:id="2214" w:name="Tc_19k2I3sZfECr8THa5ZkVKw_5_18"/>
      <w:bookmarkStart w:id="2215" w:name="Tc_8kqwzVZawke60mVGKv8FGw_5_12"/>
      <w:bookmarkStart w:id="2216" w:name="Tc_WUhJPQ-QCUyAN7oPyK9vDA_5_11"/>
      <w:bookmarkStart w:id="2217" w:name="Tc__qFmRJSqWk6ynv_yEY3Sjg_5_9"/>
      <w:bookmarkStart w:id="2218" w:name="Tc_7zLadPt15EWEFheRxAyqTw_5_6"/>
      <w:bookmarkStart w:id="2219" w:name="Tc_0ECRQ5_RREmRfWkwc-Wh_Q_5_5"/>
      <w:bookmarkStart w:id="2220" w:name="Tc_p9IIfWMzIEKw9xWziVSfhQ_5_3"/>
      <w:bookmarkStart w:id="2221" w:name="Tc_KCkb7JyJHESwwMS7pceHCw_5_0"/>
      <w:bookmarkStart w:id="2222" w:name="Tc_yw_ybifa80-lsrqIvyPCbA_4_18"/>
      <w:bookmarkStart w:id="2223" w:name="Tc_H7JiZh-KvUKnpbpl5sFelg_4_12"/>
      <w:bookmarkStart w:id="2224" w:name="Tc_NGH783LCuUyjCVkB033Wgg_4_6"/>
      <w:bookmarkStart w:id="2225" w:name="Tc_2-2_6mRI_UKZNrW1Kn-fEQ_4_0"/>
      <w:bookmarkStart w:id="2226" w:name="Tc_KtTvk4ww3UGDDNT87LJhzg_3_18"/>
      <w:bookmarkStart w:id="2227" w:name="Tc_1gxPN18T3UqND9Qkc5rhvw_3_14"/>
      <w:bookmarkStart w:id="2228" w:name="Tc_BnJQ0b-zm0OVuGGdEJVfeQ_3_12"/>
      <w:bookmarkStart w:id="2229" w:name="Tc_3UTuMJenPkq8h5FXq2z14A_3_8"/>
      <w:bookmarkStart w:id="2230" w:name="Tc_OTkfrZxAS0eERW3kTdJVmA_3_6"/>
      <w:bookmarkStart w:id="2231" w:name="Tc_6XzpGs7o0UCm9VTQG-lLBg_3_2"/>
      <w:bookmarkStart w:id="2232" w:name="Tc_9H_RFMq1JEKIsc3g_H7DBQ_3_0"/>
      <w:bookmarkStart w:id="2233" w:name="Tc_sBJSOMXLjEWPzlpOD4yXuQ_2_14"/>
      <w:bookmarkStart w:id="2234" w:name="Tc_ij3sGUEQXkSODWYlBo5B3w_2_8"/>
      <w:bookmarkStart w:id="2235" w:name="Tc_AYqSqzhR5kqBgMgY0n8pHw_2_2"/>
      <w:bookmarkStart w:id="2236" w:name="Tc_Dj9kpc5y2Em3ya2Bww-S4w_1_2"/>
      <w:bookmarkStart w:id="2237" w:name="_a170c3a4_efef_4faf_94f5_193cd31bf042"/>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r>
        <w:rPr>
          <w:rFonts w:ascii="Times New Roman;Times;serif" w:hAnsi="Times New Roman;Times;serif"/>
          <w:sz w:val="20"/>
        </w:rPr>
        <w:t>Income tax expense (benefit) attributable to income from operations differed from the amount computed by applying the statutory federal income tax rate of 21% as of December 31, 2025, 2024 and 2023 to pre-tax income as a result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04"/>
        <w:gridCol w:w="346"/>
        <w:gridCol w:w="211"/>
        <w:gridCol w:w="676"/>
        <w:gridCol w:w="109"/>
        <w:gridCol w:w="475"/>
        <w:gridCol w:w="301"/>
        <w:gridCol w:w="346"/>
        <w:gridCol w:w="211"/>
        <w:gridCol w:w="676"/>
        <w:gridCol w:w="109"/>
        <w:gridCol w:w="475"/>
        <w:gridCol w:w="301"/>
        <w:gridCol w:w="346"/>
        <w:gridCol w:w="211"/>
        <w:gridCol w:w="676"/>
        <w:gridCol w:w="109"/>
        <w:gridCol w:w="475"/>
        <w:gridCol w:w="348"/>
      </w:tblGrid>
      <w:tr>
        <w:trPr/>
        <w:tc>
          <w:tcPr>
            <w:tcW w:w="3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415540" cy="175260"/>
                      <wp:effectExtent l="0" t="0" r="0" b="0"/>
                      <wp:wrapNone/>
                      <wp:docPr id="644" name="Frame643"/>
                      <a:graphic xmlns:a="http://schemas.openxmlformats.org/drawingml/2006/main">
                        <a:graphicData uri="http://schemas.microsoft.com/office/word/2010/wordprocessingShape">
                          <wps:wsp>
                            <wps:cNvSpPr txBox="1"/>
                            <wps:spPr>
                              <a:xfrm>
                                <a:off x="0" y="0"/>
                                <a:ext cx="2415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19710" cy="175260"/>
                      <wp:effectExtent l="0" t="0" r="0" b="0"/>
                      <wp:wrapNone/>
                      <wp:docPr id="645" name="Frame6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133985" cy="175260"/>
                      <wp:effectExtent l="0" t="0" r="0" b="0"/>
                      <wp:wrapNone/>
                      <wp:docPr id="646" name="Frame6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429260" cy="175260"/>
                      <wp:effectExtent l="0" t="0" r="0" b="0"/>
                      <wp:wrapNone/>
                      <wp:docPr id="647" name="Frame6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9215" cy="175260"/>
                      <wp:effectExtent l="0" t="0" r="0" b="0"/>
                      <wp:wrapNone/>
                      <wp:docPr id="648" name="Frame6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301625" cy="175260"/>
                      <wp:effectExtent l="0" t="0" r="0" b="0"/>
                      <wp:wrapNone/>
                      <wp:docPr id="649" name="Frame648"/>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91135" cy="175260"/>
                      <wp:effectExtent l="0" t="0" r="0" b="0"/>
                      <wp:wrapNone/>
                      <wp:docPr id="650" name="Frame64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19710" cy="175260"/>
                      <wp:effectExtent l="0" t="0" r="0" b="0"/>
                      <wp:wrapNone/>
                      <wp:docPr id="651" name="Frame6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133985" cy="175260"/>
                      <wp:effectExtent l="0" t="0" r="0" b="0"/>
                      <wp:wrapNone/>
                      <wp:docPr id="652" name="Frame6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429260" cy="175260"/>
                      <wp:effectExtent l="0" t="0" r="0" b="0"/>
                      <wp:wrapNone/>
                      <wp:docPr id="653" name="Frame6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9215" cy="175260"/>
                      <wp:effectExtent l="0" t="0" r="0" b="0"/>
                      <wp:wrapNone/>
                      <wp:docPr id="654" name="Frame6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301625" cy="175260"/>
                      <wp:effectExtent l="0" t="0" r="0" b="0"/>
                      <wp:wrapNone/>
                      <wp:docPr id="655" name="Frame654"/>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191135" cy="175260"/>
                      <wp:effectExtent l="0" t="0" r="0" b="0"/>
                      <wp:wrapNone/>
                      <wp:docPr id="656" name="Frame65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19710" cy="175260"/>
                      <wp:effectExtent l="0" t="0" r="0" b="0"/>
                      <wp:wrapNone/>
                      <wp:docPr id="657" name="Frame6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33985" cy="175260"/>
                      <wp:effectExtent l="0" t="0" r="0" b="0"/>
                      <wp:wrapNone/>
                      <wp:docPr id="658" name="Frame6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429260" cy="175260"/>
                      <wp:effectExtent l="0" t="0" r="0" b="0"/>
                      <wp:wrapNone/>
                      <wp:docPr id="659" name="Frame6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9215" cy="175260"/>
                      <wp:effectExtent l="0" t="0" r="0" b="0"/>
                      <wp:wrapNone/>
                      <wp:docPr id="660" name="Frame6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301625" cy="175260"/>
                      <wp:effectExtent l="0" t="0" r="0" b="0"/>
                      <wp:wrapNone/>
                      <wp:docPr id="661" name="Frame660"/>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20980" cy="175260"/>
                      <wp:effectExtent l="0" t="0" r="0" b="0"/>
                      <wp:wrapNone/>
                      <wp:docPr id="662" name="Frame661"/>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07"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48" w:type="dxa"/>
            <w:tcBorders/>
            <w:vAlign w:val="center"/>
          </w:tcPr>
          <w:p>
            <w:pPr>
              <w:pStyle w:val="TableContents"/>
              <w:bidi w:val="0"/>
              <w:spacing w:before="0" w:after="0"/>
              <w:ind w:left="0" w:right="0" w:hanging="0"/>
              <w:jc w:val="left"/>
              <w:rPr/>
            </w:pPr>
            <w:r>
              <w:rPr/>
              <w:t>​</w:t>
            </w:r>
          </w:p>
        </w:tc>
      </w:tr>
      <w:tr>
        <w:trPr/>
        <w:tc>
          <w:tcPr>
            <w:tcW w:w="38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7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7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7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8" w:type="dxa"/>
            <w:tcBorders/>
            <w:vAlign w:val="center"/>
          </w:tcPr>
          <w:p>
            <w:pPr>
              <w:pStyle w:val="TableContents"/>
              <w:bidi w:val="0"/>
              <w:spacing w:before="0" w:after="0"/>
              <w:ind w:left="0" w:right="0" w:hanging="0"/>
              <w:jc w:val="left"/>
              <w:rPr/>
            </w:pPr>
            <w:r>
              <w:rPr/>
              <w:t>​</w:t>
            </w:r>
          </w:p>
        </w:tc>
      </w:tr>
      <w:tr>
        <w:trPr/>
        <w:tc>
          <w:tcPr>
            <w:tcW w:w="38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32,574</w:t>
            </w:r>
          </w:p>
        </w:tc>
        <w:tc>
          <w:tcPr>
            <w:tcW w:w="109"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20,653</w:t>
            </w:r>
          </w:p>
        </w:tc>
        <w:tc>
          <w:tcPr>
            <w:tcW w:w="109"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21,781</w:t>
            </w:r>
          </w:p>
        </w:tc>
        <w:tc>
          <w:tcPr>
            <w:tcW w:w="109" w:type="dxa"/>
            <w:tcBorders/>
            <w:shd w:fill="CCEEFF" w:val="clear"/>
            <w:vAlign w:val="center"/>
          </w:tcPr>
          <w:p>
            <w:pPr>
              <w:pStyle w:val="TableContents"/>
              <w:bidi w:val="0"/>
              <w:spacing w:before="0" w:after="0"/>
              <w:ind w:left="0" w:right="0" w:hanging="0"/>
              <w:jc w:val="left"/>
              <w:rPr/>
            </w:pPr>
            <w:r>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0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State and local income taxes, net of federal income tax effect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6,775</w:t>
            </w:r>
          </w:p>
        </w:tc>
        <w:tc>
          <w:tcPr>
            <w:tcW w:w="109"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4,497</w:t>
            </w:r>
          </w:p>
        </w:tc>
        <w:tc>
          <w:tcPr>
            <w:tcW w:w="109"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4,223</w:t>
            </w:r>
          </w:p>
        </w:tc>
        <w:tc>
          <w:tcPr>
            <w:tcW w:w="109" w:type="dxa"/>
            <w:tcBorders/>
            <w:vAlign w:val="center"/>
          </w:tcPr>
          <w:p>
            <w:pPr>
              <w:pStyle w:val="TableContents"/>
              <w:bidi w:val="0"/>
              <w:spacing w:before="0" w:after="0"/>
              <w:ind w:left="0" w:right="0" w:hanging="0"/>
              <w:jc w:val="left"/>
              <w:rPr/>
            </w:pPr>
            <w:r>
              <w:rPr/>
              <w:t>​</w:t>
            </w:r>
          </w:p>
        </w:tc>
        <w:tc>
          <w:tcPr>
            <w:tcW w:w="4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related 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109" w:type="dxa"/>
            <w:tcBorders/>
            <w:shd w:fill="CCEEFF" w:val="clear"/>
            <w:vAlign w:val="center"/>
          </w:tcPr>
          <w:p>
            <w:pPr>
              <w:pStyle w:val="TableContents"/>
              <w:bidi w:val="0"/>
              <w:spacing w:before="0" w:after="0"/>
              <w:ind w:left="0" w:right="0" w:hanging="0"/>
              <w:jc w:val="left"/>
              <w:rPr/>
            </w:pPr>
            <w:r>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0"/>
              <w:ind w:left="0" w:right="0" w:hanging="0"/>
              <w:jc w:val="left"/>
              <w:rPr/>
            </w:pPr>
            <w:r>
              <w:rPr/>
              <w:t>​</w:t>
            </w:r>
          </w:p>
        </w:tc>
        <w:tc>
          <w:tcPr>
            <w:tcW w:w="475"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109"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109"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109" w:type="dxa"/>
            <w:tcBorders/>
            <w:shd w:fill="CCEEFF" w:val="clear"/>
            <w:vAlign w:val="center"/>
          </w:tcPr>
          <w:p>
            <w:pPr>
              <w:pStyle w:val="TableContents"/>
              <w:bidi w:val="0"/>
              <w:spacing w:before="0" w:after="0"/>
              <w:ind w:left="0" w:right="0" w:hanging="0"/>
              <w:jc w:val="left"/>
              <w:rPr/>
            </w:pPr>
            <w:r>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109" w:type="dxa"/>
            <w:tcBorders/>
            <w:vAlign w:val="center"/>
          </w:tcPr>
          <w:p>
            <w:pPr>
              <w:pStyle w:val="TableContents"/>
              <w:bidi w:val="0"/>
              <w:spacing w:before="0" w:after="0"/>
              <w:ind w:left="0" w:right="0" w:hanging="0"/>
              <w:jc w:val="right"/>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109" w:type="dxa"/>
            <w:tcBorders/>
            <w:vAlign w:val="center"/>
          </w:tcPr>
          <w:p>
            <w:pPr>
              <w:pStyle w:val="TableContents"/>
              <w:bidi w:val="0"/>
              <w:spacing w:before="0" w:after="0"/>
              <w:ind w:left="0" w:right="0" w:hanging="0"/>
              <w:jc w:val="right"/>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109" w:type="dxa"/>
            <w:tcBorders/>
            <w:vAlign w:val="center"/>
          </w:tcPr>
          <w:p>
            <w:pPr>
              <w:pStyle w:val="TableContents"/>
              <w:bidi w:val="0"/>
              <w:spacing w:before="0" w:after="0"/>
              <w:ind w:left="0" w:right="0" w:hanging="0"/>
              <w:jc w:val="left"/>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0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39,231</w:t>
            </w:r>
          </w:p>
        </w:tc>
        <w:tc>
          <w:tcPr>
            <w:tcW w:w="109" w:type="dxa"/>
            <w:tcBorders/>
            <w:shd w:fill="CCEEFF" w:val="clear"/>
            <w:vAlign w:val="center"/>
          </w:tcPr>
          <w:p>
            <w:pPr>
              <w:pStyle w:val="TableContents"/>
              <w:bidi w:val="0"/>
              <w:spacing w:before="0" w:after="0"/>
              <w:ind w:left="0" w:right="0" w:hanging="0"/>
              <w:jc w:val="right"/>
              <w:rPr/>
            </w:pPr>
            <w:r>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25,952</w:t>
            </w:r>
          </w:p>
        </w:tc>
        <w:tc>
          <w:tcPr>
            <w:tcW w:w="109" w:type="dxa"/>
            <w:tcBorders/>
            <w:shd w:fill="CCEEFF" w:val="clear"/>
            <w:vAlign w:val="center"/>
          </w:tcPr>
          <w:p>
            <w:pPr>
              <w:pStyle w:val="TableContents"/>
              <w:bidi w:val="0"/>
              <w:spacing w:before="0" w:after="0"/>
              <w:ind w:left="0" w:right="0" w:hanging="0"/>
              <w:jc w:val="right"/>
              <w:rPr/>
            </w:pPr>
            <w:r>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26,009</w:t>
            </w:r>
          </w:p>
        </w:tc>
        <w:tc>
          <w:tcPr>
            <w:tcW w:w="109" w:type="dxa"/>
            <w:tcBorders/>
            <w:shd w:fill="CCEEFF" w:val="clear"/>
            <w:vAlign w:val="center"/>
          </w:tcPr>
          <w:p>
            <w:pPr>
              <w:pStyle w:val="TableContents"/>
              <w:bidi w:val="0"/>
              <w:spacing w:before="0" w:after="0"/>
              <w:ind w:left="0" w:right="0" w:hanging="0"/>
              <w:jc w:val="left"/>
              <w:rPr/>
            </w:pPr>
            <w:r>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5792" w:type="dxa"/>
        <w:jc w:val="left"/>
        <w:tblInd w:w="0" w:type="dxa"/>
        <w:tblLayout w:type="fixed"/>
        <w:tblCellMar>
          <w:top w:w="0" w:type="dxa"/>
          <w:left w:w="0" w:type="dxa"/>
          <w:bottom w:w="0" w:type="dxa"/>
          <w:right w:w="0" w:type="dxa"/>
        </w:tblCellMar>
      </w:tblPr>
      <w:tblGrid>
        <w:gridCol w:w="316"/>
        <w:gridCol w:w="547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4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State taxes in Florida make up the majority of the tax effect in this category.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tax effects of temporary differences that give rise to significant portions of deferred tax assets and deferred tax liabilities are presented below:</w:t>
      </w:r>
    </w:p>
    <w:p>
      <w:pPr>
        <w:pStyle w:val="TextBody"/>
        <w:bidi w:val="0"/>
        <w:spacing w:before="0" w:after="0"/>
        <w:ind w:left="0" w:right="0" w:hanging="0"/>
        <w:jc w:val="left"/>
        <w:rPr/>
      </w:pPr>
      <w:r>
        <w:rPr/>
        <w:t>​</w:t>
      </w:r>
    </w:p>
    <w:tbl>
      <w:tblPr>
        <w:tblW w:w="8823" w:type="dxa"/>
        <w:jc w:val="left"/>
        <w:tblInd w:w="0" w:type="dxa"/>
        <w:tblLayout w:type="fixed"/>
        <w:tblCellMar>
          <w:top w:w="0" w:type="dxa"/>
          <w:left w:w="0" w:type="dxa"/>
          <w:bottom w:w="0" w:type="dxa"/>
          <w:right w:w="0" w:type="dxa"/>
        </w:tblCellMar>
      </w:tblPr>
      <w:tblGrid>
        <w:gridCol w:w="5806"/>
        <w:gridCol w:w="346"/>
        <w:gridCol w:w="242"/>
        <w:gridCol w:w="898"/>
        <w:gridCol w:w="346"/>
        <w:gridCol w:w="241"/>
        <w:gridCol w:w="944"/>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3686810" cy="175260"/>
                      <wp:effectExtent l="0" t="0" r="0" b="0"/>
                      <wp:wrapNone/>
                      <wp:docPr id="663" name="Frame662"/>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19710" cy="175260"/>
                      <wp:effectExtent l="0" t="0" r="0" b="0"/>
                      <wp:wrapNone/>
                      <wp:docPr id="664" name="Frame6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153670" cy="175260"/>
                      <wp:effectExtent l="0" t="0" r="0" b="0"/>
                      <wp:wrapNone/>
                      <wp:docPr id="665" name="Frame66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570230" cy="175260"/>
                      <wp:effectExtent l="0" t="0" r="0" b="0"/>
                      <wp:wrapNone/>
                      <wp:docPr id="666" name="Frame66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19710" cy="175260"/>
                      <wp:effectExtent l="0" t="0" r="0" b="0"/>
                      <wp:wrapNone/>
                      <wp:docPr id="667" name="Frame6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153035" cy="175260"/>
                      <wp:effectExtent l="0" t="0" r="0" b="0"/>
                      <wp:wrapNone/>
                      <wp:docPr id="668" name="Frame66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599440" cy="175260"/>
                      <wp:effectExtent l="0" t="0" r="0" b="0"/>
                      <wp:wrapNone/>
                      <wp:docPr id="669" name="Frame668"/>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  ​</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21,823</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22,388</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13,841</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13,003</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4,014</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Reserves and accruals</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deferred tax assets</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45,205</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44,963</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pPr>
            <w:r>
              <w:rPr/>
              <w:t>  ​</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real estate and property and equipment basis differences</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25,619</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31,104</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gain on land sales and involuntary conversions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35,322</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35,875</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Installment sales</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45,597</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45,597</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deferred tax liabilities</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109,008</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115,846</w:t>
            </w:r>
          </w:p>
        </w:tc>
      </w:tr>
      <w:tr>
        <w:trPr/>
        <w:tc>
          <w:tcPr>
            <w:tcW w:w="58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Net deferred tax liabilities</w:t>
            </w:r>
            <w:r>
              <w:rPr>
                <w:rFonts w:ascii="Times New Roman;Times;serif" w:hAnsi="Times New Roman;Times;serif"/>
                <w:sz w:val="20"/>
              </w:rPr>
              <w:t xml:space="preserve"> </w:t>
            </w:r>
            <w:r>
              <w:rPr>
                <w:rFonts w:ascii="Times New Roman;Times;serif" w:hAnsi="Times New Roman;Times;serif"/>
                <w:b/>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(63,803)</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(70,883)</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As of December 31, 2025 and 2024, net deferred tax liabilities consist of $65.9</w:t>
            </w:r>
            <w:r>
              <w:rPr>
                <w:caps w:val="false"/>
                <w:smallCaps w:val="false"/>
              </w:rPr>
              <w:t xml:space="preserve"> </w:t>
            </w:r>
            <w:r>
              <w:rPr>
                <w:rFonts w:ascii="Times New Roman;Times;serif" w:hAnsi="Times New Roman;Times;serif"/>
                <w:b w:val="false"/>
                <w:i w:val="false"/>
                <w:caps w:val="false"/>
                <w:smallCaps w:val="false"/>
                <w:sz w:val="18"/>
              </w:rPr>
              <w:t>million and $72.4</w:t>
            </w:r>
            <w:r>
              <w:rPr>
                <w:caps w:val="false"/>
                <w:smallCaps w:val="false"/>
              </w:rPr>
              <w:t xml:space="preserve"> </w:t>
            </w:r>
            <w:r>
              <w:rPr>
                <w:rFonts w:ascii="Times New Roman;Times;serif" w:hAnsi="Times New Roman;Times;serif"/>
                <w:b w:val="false"/>
                <w:i w:val="false"/>
                <w:caps w:val="false"/>
                <w:smallCaps w:val="false"/>
                <w:sz w:val="18"/>
              </w:rPr>
              <w:t>million, respectively, included within deferred tax liabilities, net on the consolidated balance sheets and $2.1</w:t>
            </w:r>
            <w:r>
              <w:rPr>
                <w:caps w:val="false"/>
                <w:smallCaps w:val="false"/>
              </w:rPr>
              <w:t xml:space="preserve"> </w:t>
            </w:r>
            <w:r>
              <w:rPr>
                <w:rFonts w:ascii="Times New Roman;Times;serif" w:hAnsi="Times New Roman;Times;serif"/>
                <w:b w:val="false"/>
                <w:i w:val="false"/>
                <w:caps w:val="false"/>
                <w:smallCaps w:val="false"/>
                <w:sz w:val="18"/>
              </w:rPr>
              <w:t>million and $1.5</w:t>
            </w:r>
            <w:r>
              <w:rPr>
                <w:caps w:val="false"/>
                <w:smallCaps w:val="false"/>
              </w:rPr>
              <w:t xml:space="preserve"> </w:t>
            </w:r>
            <w:r>
              <w:rPr>
                <w:rFonts w:ascii="Times New Roman;Times;serif" w:hAnsi="Times New Roman;Times;serif"/>
                <w:b w:val="false"/>
                <w:i w:val="false"/>
                <w:caps w:val="false"/>
                <w:smallCaps w:val="false"/>
                <w:sz w:val="18"/>
              </w:rPr>
              <w:t xml:space="preserve">million, respectively, deferred tax asset, net related to the Company’s QOF entity included within other assets on the consolidated balance sheets. </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and 2024, the Company had $9.5 million and $9.1 million, respectively, of federal NOLs. The federal NOLs are specific to the Company’s QOF entity and do not expire. As of December 31, 2025 and 2024, the Company had state NOLs of $5.8 million and $4.0 million, respectively. The majority of these state NOLs are available to offset future taxable income through 2044 and will begin expiring in 2040. As of December 31, 2023, the Company’s valuation allowance was $0.3 million against approximately $7.2 million of certain state NOLs. During 2024, the Company utilized these NOLs and released this valuation allowance. As of December 31, 2025 and 2024, the Company had income tax payable of $2.1 million and $1.8 million, respectively, included within accounts payable and other liabilities on the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238" w:name="Tc_vg5GQIPxmUqhenzsKoVShA_6_8"/>
      <w:bookmarkStart w:id="2239" w:name="Tc_EFHbF_X-TEyOjwpDXoSiyQ_6_5"/>
      <w:bookmarkStart w:id="2240" w:name="Tc_-Scmf_vruk6ce8qOs2j2Og_6_2"/>
      <w:bookmarkStart w:id="2241" w:name="Tc_hlANxrcim0y4ihRV_v0qMg_6_0"/>
      <w:bookmarkStart w:id="2242" w:name="Tc_RyYbY0AMokCcFfGFSzZ0BA_5_6"/>
      <w:bookmarkStart w:id="2243" w:name="Tc_kZZG1IwsgkGu_bPKoK2IwQ_5_3"/>
      <w:bookmarkStart w:id="2244" w:name="Tc_w45hZKPONk294vcK79mDZw_5_0"/>
      <w:bookmarkStart w:id="2245" w:name="Tc_3qhI3VpG0Eu0kHwkeTApeA_4_0"/>
      <w:bookmarkStart w:id="2246" w:name="Tc_0nzZ_OU0l0KwJKNUQLTY9w_3_8"/>
      <w:bookmarkStart w:id="2247" w:name="Tc_Cyg_ibQzS0e2i6b52o-jpw_3_5"/>
      <w:bookmarkStart w:id="2248" w:name="Tc_LWNhe9R36UGGmG64zpXfJw_3_2"/>
      <w:bookmarkStart w:id="2249" w:name="Tc_-nnlIv50xU-QsPcYDz0U0w_3_0"/>
      <w:bookmarkStart w:id="2250" w:name="Tc_3NRbDd3hrk6D1a7R2VieNQ_2_8"/>
      <w:bookmarkStart w:id="2251" w:name="Tc_usLyw0SxZk2iYPQczonFAA_2_5"/>
      <w:bookmarkStart w:id="2252" w:name="Tc_-BlO9VMsI0eWX7JiHdJaaQ_2_2"/>
      <w:bookmarkStart w:id="2253" w:name="Tc_hG1iv2h4hk2Q5rJDT7tZNQ_1_2"/>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r>
        <w:rPr>
          <w:rFonts w:ascii="Times New Roman;Times;serif" w:hAnsi="Times New Roman;Times;serif"/>
          <w:sz w:val="20"/>
        </w:rPr>
        <w:t>Income tax payments, net of refunds, by jurisdiction are presented below:</w:t>
      </w:r>
    </w:p>
    <w:p>
      <w:pPr>
        <w:pStyle w:val="TextBody"/>
        <w:bidi w:val="0"/>
        <w:spacing w:before="0" w:after="0"/>
        <w:ind w:left="0" w:right="0" w:hanging="0"/>
        <w:jc w:val="left"/>
        <w:rPr/>
      </w:pPr>
      <w:r>
        <w:rPr/>
        <w:t>​</w:t>
      </w:r>
    </w:p>
    <w:tbl>
      <w:tblPr>
        <w:tblW w:w="6565" w:type="dxa"/>
        <w:jc w:val="left"/>
        <w:tblInd w:w="0" w:type="dxa"/>
        <w:tblLayout w:type="fixed"/>
        <w:tblCellMar>
          <w:top w:w="0" w:type="dxa"/>
          <w:left w:w="0" w:type="dxa"/>
          <w:bottom w:w="0" w:type="dxa"/>
          <w:right w:w="0" w:type="dxa"/>
        </w:tblCellMar>
      </w:tblPr>
      <w:tblGrid>
        <w:gridCol w:w="2761"/>
        <w:gridCol w:w="346"/>
        <w:gridCol w:w="211"/>
        <w:gridCol w:w="676"/>
        <w:gridCol w:w="346"/>
        <w:gridCol w:w="211"/>
        <w:gridCol w:w="676"/>
        <w:gridCol w:w="346"/>
        <w:gridCol w:w="211"/>
        <w:gridCol w:w="78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753235" cy="175260"/>
                      <wp:effectExtent l="0" t="0" r="0" b="0"/>
                      <wp:wrapNone/>
                      <wp:docPr id="670" name="Frame66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19710" cy="175260"/>
                      <wp:effectExtent l="0" t="0" r="0" b="0"/>
                      <wp:wrapNone/>
                      <wp:docPr id="671" name="Frame6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33985" cy="175260"/>
                      <wp:effectExtent l="0" t="0" r="0" b="0"/>
                      <wp:wrapNone/>
                      <wp:docPr id="672" name="Frame6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429260" cy="175260"/>
                      <wp:effectExtent l="0" t="0" r="0" b="0"/>
                      <wp:wrapNone/>
                      <wp:docPr id="673" name="Frame6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19710" cy="175260"/>
                      <wp:effectExtent l="0" t="0" r="0" b="0"/>
                      <wp:wrapNone/>
                      <wp:docPr id="674" name="Frame6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33985" cy="175260"/>
                      <wp:effectExtent l="0" t="0" r="0" b="0"/>
                      <wp:wrapNone/>
                      <wp:docPr id="675" name="Frame6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429260" cy="175260"/>
                      <wp:effectExtent l="0" t="0" r="0" b="0"/>
                      <wp:wrapNone/>
                      <wp:docPr id="676" name="Frame6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19710" cy="175260"/>
                      <wp:effectExtent l="0" t="0" r="0" b="0"/>
                      <wp:wrapNone/>
                      <wp:docPr id="677" name="Frame6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33985" cy="175260"/>
                      <wp:effectExtent l="0" t="0" r="0" b="0"/>
                      <wp:wrapNone/>
                      <wp:docPr id="678" name="Frame6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495935" cy="175260"/>
                      <wp:effectExtent l="0" t="0" r="0" b="0"/>
                      <wp:wrapNone/>
                      <wp:docPr id="679" name="Frame6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5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26,400</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of Florida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of Georgia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income tax payments,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45,670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34,144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30,918</w:t>
            </w:r>
          </w:p>
        </w:tc>
      </w:tr>
    </w:tbl>
    <w:p>
      <w:pPr>
        <w:pStyle w:val="TextBody"/>
        <w:bidi w:val="0"/>
        <w:spacing w:before="0" w:after="20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general, a valuation allowance is recorded if, based on all available positive and negative evidence, it is more likely than not that some portion or all of the deferred tax assets will not be realized. Realization of the Company’s deferred tax assets is dependent upon the Company generating sufficient taxable income in future years in the appropriate tax jurisdictions to obtain a benefit from the reversal of deductible temporary differences and from loss carryforwards. As of both December 31, 2025 and 2024, the Company did not have a valuation allowance.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Significant judgment is required in evaluating the Company’s uncertain tax positions and determining its provision for income taxes. The Company regularly assesses the likelihood of adverse outcomes resulting from potential examinations to determine the adequacy of its provision for income taxes and applies a “more-likely-than-not” in determining the financial statement recognition and measurement of a tax position taken or expected to be taken in the tax returns. The Company has not identified any material unrecognized tax benefits as of December 31, 2025 or 2024. There were no penalties required to be accrued as of December 31, 2025 and 2024. The Company records interest related to unrecognized tax benefits, if any, in interest expense and penalties in 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currently open to examination by taxing authorities for the tax years 2022 through 2024.</w:t>
      </w:r>
    </w:p>
    <w:p>
      <w:pPr>
        <w:pStyle w:val="TextBody"/>
        <w:bidi w:val="0"/>
        <w:spacing w:before="0" w:after="240"/>
        <w:ind w:left="0" w:right="0" w:firstLine="360"/>
        <w:jc w:val="left"/>
        <w:rPr>
          <w:rFonts w:ascii="Times New Roman;Times;serif" w:hAnsi="Times New Roman;Times;serif"/>
          <w:sz w:val="16"/>
        </w:rPr>
      </w:pPr>
      <w:r>
        <w:rPr>
          <w:rFonts w:ascii="Times New Roman;Times;serif" w:hAnsi="Times New Roman;Times;serif"/>
          <w:sz w:val="20"/>
        </w:rPr>
        <w:t>On July 4, 2025, the “One Big Beautiful Bill Act” (the “OBBBA”) was signed into law, which includes significant changes to federal tax law and other regulatory provisions that may impact the Company. The Company has determined that the OBBBA did not have a material impact on the Company’s financial position, results of operations, and cash flows</w:t>
      </w:r>
      <w:r>
        <w:rPr>
          <w:rFonts w:ascii="TimesNewRomanPSMT" w:hAnsi="TimesNewRomanPSMT"/>
          <w:sz w:val="16"/>
        </w:rPr>
        <w:t>.</w:t>
      </w:r>
    </w:p>
    <w:p>
      <w:pPr>
        <w:pStyle w:val="TextBody"/>
        <w:bidi w:val="0"/>
        <w:spacing w:before="0" w:after="240"/>
        <w:ind w:left="0" w:right="0" w:hanging="0"/>
        <w:jc w:val="left"/>
        <w:rPr>
          <w:rFonts w:ascii="Times New Roman;Times;serif" w:hAnsi="Times New Roman;Times;serif"/>
          <w:b/>
          <w:sz w:val="20"/>
        </w:rPr>
      </w:pPr>
      <w:bookmarkStart w:id="2254" w:name="Tc_I2HvVu97EEGaj37fxfzTRg_15_6"/>
      <w:bookmarkStart w:id="2255" w:name="Tc__exfiSMGI0CVY28NmxwnyA_15_3"/>
      <w:bookmarkStart w:id="2256" w:name="Tc_xY7AEQcGf06GSJaTZnYd1A_15_0"/>
      <w:bookmarkStart w:id="2257" w:name="Tc_z1XgqlvJekmaRt71KaNqag_14_0"/>
      <w:bookmarkStart w:id="2258" w:name="Tc_rldMSN_fyESLkrkAbVuzDw_13_0"/>
      <w:bookmarkStart w:id="2259" w:name="Tc_A0gWyG_A60-jvof0k9eQJg_12_0"/>
      <w:bookmarkStart w:id="2260" w:name="Tc_PKbZ-Tr8DEeXX_E4dIe0BA_11_0"/>
      <w:bookmarkStart w:id="2261" w:name="Tc_fJfYlI0Y00qJ7DnwUPxEzQ_10_6"/>
      <w:bookmarkStart w:id="2262" w:name="Tc_3panYkuytEKJdaeghof8ZA_10_3"/>
      <w:bookmarkStart w:id="2263" w:name="Tc_cr-fcL5P0kC23mHgabc0uw_10_0"/>
      <w:bookmarkStart w:id="2264" w:name="Tc_Y9uNUXZOZEaka57f1vsLnQ_9_0"/>
      <w:bookmarkStart w:id="2265" w:name="Tc_m3iyk0MwUUSX3XjxEDTzEg_8_0"/>
      <w:bookmarkStart w:id="2266" w:name="Tc_6ciDW8lcf0GMNyI5dFy0hw_7_0"/>
      <w:bookmarkStart w:id="2267" w:name="Tc_OVgFsEyUz0q9albdvbrGpg_6_0"/>
      <w:bookmarkStart w:id="2268" w:name="Tc_Ma1qA-_N_ESlDeeIuDFg2g_5_6"/>
      <w:bookmarkStart w:id="2269" w:name="Tc_Cy6B8CY-uk6S17PY6pHDAA_5_3"/>
      <w:bookmarkStart w:id="2270" w:name="Tc_3JS2pRww_0ivZOslVZxIRw_5_0"/>
      <w:bookmarkStart w:id="2271" w:name="Tc_N3YWc0vKEEOlBCrhvQndQQ_4_6"/>
      <w:bookmarkStart w:id="2272" w:name="Tc_oXEtICyhx06X6nLYJER-jQ_4_3"/>
      <w:bookmarkStart w:id="2273" w:name="Tc_E_1Vu-rSwkyk3KMbVBVbPg_3_3"/>
      <w:bookmarkStart w:id="2274" w:name="Tc_qvKBiyuKj0CwKxhwFUyB2w_2_3"/>
      <w:bookmarkStart w:id="2275" w:name="Tc_teGVvgLM9kGwkP7Ul6qUtQ_1_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r>
        <w:rPr>
          <w:rFonts w:ascii="Times New Roman;Times;serif" w:hAnsi="Times New Roman;Times;serif"/>
          <w:b/>
          <w:sz w:val="20"/>
        </w:rPr>
        <w:t>13. Accumulated Other Comprehensive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is a summary of the changes in the balances of accumulated other comprehensive income, which is presented net of tax:</w:t>
      </w:r>
    </w:p>
    <w:p>
      <w:pPr>
        <w:pStyle w:val="TextBody"/>
        <w:bidi w:val="0"/>
        <w:spacing w:before="0" w:after="0"/>
        <w:ind w:left="0" w:right="0" w:hanging="0"/>
        <w:jc w:val="left"/>
        <w:rPr/>
      </w:pPr>
      <w:r>
        <w:rPr/>
        <w:t>​</w:t>
      </w:r>
    </w:p>
    <w:tbl>
      <w:tblPr>
        <w:tblW w:w="8332" w:type="dxa"/>
        <w:jc w:val="left"/>
        <w:tblInd w:w="0" w:type="dxa"/>
        <w:tblLayout w:type="fixed"/>
        <w:tblCellMar>
          <w:top w:w="0" w:type="dxa"/>
          <w:left w:w="0" w:type="dxa"/>
          <w:bottom w:w="0" w:type="dxa"/>
          <w:right w:w="0" w:type="dxa"/>
        </w:tblCellMar>
      </w:tblPr>
      <w:tblGrid>
        <w:gridCol w:w="5851"/>
        <w:gridCol w:w="109"/>
        <w:gridCol w:w="146"/>
        <w:gridCol w:w="273"/>
        <w:gridCol w:w="897"/>
        <w:gridCol w:w="109"/>
        <w:gridCol w:w="211"/>
        <w:gridCol w:w="736"/>
      </w:tblGrid>
      <w:tr>
        <w:trPr/>
        <w:tc>
          <w:tcPr>
            <w:tcW w:w="5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3715385" cy="175260"/>
                      <wp:effectExtent l="0" t="0" r="0" b="0"/>
                      <wp:wrapNone/>
                      <wp:docPr id="680" name="Frame679"/>
                      <a:graphic xmlns:a="http://schemas.openxmlformats.org/drawingml/2006/main">
                        <a:graphicData uri="http://schemas.microsoft.com/office/word/2010/wordprocessingShape">
                          <wps:wsp>
                            <wps:cNvSpPr txBox="1"/>
                            <wps:spPr>
                              <a:xfrm>
                                <a:off x="0" y="0"/>
                                <a:ext cx="3715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9215" cy="175260"/>
                      <wp:effectExtent l="0" t="0" r="0" b="0"/>
                      <wp:wrapNone/>
                      <wp:docPr id="681" name="Frame6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92710" cy="175260"/>
                      <wp:effectExtent l="0" t="0" r="0" b="0"/>
                      <wp:wrapNone/>
                      <wp:docPr id="682" name="Frame6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73355" cy="175260"/>
                      <wp:effectExtent l="0" t="0" r="0" b="0"/>
                      <wp:wrapNone/>
                      <wp:docPr id="683" name="Frame682"/>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569595" cy="175260"/>
                      <wp:effectExtent l="0" t="0" r="0" b="0"/>
                      <wp:wrapNone/>
                      <wp:docPr id="684" name="Frame683"/>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9215" cy="175260"/>
                      <wp:effectExtent l="0" t="0" r="0" b="0"/>
                      <wp:wrapNone/>
                      <wp:docPr id="685" name="Frame6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33985" cy="175260"/>
                      <wp:effectExtent l="0" t="0" r="0" b="0"/>
                      <wp:wrapNone/>
                      <wp:docPr id="686" name="Frame6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467360" cy="175260"/>
                      <wp:effectExtent l="0" t="0" r="0" b="0"/>
                      <wp:wrapNone/>
                      <wp:docPr id="687" name="Frame68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pPr>
            <w:r>
              <w:rPr/>
              <w:t>​</w:t>
            </w:r>
          </w:p>
        </w:tc>
      </w:tr>
      <w:tr>
        <w:trPr/>
        <w:tc>
          <w:tcPr>
            <w:tcW w:w="58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58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58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Hedges</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as of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before reclassifications</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comprehensive loss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as of December 31, 2024</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1,419</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comprehensive loss attributable to non-controlling interest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as of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594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276" w:name="Tc_1imNSews_UWh1-VUunWXqQ_8_8"/>
      <w:bookmarkStart w:id="2277" w:name="Tc_QYJJNuneg0-ROtnXWW0HYA_8_5"/>
      <w:bookmarkStart w:id="2278" w:name="Tc_CDqY-_8ngUKx-0JeyPBYxA_8_2"/>
      <w:bookmarkStart w:id="2279" w:name="Tc_n80KLiMUTkGOHyXWEpZTjg_8_0"/>
      <w:bookmarkStart w:id="2280" w:name="Tc_Xh-FXaD39UuVYB5Lwn0imw_7_0"/>
      <w:bookmarkStart w:id="2281" w:name="Tc_xxabJ8_TH0iRxCw-2MxCUw_6_0"/>
      <w:bookmarkStart w:id="2282" w:name="Tc_27SGdT-JbkKbO-NV0scUSA_5_0"/>
      <w:bookmarkStart w:id="2283" w:name="Tc_-tB_5MBDpk-6yVy4R9RTCQ_4_8"/>
      <w:bookmarkStart w:id="2284" w:name="Tc_FtdpLYdTbEqIYRPuPOaHxw_4_5"/>
      <w:bookmarkStart w:id="2285" w:name="Tc_ds41tq1HukqCopNDE5XHkQ_4_2"/>
      <w:bookmarkStart w:id="2286" w:name="Tc_daSzcM5ojEacwO0e6G9oQg_4_0"/>
      <w:bookmarkStart w:id="2287" w:name="Tc_6xIgX_fsQk-cJm_Lg5LCbQ_3_8"/>
      <w:bookmarkStart w:id="2288" w:name="Tc_anbsiyyC30SLcO7a8qx-6w_3_5"/>
      <w:bookmarkStart w:id="2289" w:name="Tc_aJwv5ggHO0uORInb4zdKTQ_3_2"/>
      <w:bookmarkStart w:id="2290" w:name="Tc_rloNbNWV3kuk2wy_hO0QxQ_2_8"/>
      <w:bookmarkStart w:id="2291" w:name="Tc_Czyv03fpJkSaKdl3DHXmow_2_5"/>
      <w:bookmarkStart w:id="2292" w:name="Tc_ngXtSi_KW0mJvdYj96mehw_2_2"/>
      <w:bookmarkStart w:id="2293" w:name="Tc_SZwnxS36D0ecxbYd3DOxew_1_2"/>
      <w:bookmarkStart w:id="2294" w:name="_6e71bf25_b789_47e1_8edc_48dbc794f060"/>
      <w:bookmarkStart w:id="2295" w:name="Tc_kA35ks-840WQ9oYFyNtAhw_8_8"/>
      <w:bookmarkStart w:id="2296" w:name="Tc_Es1lQwErUkmB9dxJW2j2cw_8_5"/>
      <w:bookmarkStart w:id="2297" w:name="Tc_LVskHDww7U-uvS8ZThMw-A_8_2"/>
      <w:bookmarkStart w:id="2298" w:name="Tc_xmdr5y4FNU2AbChOoyxGFw_8_0"/>
      <w:bookmarkStart w:id="2299" w:name="Tc_hOb9sOGi3kuJgMj3BuPgrA_7_0"/>
      <w:bookmarkStart w:id="2300" w:name="Tc_SrzypZMbYEStoiysl1erpQ_6_0"/>
      <w:bookmarkStart w:id="2301" w:name="Tc_hocN0nKsgUeNrqVf1fj8sQ_5_0"/>
      <w:bookmarkStart w:id="2302" w:name="Tc_zFi_CbvmP0iTS9G2fIrEjA_4_8"/>
      <w:bookmarkStart w:id="2303" w:name="Tc_vLJnfnbBokqSsaM4RLg3rQ_4_5"/>
      <w:bookmarkStart w:id="2304" w:name="Tc_cZR8kNi5qUqwnAq4El46jQ_4_2"/>
      <w:bookmarkStart w:id="2305" w:name="Tc_NaYT5sGvUkC8QAw1JmOb3w_4_0"/>
      <w:bookmarkStart w:id="2306" w:name="Tc_UBkn3Uhf7kiczxqrRHuvUQ_3_8"/>
      <w:bookmarkStart w:id="2307" w:name="Tc_mqIqtShXdki_L-eOH4yD8A_3_5"/>
      <w:bookmarkStart w:id="2308" w:name="Tc_IEsdMyIHKU-E1rIFXcRzRA_3_2"/>
      <w:bookmarkStart w:id="2309" w:name="Tc_Y-5Igky4k0imhbMgZIPMOQ_2_8"/>
      <w:bookmarkStart w:id="2310" w:name="Tc_gM0xGBu5jUaDAkRyfTV35Q_2_5"/>
      <w:bookmarkStart w:id="2311" w:name="Tc_N-K-wrjhOka7hovEHWC1kA_2_2"/>
      <w:bookmarkStart w:id="2312" w:name="Tc_yXFrydj9CUyPhXhlQvvfcQ_1_2"/>
      <w:bookmarkStart w:id="2313" w:name="_ad2a851d_e193_4322_a1bc_e74e68445bc7"/>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r>
        <w:rPr>
          <w:rFonts w:ascii="Times New Roman;Times;serif" w:hAnsi="Times New Roman;Times;serif"/>
          <w:sz w:val="20"/>
        </w:rPr>
        <w:t>Following is a summary of the tax effects allocated to other comprehensive (loss) income:</w:t>
      </w:r>
    </w:p>
    <w:p>
      <w:pPr>
        <w:pStyle w:val="TextBody"/>
        <w:bidi w:val="0"/>
        <w:spacing w:before="0" w:after="0"/>
        <w:ind w:left="0" w:right="0" w:hanging="0"/>
        <w:jc w:val="left"/>
        <w:rPr/>
      </w:pPr>
      <w:r>
        <w:rPr/>
        <w:t>​</w:t>
      </w:r>
    </w:p>
    <w:tbl>
      <w:tblPr>
        <w:tblW w:w="9606" w:type="dxa"/>
        <w:jc w:val="left"/>
        <w:tblInd w:w="0" w:type="dxa"/>
        <w:tblLayout w:type="fixed"/>
        <w:tblCellMar>
          <w:top w:w="0" w:type="dxa"/>
          <w:left w:w="0" w:type="dxa"/>
          <w:bottom w:w="0" w:type="dxa"/>
          <w:right w:w="0" w:type="dxa"/>
        </w:tblCellMar>
      </w:tblPr>
      <w:tblGrid>
        <w:gridCol w:w="5536"/>
        <w:gridCol w:w="346"/>
        <w:gridCol w:w="255"/>
        <w:gridCol w:w="766"/>
        <w:gridCol w:w="346"/>
        <w:gridCol w:w="315"/>
        <w:gridCol w:w="630"/>
        <w:gridCol w:w="346"/>
        <w:gridCol w:w="253"/>
        <w:gridCol w:w="813"/>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3515360" cy="175260"/>
                      <wp:effectExtent l="0" t="0" r="0" b="0"/>
                      <wp:wrapNone/>
                      <wp:docPr id="688" name="Frame687"/>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19710" cy="175260"/>
                      <wp:effectExtent l="0" t="0" r="0" b="0"/>
                      <wp:wrapNone/>
                      <wp:docPr id="689" name="Frame6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61925" cy="175260"/>
                      <wp:effectExtent l="0" t="0" r="0" b="0"/>
                      <wp:wrapNone/>
                      <wp:docPr id="690" name="Frame68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486410" cy="175260"/>
                      <wp:effectExtent l="0" t="0" r="0" b="0"/>
                      <wp:wrapNone/>
                      <wp:docPr id="691" name="Frame69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19710" cy="175260"/>
                      <wp:effectExtent l="0" t="0" r="0" b="0"/>
                      <wp:wrapNone/>
                      <wp:docPr id="692" name="Frame6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00025" cy="175260"/>
                      <wp:effectExtent l="0" t="0" r="0" b="0"/>
                      <wp:wrapNone/>
                      <wp:docPr id="693" name="Frame69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400050" cy="175260"/>
                      <wp:effectExtent l="0" t="0" r="0" b="0"/>
                      <wp:wrapNone/>
                      <wp:docPr id="694" name="Frame693"/>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19710" cy="175260"/>
                      <wp:effectExtent l="0" t="0" r="0" b="0"/>
                      <wp:wrapNone/>
                      <wp:docPr id="695" name="Frame6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60655" cy="175260"/>
                      <wp:effectExtent l="0" t="0" r="0" b="0"/>
                      <wp:wrapNone/>
                      <wp:docPr id="696" name="Frame69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516255" cy="175260"/>
                      <wp:effectExtent l="0" t="0" r="0" b="0"/>
                      <wp:wrapNone/>
                      <wp:docPr id="697" name="Frame69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Benefit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 unconsolidated joint venture</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adjustment for net (gain) loss included in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(loss) gain</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(1,535)</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280</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(1,255)</w:t>
            </w:r>
          </w:p>
        </w:tc>
      </w:tr>
    </w:tbl>
    <w:p>
      <w:pPr>
        <w:pStyle w:val="TextBody"/>
        <w:bidi w:val="0"/>
        <w:spacing w:before="0" w:after="120"/>
        <w:ind w:left="0" w:right="0" w:hanging="0"/>
        <w:jc w:val="left"/>
        <w:rPr/>
      </w:pPr>
      <w:r>
        <w:rPr/>
        <w:t>​</w:t>
      </w:r>
    </w:p>
    <w:tbl>
      <w:tblPr>
        <w:tblW w:w="9801" w:type="dxa"/>
        <w:jc w:val="left"/>
        <w:tblInd w:w="0" w:type="dxa"/>
        <w:tblLayout w:type="fixed"/>
        <w:tblCellMar>
          <w:top w:w="0" w:type="dxa"/>
          <w:left w:w="0" w:type="dxa"/>
          <w:bottom w:w="0" w:type="dxa"/>
          <w:right w:w="0" w:type="dxa"/>
        </w:tblCellMar>
      </w:tblPr>
      <w:tblGrid>
        <w:gridCol w:w="5536"/>
        <w:gridCol w:w="346"/>
        <w:gridCol w:w="255"/>
        <w:gridCol w:w="766"/>
        <w:gridCol w:w="346"/>
        <w:gridCol w:w="320"/>
        <w:gridCol w:w="820"/>
        <w:gridCol w:w="346"/>
        <w:gridCol w:w="253"/>
        <w:gridCol w:w="813"/>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3515360" cy="175260"/>
                      <wp:effectExtent l="0" t="0" r="0" b="0"/>
                      <wp:wrapNone/>
                      <wp:docPr id="698" name="Frame697"/>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19710" cy="175260"/>
                      <wp:effectExtent l="0" t="0" r="0" b="0"/>
                      <wp:wrapNone/>
                      <wp:docPr id="699" name="Frame6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61925" cy="175260"/>
                      <wp:effectExtent l="0" t="0" r="0" b="0"/>
                      <wp:wrapNone/>
                      <wp:docPr id="700" name="Frame69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486410" cy="175260"/>
                      <wp:effectExtent l="0" t="0" r="0" b="0"/>
                      <wp:wrapNone/>
                      <wp:docPr id="701" name="Frame70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19710" cy="175260"/>
                      <wp:effectExtent l="0" t="0" r="0" b="0"/>
                      <wp:wrapNone/>
                      <wp:docPr id="702" name="Frame7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03200" cy="175260"/>
                      <wp:effectExtent l="0" t="0" r="0" b="0"/>
                      <wp:wrapNone/>
                      <wp:docPr id="703" name="Frame70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520700" cy="175260"/>
                      <wp:effectExtent l="0" t="0" r="0" b="0"/>
                      <wp:wrapNone/>
                      <wp:docPr id="704" name="Frame703"/>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19710" cy="175260"/>
                      <wp:effectExtent l="0" t="0" r="0" b="0"/>
                      <wp:wrapNone/>
                      <wp:docPr id="705" name="Frame7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160655" cy="175260"/>
                      <wp:effectExtent l="0" t="0" r="0" b="0"/>
                      <wp:wrapNone/>
                      <wp:docPr id="706" name="Frame70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516255" cy="175260"/>
                      <wp:effectExtent l="0" t="0" r="0" b="0"/>
                      <wp:wrapNone/>
                      <wp:docPr id="707" name="Frame70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(Expense)</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 unconsolidated joint venture</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adjustment for net (gain) loss included in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(loss) gain</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(776)</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2025, 2024 and 2023, the Company paid dividends of $0.58, $0.52 and $0.44, respectively, per share on the Company’s common stock for a total of $33.6 million, $30.4 million and $25.7 million,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Board approved the Stock Repurchase Program, pursuant to which the Company is authorized to repurchase shares of its common stock. The program has no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the Company repurchased 798,622 shares of its common stock outstanding at an average repurchase price of $50.10, per share, for an aggregate repurchase price of $40.0 million, excluding the excise tax on stock repurchases in excess of issuances as a result of the IRA. During 2024, the Company repurchased 70,985 shares of its common stock outstanding at an average repurchase price of $47.38, per share, for an aggregate repurchase price of $3.4 million, excluding the excise tax on stock repurchases in excess of issuances as a result of the IRA. In February 2025, the Board increased the total authorization under the Stock Repurchase Program to $100.0 million. As of December 31, 2025, the Company had a total authority of $60.0 million available for repurchase of shares of its common stock. The Company may repurchase its common stock in open market purchases from time to time, in privately negotiated transactions or otherwise, pursuant to Rule 10b-18 under the Exchange Act. The timing and amount of any additional stock to be repurchased will depend upon a variety of factors. Repurchases may be commenced or suspended at any time or from time to time without prior notice. The Stock Repurchase Program will continue until otherwise modified or terminated by the Company’s Board at any time in its sole discretion. In December 2025 and 2024, the Company retired 798,622 and 70,985, respectively, shares of treasury stock at a value of $40.4 million and $3.4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Issuance of Common Stock for Employee Compensation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2025, the Company granted 16,076 restricted stock awards to certain employees pursuant to the Company’s 2015 Performance and Equity Incentive Plan (the “2015 Plan”). The restricted stock awards vest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314" w:name="Tc_FN8NMNtUz06ize2N-JVcQA_10_9"/>
      <w:bookmarkStart w:id="2315" w:name="Tc_RM3xTJu0H0SSNjWC0qGaUQ_10_4"/>
      <w:bookmarkStart w:id="2316" w:name="Tc_MJ8fnY3upUufECuFGGi1qw_10_0"/>
      <w:bookmarkStart w:id="2317" w:name="Tc_iKJ5lE_7p0uMv25BUlfRKA_9_9"/>
      <w:bookmarkStart w:id="2318" w:name="Tc_E2IEuCxIl0-Be4UJATUgRA_9_5"/>
      <w:bookmarkStart w:id="2319" w:name="Tc_ia1goYoxQEiwo2gyViKBXQ_9_4"/>
      <w:bookmarkStart w:id="2320" w:name="Tc_lY0Ge5Hoj0asesQL0YD7xw_9_2"/>
      <w:bookmarkStart w:id="2321" w:name="Tc_QA1MBTPlnEaHcDYL-ZqNig_9_0"/>
      <w:bookmarkStart w:id="2322" w:name="Tc_X7cioy2pv0qPAlDi46weEw_8_9"/>
      <w:bookmarkStart w:id="2323" w:name="Tc_EBp9gwM9lE-WO7pkqOAvwg_8_4"/>
      <w:bookmarkStart w:id="2324" w:name="Tc_seRC4G8EY0yIj474BX4Bzg_8_0"/>
      <w:bookmarkStart w:id="2325" w:name="Tc_lYGOsZ8YT0u3WhFqLDovhg_7_9"/>
      <w:bookmarkStart w:id="2326" w:name="Tc_RnfJ1x4hI0ucvyXlhSeyPA_7_4"/>
      <w:bookmarkStart w:id="2327" w:name="Tc_waGRihjZ1EWqkZDyBelH9A_7_0"/>
      <w:bookmarkStart w:id="2328" w:name="Tc_eJcpjYg2bkSYFOjv1B_vCg_6_9"/>
      <w:bookmarkStart w:id="2329" w:name="Tc_vokCxZem_0SVimc7Rv4i4Q_6_4"/>
      <w:bookmarkStart w:id="2330" w:name="Tc_UlWwt9D3fEWkrjgiR23z_A_6_0"/>
      <w:bookmarkStart w:id="2331" w:name="Tc_ZlySrn7TXk-hKgSKJQeUMQ_5_10"/>
      <w:bookmarkStart w:id="2332" w:name="Tc_qZ9V8Zd58kqDpltyR2IxRw_5_7"/>
      <w:bookmarkStart w:id="2333" w:name="Tc_xUpp5vxtnUOyPyOzvQXhHQ_5_5"/>
      <w:bookmarkStart w:id="2334" w:name="Tc_SdDNf_H58Uq96CdUX4XYnQ_5_2"/>
      <w:bookmarkStart w:id="2335" w:name="Tc_zza-Cl8DzUeWXLqTFALeYw_5_0"/>
      <w:bookmarkStart w:id="2336" w:name="Tc_WXdvjo5UxE2uP79cejRXtg_4_10"/>
      <w:bookmarkStart w:id="2337" w:name="Tc_HezIgdWXBEWddGtyfrSu2g_4_7"/>
      <w:bookmarkStart w:id="2338" w:name="Tc_qMwOk-cNUkGaWH7jweSR5w_4_5"/>
      <w:bookmarkStart w:id="2339" w:name="Tc_MerzkVvfj06yg7bcZ2-GdA_4_2"/>
      <w:bookmarkStart w:id="2340" w:name="Tc_e0AwD4B_k0ejOu2JEb7Eqg_3_10"/>
      <w:bookmarkStart w:id="2341" w:name="Tc_TpdXSQF-GkC9M257Jgkulg_3_5"/>
      <w:bookmarkStart w:id="2342" w:name="Tc_rlBBsyNiSk6PQ0lt9MRDHQ_2_10"/>
      <w:bookmarkStart w:id="2343" w:name="Tc_UhW8pdfS_Ui7wrddasoLKw_2_5"/>
      <w:bookmarkStart w:id="2344" w:name="Tc_yi1PmeRuJ0qzR-Rx-DVqKw_1_7"/>
      <w:bookmarkStart w:id="2345" w:name="Tc_sLpTm7LwyECGM1tdxBGA9A_1_2"/>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r>
        <w:rPr>
          <w:rFonts w:ascii="Times New Roman;Times;serif" w:hAnsi="Times New Roman;Times;serif"/>
          <w:sz w:val="20"/>
        </w:rPr>
        <w:t>continued employment through and on the applicable vesting date. The weighted average grant date fair value of the restricted stock awards was $46.24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2024, the Company granted 26,744 restricted stock awards to certain employees pursuant to the 2015 Plan. The restricted stock awards vest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continued employment through and on the applicable vesting date. During 2025, 8,051 of the restricted shares vested on the first annual anniversary. During 2024, 2,592 of the unvested restricted shares were forfeited due to the recipient’s resignation. The weighted average grant date fair value of the restricted stock awards was $54.16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March 2023, the Company granted 12,796 restricted stock awards to certain employees pursuant to the 2015 Plan. The restricted stock awards </w:t>
      </w:r>
      <w:r>
        <w:rPr>
          <w:rFonts w:ascii="Times New Roman;Times;serif" w:hAnsi="Times New Roman;Times;serif"/>
          <w:b w:val="false"/>
          <w:i w:val="false"/>
          <w:caps w:val="false"/>
          <w:smallCaps w:val="false"/>
          <w:sz w:val="20"/>
        </w:rPr>
        <w:t>vest</w:t>
      </w:r>
      <w:r>
        <w:rPr>
          <w:rFonts w:ascii="Times New Roman;Times;serif" w:hAnsi="Times New Roman;Times;serif"/>
          <w:sz w:val="20"/>
        </w:rPr>
        <w:t xml:space="preserve"> in equal annual installments on the first, second and third annual anniversary of the grant date, subject to the recipient’s continued employment through and on the applicable vesting date. During 2025 and 2024, 3,185 and 3,187, respectively, of the restricted shares vested on the annual anniversaries. During 2024, 3,237 of the unvested restricted shares were forfeited due to the recipient’s resignation. The weighted average grant date fair value of the restricted stock awards was $39.42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2023, the Company granted 17,943 restricted stock awards to certain employees pursuant to the 2015 Plan. The restricted stock awards </w:t>
      </w:r>
      <w:r>
        <w:rPr>
          <w:rFonts w:ascii="Times New Roman;Times;serif" w:hAnsi="Times New Roman;Times;serif"/>
          <w:b w:val="false"/>
          <w:i w:val="false"/>
          <w:caps w:val="false"/>
          <w:smallCaps w:val="false"/>
          <w:sz w:val="20"/>
        </w:rPr>
        <w:t>vest</w:t>
      </w:r>
      <w:r>
        <w:rPr>
          <w:rFonts w:ascii="Times New Roman;Times;serif" w:hAnsi="Times New Roman;Times;serif"/>
          <w:sz w:val="20"/>
        </w:rPr>
        <w:t xml:space="preserve"> in equal annual installments on the first, second and third annual anniversary of the grant date, subject to the recipient’s continued employment through and on the applicable vesting date. During 2025 and 2024, 5,979 and 5,982, respectively, of the restricted shares vested on the annual anniversaries. The weighted average grant date fair value of the restricted stock awards was $44.30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2022, the Company granted 25,594 restricted stock awards to certain employees pursuant to the 2015 Plan. The restricted stock </w:t>
      </w:r>
      <w:r>
        <w:rPr>
          <w:rFonts w:ascii="Times New Roman;Times;serif" w:hAnsi="Times New Roman;Times;serif"/>
          <w:b w:val="false"/>
          <w:i w:val="false"/>
          <w:caps w:val="false"/>
          <w:smallCaps w:val="false"/>
          <w:sz w:val="20"/>
        </w:rPr>
        <w:t>awards vest</w:t>
      </w:r>
      <w:r>
        <w:rPr>
          <w:rFonts w:ascii="Times New Roman;Times;serif" w:hAnsi="Times New Roman;Times;serif"/>
          <w:sz w:val="20"/>
        </w:rPr>
        <w:t xml:space="preserve"> in equal annual installments on the first, second and third annual anniversary of the grant date, subject to the recipient’s continued employment through and on the applicable vesting date. During 2025, 2024 and 2023, 7,664, 8,532 and 8,531, respectively, of the restricted shares vested on the annual anniversaries. During 2024, 867 of the unvested restricted shares were forfeited due to the recipient’s resignation. The weighted average grant date fair value of the restricted stock awards was $46.73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2024, 2023 and 2022, the Company granted 3,332, 5,418, 5,760 and 4,361, respectively, restricted stock awards to an employee pursuant to the 2015 Plan, with a weighted average grant date fair value of $46.24, $54.16, $44.30 and $55.73, respectively, per share. The restricted stock awards vest in January 2030, subject to the recipient’s continued employment through and on the applicable vesting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is a summary of non-vested restricted stock activity:</w:t>
      </w:r>
    </w:p>
    <w:p>
      <w:pPr>
        <w:pStyle w:val="TextBody"/>
        <w:bidi w:val="0"/>
        <w:spacing w:before="0" w:after="0"/>
        <w:ind w:left="0" w:right="0" w:hanging="0"/>
        <w:jc w:val="left"/>
        <w:rPr/>
      </w:pPr>
      <w:r>
        <w:rPr/>
        <w:t>​</w:t>
      </w:r>
    </w:p>
    <w:tbl>
      <w:tblPr>
        <w:tblW w:w="8228" w:type="dxa"/>
        <w:jc w:val="left"/>
        <w:tblInd w:w="0" w:type="dxa"/>
        <w:tblLayout w:type="fixed"/>
        <w:tblCellMar>
          <w:top w:w="0" w:type="dxa"/>
          <w:left w:w="0" w:type="dxa"/>
          <w:bottom w:w="0" w:type="dxa"/>
          <w:right w:w="0" w:type="dxa"/>
        </w:tblCellMar>
      </w:tblPr>
      <w:tblGrid>
        <w:gridCol w:w="2641"/>
        <w:gridCol w:w="109"/>
        <w:gridCol w:w="886"/>
        <w:gridCol w:w="109"/>
        <w:gridCol w:w="211"/>
        <w:gridCol w:w="1456"/>
        <w:gridCol w:w="109"/>
        <w:gridCol w:w="886"/>
        <w:gridCol w:w="109"/>
        <w:gridCol w:w="211"/>
        <w:gridCol w:w="150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1677035" cy="175260"/>
                      <wp:effectExtent l="0" t="0" r="0" b="0"/>
                      <wp:wrapNone/>
                      <wp:docPr id="708" name="Frame707"/>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69215" cy="175260"/>
                      <wp:effectExtent l="0" t="0" r="0" b="0"/>
                      <wp:wrapNone/>
                      <wp:docPr id="709" name="Frame7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562610" cy="175260"/>
                      <wp:effectExtent l="0" t="0" r="0" b="0"/>
                      <wp:wrapNone/>
                      <wp:docPr id="710" name="Frame70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9215" cy="175260"/>
                      <wp:effectExtent l="0" t="0" r="0" b="0"/>
                      <wp:wrapNone/>
                      <wp:docPr id="711" name="Frame7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133985" cy="175260"/>
                      <wp:effectExtent l="0" t="0" r="0" b="0"/>
                      <wp:wrapNone/>
                      <wp:docPr id="712" name="Frame7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924560" cy="175260"/>
                      <wp:effectExtent l="0" t="0" r="0" b="0"/>
                      <wp:wrapNone/>
                      <wp:docPr id="713" name="Frame71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69215" cy="175260"/>
                      <wp:effectExtent l="0" t="0" r="0" b="0"/>
                      <wp:wrapNone/>
                      <wp:docPr id="714" name="Frame7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562610" cy="175260"/>
                      <wp:effectExtent l="0" t="0" r="0" b="0"/>
                      <wp:wrapNone/>
                      <wp:docPr id="715" name="Frame7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69215" cy="175260"/>
                      <wp:effectExtent l="0" t="0" r="0" b="0"/>
                      <wp:wrapNone/>
                      <wp:docPr id="716" name="Frame7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133985" cy="175260"/>
                      <wp:effectExtent l="0" t="0" r="0" b="0"/>
                      <wp:wrapNone/>
                      <wp:docPr id="717" name="Frame7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953135" cy="175260"/>
                      <wp:effectExtent l="0" t="0" r="0" b="0"/>
                      <wp:wrapNone/>
                      <wp:docPr id="718" name="Frame717"/>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c>
          <w:tcPr>
            <w:tcW w:w="109" w:type="dxa"/>
            <w:tcBorders/>
            <w:vAlign w:val="center"/>
          </w:tcPr>
          <w:p>
            <w:pPr>
              <w:pStyle w:val="TableContents"/>
              <w:bidi w:val="0"/>
              <w:spacing w:before="0" w:after="0"/>
              <w:ind w:left="0" w:right="0" w:hanging="0"/>
              <w:jc w:val="center"/>
              <w:rPr/>
            </w:pPr>
            <w:r>
              <w:rPr/>
              <w:t>​</w:t>
            </w:r>
          </w:p>
        </w:tc>
        <w:tc>
          <w:tcPr>
            <w:tcW w:w="270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Non-Vested Restricted Shares</w:t>
            </w:r>
          </w:p>
        </w:tc>
        <w:tc>
          <w:tcPr>
            <w:tcW w:w="109"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49.31</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32,162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54.16</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44.59</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49.02</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49.31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both 2025 and 2024, the Company recorded expense of $1.2 million and $0.8 million during 2023, related to restricted stock awards for employee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46" w:name="_21371998_fb1d_4e64_b592_d8bdcb7b34bb"/>
      <w:bookmarkStart w:id="2347" w:name="Tc_QE4usKl2dk6UTPy6btWV8A_5_8"/>
      <w:bookmarkStart w:id="2348" w:name="Tc_KxEG_8qyREWqVr1pMF8esQ_5_5"/>
      <w:bookmarkStart w:id="2349" w:name="Tc_YjlKLtR2r0Wehuz3UvI-kA_5_2"/>
      <w:bookmarkStart w:id="2350" w:name="Tc_-cfY2JtiMEqyUzpp6UEVqQ_4_0"/>
      <w:bookmarkStart w:id="2351" w:name="Tc__AAiO9hvGEidKFew-gawYQ_3_8"/>
      <w:bookmarkStart w:id="2352" w:name="Tc_6rpkPGqOlECEdDa_HMT1_g_3_5"/>
      <w:bookmarkStart w:id="2353" w:name="Tc_Za0_GAAhxUyF7DTHTCGFyg_3_2"/>
      <w:bookmarkStart w:id="2354" w:name="Tc_Kd3VV8JQm0yCy8rnNmcHlg_3_0"/>
      <w:bookmarkStart w:id="2355" w:name="Tc_nVH8Qqm1bk6dvARmi0tc1g_2_8"/>
      <w:bookmarkStart w:id="2356" w:name="Tc_l31hZg54n0OQHJkW-UnQ3Q_2_5"/>
      <w:bookmarkStart w:id="2357" w:name="Tc_h2BTlC5kykeKtXCRJM5Icw_2_2"/>
      <w:bookmarkStart w:id="2358" w:name="Tc_gGuhdHDIEk2A1BE2N5DrMQ_1_2"/>
      <w:bookmarkStart w:id="2359" w:name="_c4ce099a_d5e5_4677_9fd1_325bdb1dfc71"/>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r>
        <w:rPr>
          <w:rFonts w:ascii="Times New Roman;Times;serif" w:hAnsi="Times New Roman;Times;serif"/>
          <w:b/>
          <w:sz w:val="20"/>
        </w:rPr>
        <w:t>15. Stock Based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13, 2025, at the Company’s annual meeting of stockholders, the Company’s stockholders approved The St. Joe Company 2025 Performance and Equity Incentive Plan (the “2025 Incentive Plan”), as described in the Company’s Definitive Proxy Statement, filed with the SEC on April 1, 2025, to replace the 2015 Plan, effective July 1, 2025. As of July 1, 2025, the 2025 Incentive Plan authorized an aggregate issuance of up to (i) the number of shares of the Company’s common stock that remained available for issuance under the 2015 Plan immediately before such plan’s expiration, plus (ii) the number of shares of the Company’s common stock subject to awards under the 2015 Plan that either expired, were cancelled, or otherwise terminated after July 1, 2025, subject to adjustment, in the form of awards of stock options, restricted stock, restricted stock units, stock bonuses, stock appreciation rights, performance awards and other share-based awards. The Company’s officers, employees, directors and certain consultants are eligible to receive awards under the 2025 Incentive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2025 Incentive Plan offers, and the 2015 Plan previously offered, a stock incentive plan whereby awards can be granted to certain employees and non-employee directors of the Company in various forms including restricted shares of Company common stock and options to purchase Company common stock.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Awards are discretionary and determined by the Compensation and Human Capital Committee of the Board. Stock based compensation cost is measured at the grant date based on the fair value of the award and is typically recognized as expense on a straight-line basis over the requisite service period, which is the vesting period. Forfeitures are accounted for as they occur. As of December 31, 2025, 1,352,215 shares were available for awards under the 2025 Incentive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Total stock-based compensation recorded in corporate and other operating expenses on the consolidated statements of income is as follows:</w:t>
      </w:r>
    </w:p>
    <w:p>
      <w:pPr>
        <w:pStyle w:val="TextBody"/>
        <w:bidi w:val="0"/>
        <w:spacing w:before="0" w:after="0"/>
        <w:ind w:left="0" w:right="0" w:hanging="0"/>
        <w:jc w:val="left"/>
        <w:rPr/>
      </w:pPr>
      <w:r>
        <w:rPr/>
        <w:t>​</w:t>
      </w:r>
    </w:p>
    <w:tbl>
      <w:tblPr>
        <w:tblW w:w="7345" w:type="dxa"/>
        <w:jc w:val="left"/>
        <w:tblInd w:w="0" w:type="dxa"/>
        <w:tblLayout w:type="fixed"/>
        <w:tblCellMar>
          <w:top w:w="0" w:type="dxa"/>
          <w:left w:w="0" w:type="dxa"/>
          <w:bottom w:w="0" w:type="dxa"/>
          <w:right w:w="0" w:type="dxa"/>
        </w:tblCellMar>
      </w:tblPr>
      <w:tblGrid>
        <w:gridCol w:w="3946"/>
        <w:gridCol w:w="346"/>
        <w:gridCol w:w="211"/>
        <w:gridCol w:w="571"/>
        <w:gridCol w:w="346"/>
        <w:gridCol w:w="211"/>
        <w:gridCol w:w="571"/>
        <w:gridCol w:w="346"/>
        <w:gridCol w:w="211"/>
        <w:gridCol w:w="58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505710" cy="175260"/>
                      <wp:effectExtent l="0" t="0" r="0" b="0"/>
                      <wp:wrapNone/>
                      <wp:docPr id="719" name="Frame718"/>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19710" cy="175260"/>
                      <wp:effectExtent l="0" t="0" r="0" b="0"/>
                      <wp:wrapNone/>
                      <wp:docPr id="720" name="Frame7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133985" cy="175260"/>
                      <wp:effectExtent l="0" t="0" r="0" b="0"/>
                      <wp:wrapNone/>
                      <wp:docPr id="721" name="Frame7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362585" cy="175260"/>
                      <wp:effectExtent l="0" t="0" r="0" b="0"/>
                      <wp:wrapNone/>
                      <wp:docPr id="722" name="Frame7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19710" cy="175260"/>
                      <wp:effectExtent l="0" t="0" r="0" b="0"/>
                      <wp:wrapNone/>
                      <wp:docPr id="723" name="Frame7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133985" cy="175260"/>
                      <wp:effectExtent l="0" t="0" r="0" b="0"/>
                      <wp:wrapNone/>
                      <wp:docPr id="724" name="Frame7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362585" cy="175260"/>
                      <wp:effectExtent l="0" t="0" r="0" b="0"/>
                      <wp:wrapNone/>
                      <wp:docPr id="725" name="Frame7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219710" cy="175260"/>
                      <wp:effectExtent l="0" t="0" r="0" b="0"/>
                      <wp:wrapNone/>
                      <wp:docPr id="726" name="Frame7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133985" cy="175260"/>
                      <wp:effectExtent l="0" t="0" r="0" b="0"/>
                      <wp:wrapNone/>
                      <wp:docPr id="727" name="Frame7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372110" cy="175260"/>
                      <wp:effectExtent l="0" t="0" r="0" b="0"/>
                      <wp:wrapNone/>
                      <wp:docPr id="728" name="Frame72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 before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r>
      <w:tr>
        <w:trPr/>
        <w:tc>
          <w:tcPr>
            <w:tcW w:w="39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614</w:t>
            </w:r>
          </w:p>
        </w:tc>
      </w:tr>
    </w:tbl>
    <w:tbl>
      <w:tblPr>
        <w:tblW w:w="5477" w:type="dxa"/>
        <w:jc w:val="left"/>
        <w:tblInd w:w="0" w:type="dxa"/>
        <w:tblLayout w:type="fixed"/>
        <w:tblCellMar>
          <w:top w:w="0" w:type="dxa"/>
          <w:left w:w="0" w:type="dxa"/>
          <w:bottom w:w="0" w:type="dxa"/>
          <w:right w:w="0" w:type="dxa"/>
        </w:tblCellMar>
      </w:tblPr>
      <w:tblGrid>
        <w:gridCol w:w="316"/>
        <w:gridCol w:w="516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5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 portion of the income tax benefit includes permanent tax differences.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and 2024, there were 60,217 and 65,688, respectively, unvested restricted stock units outstanding. As of December 31, 2025 and 2024, unrecognized compensation cost, related to non-vested restricted stock awards were $1.7 million and $2.0 million, respectively. As of December 31, 2025, unrecognized compensation costs will be recognized over a weighted average period of 2.5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the Company granted 19,408 shares of restricted stock awards to some of the Company’s employees pursuant to the 2015 Plan, of which none vested in 2025. The weighted average grant date fair value of restricted stock units in 2025 was $46.24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2024, the Company granted 32,162 shares of restricted stock awards to some of the Company’s employees pursuant to the 2015 Plan, of which 8,051 vested in 2025. The weighted average grant date fair value of restricted stock units in 2024 was $54.16 per share. The total fair value of restricted stock units that vested during 2025 was $0.4 million. During 2024, 2,592 of the unvested restricted shares were forfeited with a fair value of $0.1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2023, the Company granted 36,499 shares of restricted stock awards to some of the Company’s employees pursuant to the 2015 Plan, of which 9,164 and 9,169 vested in 2025 and 2024, respectively. The weighted average grant date fair value of restricted stock units in 2023 was $42.59 per share. The total fair value of restricted stock units that vested during 2025 and 2024 was $0.4 million during each period. During 2024, 3,237 of the unvested restricted shares were forfeited with a fair value of $0.1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2022, the Company granted 29,955 shares of restricted stock awards to some of the Company’s employees pursuant to the 2015 Plan, of which 7,664 and 8,532 and 8,531 vested in 2025, 2024 and 2023, respectively. The weighted average grant date fair value of restricted stock units in 2022 was $48.04 per share. The total fair value of restricted stock units that vested during 2025, 2024 and 2023 was $0.4 million during each period. During 2024, 867 of the unvested restricted shares were forfeited with a fair value of less than $0.1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Employee Benefit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maintains a 401(k) retirement plan covering substantially all officers and employees of the Company, which permits participants to defer up to the maximum allowable amount determined by the Internal Revenue Service (“IRS”) of their eligible compensation.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plan provides for employer matching contributions of 100% up to the first 3% of eligible compensation. For contributions in excess of 3%, the plan provides for employer matching contributions of 50% up to the next 2%, but not more than 5%, of eligible compensation. The Company’s matching contributions expensed under the plan were $1.0 million, $0.9 million and $0.8 million in 2025, 2024 and 2023, respectively.</w:t>
      </w:r>
    </w:p>
    <w:p>
      <w:pPr>
        <w:pStyle w:val="TextBody"/>
        <w:bidi w:val="0"/>
        <w:spacing w:before="0" w:after="240"/>
        <w:ind w:left="0" w:right="0" w:hanging="0"/>
        <w:jc w:val="left"/>
        <w:rPr>
          <w:rFonts w:ascii="Times New Roman;Times;serif" w:hAnsi="Times New Roman;Times;serif"/>
          <w:b/>
          <w:sz w:val="20"/>
        </w:rPr>
      </w:pPr>
      <w:bookmarkStart w:id="2360" w:name="Tc_y9snKDv8o0GT8aud2AWq9A_19_8"/>
      <w:bookmarkStart w:id="2361" w:name="Tc_6aKOZyohIECASNelodyLBw_19_5"/>
      <w:bookmarkStart w:id="2362" w:name="Tc_bspCZ9-MMUaNmnsHkeMR_w_19_2"/>
      <w:bookmarkStart w:id="2363" w:name="Tc_xA_cCZK0u0CJQ_5NSl51XQ_19_0"/>
      <w:bookmarkStart w:id="2364" w:name="Tc_qYS-ZR7VfUu5gwuUJWkhOA_18_0"/>
      <w:bookmarkStart w:id="2365" w:name="Tc_kIUZpz5N9EWeXlVWz6hSGw_17_0"/>
      <w:bookmarkStart w:id="2366" w:name="Tc_mx82Iv4t4kyEJ2V8cEvrWA_16_0"/>
      <w:bookmarkStart w:id="2367" w:name="Tc_lKv7rSUDFkKK5CAv0kmSDQ_15_3"/>
      <w:bookmarkStart w:id="2368" w:name="Tc_wxZ8ZGo3C0ixDErwIQ69Gw_15_0"/>
      <w:bookmarkStart w:id="2369" w:name="Tc_qwUMYIpgNkGCPrjM0cnXSQ_14_6"/>
      <w:bookmarkStart w:id="2370" w:name="Tc_-6dDbkS540CsnFEXlw0rsg_14_3"/>
      <w:bookmarkStart w:id="2371" w:name="Tc_5l7P9CiHqUqu6p4BiSA75A_14_0"/>
      <w:bookmarkStart w:id="2372" w:name="Tc_XiQN7jpF90KWB77guHjYEw_13_0"/>
      <w:bookmarkStart w:id="2373" w:name="Tc_PBgajdJy-kKZn1tnk4eEKQ_12_0"/>
      <w:bookmarkStart w:id="2374" w:name="Tc_EdscIfU7i0ajKiXKScg4yA_11_0"/>
      <w:bookmarkStart w:id="2375" w:name="Tc_VvtB0eqYIEWvT3eh9hYPjw_10_0"/>
      <w:bookmarkStart w:id="2376" w:name="Tc_b-Fdfu0lOEmRV3PLmsXrMg_9_0"/>
      <w:bookmarkStart w:id="2377" w:name="Tc_55MYOZAcvUuOvOARibRM_Q_8_0"/>
      <w:bookmarkStart w:id="2378" w:name="Tc_AWaKH8bXE0a-JE5gZwQz5g_7_0"/>
      <w:bookmarkStart w:id="2379" w:name="Tc_6pj1QJdYWUGMwUbpgKdEZw_6_0"/>
      <w:bookmarkStart w:id="2380" w:name="Tc_OqhVr6Rd50aK1iru0Nys3g_5_0"/>
      <w:bookmarkStart w:id="2381" w:name="Tc_06HsRfgsI0CfGNM1CWo2qw_4_8"/>
      <w:bookmarkStart w:id="2382" w:name="Tc_czVMEiXzkkCt3ColFCREsA_4_5"/>
      <w:bookmarkStart w:id="2383" w:name="Tc_eNtCk2HXUkO6v9bIiY_PIA_4_2"/>
      <w:bookmarkStart w:id="2384" w:name="Tc_hcdvEkWcMkawjS9asuy31A_4_0"/>
      <w:bookmarkStart w:id="2385" w:name="Tc_ZEIZ5m-V0ke4VAb-VlaMDg_3_0"/>
      <w:bookmarkStart w:id="2386" w:name="Tc_LrGY4Lb8w0W9ieZ-1vSkCg_2_8"/>
      <w:bookmarkStart w:id="2387" w:name="Tc_z1_Qp7jkxUOajo2TxnSl3Q_2_5"/>
      <w:bookmarkStart w:id="2388" w:name="Tc_Ckh7Y8PyRUK5RB3DcpYRHA_2_2"/>
      <w:bookmarkStart w:id="2389" w:name="Tc_xS7gQfUky027TrRcpOzunw_1_2"/>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r>
        <w:rPr>
          <w:rFonts w:ascii="Times New Roman;Times;serif" w:hAnsi="Times New Roman;Times;serif"/>
          <w:b/>
          <w:sz w:val="20"/>
        </w:rPr>
        <w:t>17. 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(expense)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43"/>
        <w:gridCol w:w="146"/>
        <w:gridCol w:w="211"/>
        <w:gridCol w:w="781"/>
        <w:gridCol w:w="346"/>
        <w:gridCol w:w="211"/>
        <w:gridCol w:w="781"/>
        <w:gridCol w:w="346"/>
        <w:gridCol w:w="211"/>
        <w:gridCol w:w="829"/>
      </w:tblGrid>
      <w:tr>
        <w:trPr/>
        <w:tc>
          <w:tcPr>
            <w:tcW w:w="6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4027805" cy="175260"/>
                      <wp:effectExtent l="0" t="0" r="0" b="0"/>
                      <wp:wrapNone/>
                      <wp:docPr id="729" name="Frame728"/>
                      <a:graphic xmlns:a="http://schemas.openxmlformats.org/drawingml/2006/main">
                        <a:graphicData uri="http://schemas.microsoft.com/office/word/2010/wordprocessingShape">
                          <wps:wsp>
                            <wps:cNvSpPr txBox="1"/>
                            <wps:spPr>
                              <a:xfrm>
                                <a:off x="0" y="0"/>
                                <a:ext cx="402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92710" cy="175260"/>
                      <wp:effectExtent l="0" t="0" r="0" b="0"/>
                      <wp:wrapNone/>
                      <wp:docPr id="730" name="Frame7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33985" cy="175260"/>
                      <wp:effectExtent l="0" t="0" r="0" b="0"/>
                      <wp:wrapNone/>
                      <wp:docPr id="731" name="Frame7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495935" cy="175260"/>
                      <wp:effectExtent l="0" t="0" r="0" b="0"/>
                      <wp:wrapNone/>
                      <wp:docPr id="732" name="Frame7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19710" cy="175260"/>
                      <wp:effectExtent l="0" t="0" r="0" b="0"/>
                      <wp:wrapNone/>
                      <wp:docPr id="733" name="Frame7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33985" cy="175260"/>
                      <wp:effectExtent l="0" t="0" r="0" b="0"/>
                      <wp:wrapNone/>
                      <wp:docPr id="734" name="Frame7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495935" cy="175260"/>
                      <wp:effectExtent l="0" t="0" r="0" b="0"/>
                      <wp:wrapNone/>
                      <wp:docPr id="735" name="Frame7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19710" cy="175260"/>
                      <wp:effectExtent l="0" t="0" r="0" b="0"/>
                      <wp:wrapNone/>
                      <wp:docPr id="736" name="Frame7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133985" cy="175260"/>
                      <wp:effectExtent l="0" t="0" r="0" b="0"/>
                      <wp:wrapNone/>
                      <wp:docPr id="737" name="Frame7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526415" cy="175260"/>
                      <wp:effectExtent l="0" t="0" r="0" b="0"/>
                      <wp:wrapNone/>
                      <wp:docPr id="738" name="Frame737"/>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4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71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34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3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income, net</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  ​</w:t>
            </w:r>
          </w:p>
        </w:tc>
      </w:tr>
      <w:tr>
        <w:trPr/>
        <w:tc>
          <w:tcPr>
            <w:tcW w:w="6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dividend and accretion income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3,550</w:t>
            </w:r>
          </w:p>
        </w:tc>
      </w:tr>
      <w:tr>
        <w:trPr/>
        <w:tc>
          <w:tcPr>
            <w:tcW w:w="6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investments in SPEs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w:t>
            </w:r>
          </w:p>
        </w:tc>
      </w:tr>
      <w:tr>
        <w:trPr/>
        <w:tc>
          <w:tcPr>
            <w:tcW w:w="6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notes receivable and other interest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r>
      <w:tr>
        <w:trPr/>
        <w:tc>
          <w:tcPr>
            <w:tcW w:w="63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income,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13,282</w:t>
            </w:r>
          </w:p>
        </w:tc>
      </w:tr>
      <w:tr>
        <w:trPr/>
        <w:tc>
          <w:tcPr>
            <w:tcW w:w="63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pPr>
            <w:r>
              <w:rPr/>
              <w:t>  ​</w:t>
            </w:r>
          </w:p>
        </w:tc>
      </w:tr>
      <w:tr>
        <w:trPr/>
        <w:tc>
          <w:tcPr>
            <w:tcW w:w="6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incurred for project financing and other interest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(21,762)</w:t>
            </w:r>
          </w:p>
        </w:tc>
      </w:tr>
      <w:tr>
        <w:trPr/>
        <w:tc>
          <w:tcPr>
            <w:tcW w:w="6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and amortization of discount and issuance costs for Senior Notes issued by SPE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(8,856)</w:t>
            </w:r>
          </w:p>
        </w:tc>
      </w:tr>
      <w:tr>
        <w:trPr/>
        <w:tc>
          <w:tcPr>
            <w:tcW w:w="63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(30,618)</w:t>
            </w:r>
          </w:p>
        </w:tc>
      </w:tr>
      <w:tr>
        <w:trPr/>
        <w:tc>
          <w:tcPr>
            <w:tcW w:w="63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 income from unconsolidated joint ventures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22,701</w:t>
            </w:r>
          </w:p>
        </w:tc>
      </w:tr>
      <w:tr>
        <w:trPr/>
        <w:tc>
          <w:tcPr>
            <w:tcW w:w="63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pPr>
            <w:r>
              <w:rPr/>
              <w:t>  ​</w:t>
            </w:r>
          </w:p>
        </w:tc>
      </w:tr>
      <w:tr>
        <w:trPr/>
        <w:tc>
          <w:tcPr>
            <w:tcW w:w="6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income from retained interest 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w:t>
            </w:r>
          </w:p>
        </w:tc>
      </w:tr>
      <w:tr>
        <w:trPr/>
        <w:tc>
          <w:tcPr>
            <w:tcW w:w="6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contributions to unconsolidated joint ventures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r>
      <w:tr>
        <w:trPr/>
        <w:tc>
          <w:tcPr>
            <w:tcW w:w="6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6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(expense) income,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r>
      <w:tr>
        <w:trPr/>
        <w:tc>
          <w:tcPr>
            <w:tcW w:w="63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 net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3,963</w:t>
            </w:r>
          </w:p>
        </w:tc>
      </w:tr>
      <w:tr>
        <w:trPr/>
        <w:tc>
          <w:tcPr>
            <w:tcW w:w="63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income,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9,328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dividend and accretion income includes interest income accrued or received on the Company’s cash, cash equivalents and other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income from investments in SPEs primarily includes interest earned on the investments held by Panama City Timber Finance Company, LLC, which is used to pay the interest expense for Senior Notes held by Northwest Florida Timber Finance, LLC.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earned on the Company’s notes receivable and other interest includes interest earned on notes receivable and on the Company’s unimproved land contribution to the unconsolidated Latitude Margaritaville Watersound JV as home sales are transacted in the community.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includes interest incurred related to the Company’s project financing, Senior Notes issued by Northwest Florida Timber Finance, LLC, CDD debt and finance leases. Interest expense also includes amortization of debt discount and premium and debt issuance costs. Discount and issuance costs for the Senior Notes issued by Northwest Florida Timber Finance, LLC, are amortized based on the effective interest method at an effective rate of 4.9%. See Note 5. </w:t>
      </w:r>
      <w:r>
        <w:rPr>
          <w:rFonts w:ascii="Times New Roman;Times;serif" w:hAnsi="Times New Roman;Times;serif"/>
          <w:i/>
          <w:sz w:val="20"/>
        </w:rPr>
        <w:t xml:space="preserve">Financial Instruments and Fair Value Measurements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and 2024, the Company did not capitalize interest related to projects under development or construction. During 2023 the Company capitalized $2.7 million in interest related to projects under development or construction, included within investment in real estate, net on the Company’s consolidated balance sheets.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 Income from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income from unconsolidated joint ventures includes the Company’s proportionate share of earnings or losses of unconsolidated JVs accounted for using the equity method. Equity in income from unconsolidated joint ventures includes income related to the Latitude Margaritaville Watersound JV of $32.2 million, $29.3 million and $23.6 million during 2025, 2024 and 2023, respectively. Equity in income from unconsolidated joint ventures also includes loss related to the Pier Park RI JV of $2.1 million and $0.9 million during 2025 and 2024, respectively. The hotel opened in April 2024 and activity in the current period includes start-up, depreciation and interest expenses for the project. Equity in income from unconsolidated joint ventures also includes loss related to the Watersound Fountains Independent Living JV of $4.1 million, $4.4 million and $0.7 million during 2025, 2024 and 2023, respectively. The community opened in March 2024 and is currently under lease-up.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income (expense), net primarily includes accretion income from the Company’s retained interest investments, gain on contributions to unconsolidated joint ventures, gain (loss) on disposal of assets and other income and expense items.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had a beneficial interest in a bankruptcy-remote qualified special purpose entity used in the installment sale monetization of certain sales of forestry real estate in 2008. Prior to optional prepayment, in full, of the installment notes in August 2023, the Company recorded the accretion of investment income from its retained interest investment over the life of the retained interest using the effective yield method.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Gain on contributions to unconsolidated joint ventures includes gain on additional infrastructure improvements contributed to the Company’s unconsolidated Latitude Margaritaville Watersound JV. 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Gain (loss) on disposition of assets during 2025, primarily includes gain on the sale of the Company’s N850J aircraft previously used in hospitality operations. Gain (loss) on disposition of assets during 2024 and 2023, primarily includes loss on disposal of hospitality assets.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Miscellaneous (expense) income, net during 2025, primarily includes expense of $1.2 million for design costs for certain residential, hospitality and commercial assets that the Company is no longer pursuing. Miscellaneous (expense) income, net also includes loss on early extinguishment of debt related to the payoff of the Watercrest JV Loan, as well as fees related to other loans. Miscellaneous (expense) income, net during 2023, includes $1.1 million the Company received from the Florida Division of Emergency Management’s TRBG program for recovery of lost income related to timber crop that was destroyed as a result of Hurricane Michael in 2018. Miscellaneous (expense) income, net during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49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2023, includes income of $0.4 million related to a gain on retained interest investment. Miscellaneous (expense) income, net during 2023, also includes $0.6 million of expense for cleanup of damaged timber as a result of Hurricane Michael.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Segment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conducts primarily all of its business in the following three reportable segments: 1) residential, 2) hospitality and 3) commercial. The Company’s reportable segments are strategic business units that offer different products and services. They are each managed separately and decisions about allocations of resources are determined by management based on these strategic business units.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residential segment typically plans and develops residential communities of various sizes across a wide range of price points and sells homesites to homebuilders or retail consumers. The Company’s hospitality segment features a private membership club, hotel operations, food and beverage operations, golf courses, beach clubs, retail outlets, gulf-front vacation rentals, marinas and other entertainment offerings. The hospitality segment may also generate revenue from the sale of operating properties. The Company’s commercial segment includes leasing of commercial property, multi-family, self-storage and other assets, as well as senior living prior to the sale of the Watercrest JV’s senior living community property in September 2025. The commercial segment also oversees the planning, development, entitlement, management and sale of the Company’s commercial and forestry land holdings for a variety of uses, including a broad range of retail, office, hotel, senior living, multi-family, self-storage and industrial properties. The commercial segment also manages the Company’s timber holdings, which includes growing and selling pulpwood, sawtimber and other products. All real estate assets and operations are in Northwest Florida.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accounting policies of the segments are the same as those described herein. Total revenue represents sales to unaffiliated customers, as reported in the Company’s consolidated statements of income. All significant intercompany transactions have been eliminated in consolidation. The Company uses total segment revenue, gross profit and income before income taxes and non-controlling interest and other qualitative measures for purposes of making decisions about allocating resources to each segment and assessing each segment’s performance, which the Company believes represents current performance measures.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President, Chief Executive Officer and Chairman of the Board is the Chief Operating Decision Maker (the “CODM”). For the residential, hospitality and commercial segments, the CODM uses segment revenue, gross profit and income before income taxes and non-controlling interest to allocate resources (including employees, property, and financial or capital resources) for each segment predominantly in the annual budget and forecasting process. The CODM considers budget-to-actual variances on a monthly basis for the profit measures when making decisions about allocating capital and personnel to the segments. The CODM also uses segment revenue and gross profit for evaluating product pricing and segment income before income taxes and non-controlling interest to assess the performance for each segment by comparing the results and return on assets of each segment with one another and in the compensation of certain 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does not allocate income taxes or unusual items to segments. In addition, the hospitality and commercial segments have significant noncash depreciation and amortization in reported profit or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captions entitled “Other” consists of mitigation bank credit sales and cost of revenue; real estate brokerage, title insurance agency and insurance agency business revenue and cost of revenue; corporate operating expenses; corporate depreciation and amortization and corporate other income and expense items.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50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390" w:name="Tc_vAW99WIBGkaMcsQceyrVQw_51_7"/>
      <w:bookmarkStart w:id="2391" w:name="Tc_zlxVSsHJAka0435vfhV_Vw_51_4"/>
      <w:bookmarkStart w:id="2392" w:name="Tc_jW6I4gASzkKQAh-X_8GDRg_51_1"/>
      <w:bookmarkStart w:id="2393" w:name="Tc_fxlrszV0Y0Sh73ZTMD7Fww_51_0"/>
      <w:bookmarkStart w:id="2394" w:name="Tc_I00vzNfggUaDGJQzITeWFA_50_0"/>
      <w:bookmarkStart w:id="2395" w:name="Tc_aCjVPiybukCzWArH9ZV9xg_49_0"/>
      <w:bookmarkStart w:id="2396" w:name="Tc_qM1OcThYkkaHSAvsEddlfQ_48_0"/>
      <w:bookmarkStart w:id="2397" w:name="Tc_vwxTFdmeXEu-reGTILC37A_47_7"/>
      <w:bookmarkStart w:id="2398" w:name="Tc_pZDizZ4eKkGZrdZKRsgSgQ_47_4"/>
      <w:bookmarkStart w:id="2399" w:name="Tc__Ox8LSQ0L0aJMDBKspSHTA_47_1"/>
      <w:bookmarkStart w:id="2400" w:name="Tc_IhFjUFprgk2vwHKt5__lSQ_47_0"/>
      <w:bookmarkStart w:id="2401" w:name="Tc_Tn16dYjGqUOE3YR3aC1w3A_46_0"/>
      <w:bookmarkStart w:id="2402" w:name="Tc_R2hrIBwli0W4eW7Ffrripg_44_7"/>
      <w:bookmarkStart w:id="2403" w:name="Tc_kwHUy7OsSEyriOOAtyEHrA_44_4"/>
      <w:bookmarkStart w:id="2404" w:name="Tc_TS-yRs9aVkSCW4WpF68k5Q_44_1"/>
      <w:bookmarkStart w:id="2405" w:name="Tc_DTG_JrGkOU2v458ie8oRjw_44_0"/>
      <w:bookmarkStart w:id="2406" w:name="Tc_aZTqnmwch0CCX3-ZotDZ3Q_43_0"/>
      <w:bookmarkStart w:id="2407" w:name="Tc_P2Gacve3OU6uiF70KDTKEg_42_0"/>
      <w:bookmarkStart w:id="2408" w:name="Tc_mNF5itKiwkOXJTbKFY4gDw_41_0"/>
      <w:bookmarkStart w:id="2409" w:name="Tc_HuC9Zr05M0Kgv7AQ267t2w_40_7"/>
      <w:bookmarkStart w:id="2410" w:name="Tc_AHJTsn4nXEuj7806D_JBSA_40_4"/>
      <w:bookmarkStart w:id="2411" w:name="Tc_9y2E0Zz5yU-K1dtlpuNrSw_40_1"/>
      <w:bookmarkStart w:id="2412" w:name="Tc_R_V6u_ZVyUO7B-CUhLwFBA_40_0"/>
      <w:bookmarkStart w:id="2413" w:name="Tc_v_n9rvqT40GifP6U6Y_lmQ_39_0"/>
      <w:bookmarkStart w:id="2414" w:name="Tc_sYXofjMnlky_Iv31XUNcJA_37_7"/>
      <w:bookmarkStart w:id="2415" w:name="Tc_5uN57i2MIkaCBnwPsz48aw_37_4"/>
      <w:bookmarkStart w:id="2416" w:name="Tc_WLOYAPKpTk6eR6WvP-sb3Q_37_1"/>
      <w:bookmarkStart w:id="2417" w:name="Tc_n2RtxaWlM0-sX_b0_PZ4Sw_37_0"/>
      <w:bookmarkStart w:id="2418" w:name="Tc_QdKeeqI8L0e2UF7MXwYiDQ_36_0"/>
      <w:bookmarkStart w:id="2419" w:name="Tc_KwOfllfIYE2TfCOZ9SuIPg_35_0"/>
      <w:bookmarkStart w:id="2420" w:name="Tc_8nnVVlHV7063EnsYL6GR3w_34_0"/>
      <w:bookmarkStart w:id="2421" w:name="Tc_ygr8OZqnf0WR5owq2LoxVA_33_7"/>
      <w:bookmarkStart w:id="2422" w:name="Tc_PgZQoQxfW0i5AXiXf8BXzA_33_4"/>
      <w:bookmarkStart w:id="2423" w:name="Tc_SYduvGJFtUy-z2-CxaW3sQ_33_1"/>
      <w:bookmarkStart w:id="2424" w:name="Tc_Ph3GfdcGs0iOl1BCzLYB2Q_33_0"/>
      <w:bookmarkStart w:id="2425" w:name="Tc_A_JDWSOY9kCdvkY0SZ5gGg_32_0"/>
      <w:bookmarkStart w:id="2426" w:name="Tc_LPH-Zn-sXkui1e-9LMxSvA_30_7"/>
      <w:bookmarkStart w:id="2427" w:name="Tc_jGZa1QbqI0yNa26-vWHsUg_30_4"/>
      <w:bookmarkStart w:id="2428" w:name="Tc_Q-ye5n65hku1Ay2MQv-fbg_30_1"/>
      <w:bookmarkStart w:id="2429" w:name="Tc_7NObUpv_cU6iPeiQZlKpfQ_30_0"/>
      <w:bookmarkStart w:id="2430" w:name="Tc_DvJfxf8vykKeZ4CJPwNEcQ_29_0"/>
      <w:bookmarkStart w:id="2431" w:name="Tc_RIqTs0iLl0Gy5OiEtZ-rwg_28_0"/>
      <w:bookmarkStart w:id="2432" w:name="Tc__Hc5VjpsCU6kPR0dMEjtcg_27_0"/>
      <w:bookmarkStart w:id="2433" w:name="Tc_s8QruJcM4UuI_yiienM_0w_26_7"/>
      <w:bookmarkStart w:id="2434" w:name="Tc_RNJnYoumf0eE1mhRje-E8w_26_4"/>
      <w:bookmarkStart w:id="2435" w:name="Tc_8WVwH5G7KUefcgUYUDbkfA_26_1"/>
      <w:bookmarkStart w:id="2436" w:name="Tc_qWCClZkMmE28kmpKk9ksMA_26_0"/>
      <w:bookmarkStart w:id="2437" w:name="Tc_oceS2pgJOEy94d26ZtSpGw_25_0"/>
      <w:bookmarkStart w:id="2438" w:name="Tc_wGd8sAc3SUSn1p4ldihi0Q_23_7"/>
      <w:bookmarkStart w:id="2439" w:name="Tc_ho8eYqN-20CsZoyEZXKOuA_23_4"/>
      <w:bookmarkStart w:id="2440" w:name="Tc_ISDk9JBDGEmWxs6CsTOQ3A_23_1"/>
      <w:bookmarkStart w:id="2441" w:name="Tc_wlNW0Q4MTkWbNYAC_7FVsw_23_0"/>
      <w:bookmarkStart w:id="2442" w:name="Tc_0Pos7Tn5K0uXvE_hFGO0oA_22_0"/>
      <w:bookmarkStart w:id="2443" w:name="Tc_Se3miJM_tkq1zhjc309dBA_21_0"/>
      <w:bookmarkStart w:id="2444" w:name="Tc_FqRVp8RUrU2jW1yabW-hbg_20_0"/>
      <w:bookmarkStart w:id="2445" w:name="Tc_uS0AIDc2y0SCau6trIL4pg_19_7"/>
      <w:bookmarkStart w:id="2446" w:name="Tc_MHZtFqguJkWhpKJsGR_qBA_19_4"/>
      <w:bookmarkStart w:id="2447" w:name="Tc_FYv8lCSDUkyiHTbWKIrycQ_19_1"/>
      <w:bookmarkStart w:id="2448" w:name="Tc_5kx09FL05Ee9Q9Hbv6L1fw_19_0"/>
      <w:bookmarkStart w:id="2449" w:name="Tc_DNpAEvEaakmXwqScdWFhmw_18_0"/>
      <w:bookmarkStart w:id="2450" w:name="Tc_7dIyhJTuw0aM-nVKIKu0JQ_16_7"/>
      <w:bookmarkStart w:id="2451" w:name="Tc_x0DsDisG70S2NUhxdeqf8Q_16_4"/>
      <w:bookmarkStart w:id="2452" w:name="Tc_3maaijju4EedhyBQ_SO7_Q_16_1"/>
      <w:bookmarkStart w:id="2453" w:name="Tc_XBOvtLepWUuX9r7wT_d49g_16_0"/>
      <w:bookmarkStart w:id="2454" w:name="Tc_GvCC4tjeMkmBuSac_Vm8dA_15_0"/>
      <w:bookmarkStart w:id="2455" w:name="Tc_GTd-EGvPQ0a0IvxVvrq19Q_14_0"/>
      <w:bookmarkStart w:id="2456" w:name="Tc_DLzFSxF8jUaJRvf7IpROEQ_13_0"/>
      <w:bookmarkStart w:id="2457" w:name="Tc_b1bhjGJzt0-d7G7rYEgWCw_12_7"/>
      <w:bookmarkStart w:id="2458" w:name="Tc_Wkb6IrItw02BhpVYBterag_12_4"/>
      <w:bookmarkStart w:id="2459" w:name="Tc_PJk0OXW10Um1t56oL5F89A_12_1"/>
      <w:bookmarkStart w:id="2460" w:name="Tc_RlNe4_cwjkCP_6Y9INklkw_12_0"/>
      <w:bookmarkStart w:id="2461" w:name="Tc_IxFuFU1O2keUgPzk9iWglA_11_0"/>
      <w:bookmarkStart w:id="2462" w:name="Tc_DxbmGeG0YEWQ9jPOYjQAIQ_9_7"/>
      <w:bookmarkStart w:id="2463" w:name="Tc_bl-4DXrthUqd6xB6s7db4g_9_4"/>
      <w:bookmarkStart w:id="2464" w:name="Tc_dgvUlu7RJECcLy_3Y0uV6Q_9_1"/>
      <w:bookmarkStart w:id="2465" w:name="Tc_pRIifPsL90aYWOySRo4zfg_9_0"/>
      <w:bookmarkStart w:id="2466" w:name="Tc_ni4KFJW_VEKUFmHLzGb7_w_8_0"/>
      <w:bookmarkStart w:id="2467" w:name="Tc_BaxdQraBuUqt3aW-jkufIg_7_0"/>
      <w:bookmarkStart w:id="2468" w:name="Tc_umUSDWOG4Umh-_zvwjL38w_6_0"/>
      <w:bookmarkStart w:id="2469" w:name="Tc_6RZhuVXyrECalmiKITYfbg_5_7"/>
      <w:bookmarkStart w:id="2470" w:name="Tc_U4wNiywO106Ljd2SODP7Kg_5_4"/>
      <w:bookmarkStart w:id="2471" w:name="Tc_85vLRmV0L0usp6QZgE2gCw_5_1"/>
      <w:bookmarkStart w:id="2472" w:name="Tc_W8wO8OnkTkC333LVHuqkMA_5_0"/>
      <w:bookmarkStart w:id="2473" w:name="Tc_pEdZ17kwekuvjf964swzGw_4_0"/>
      <w:bookmarkStart w:id="2474" w:name="Tc_R4a0TrOmDk2nG3G5yA0HWA_3_7"/>
      <w:bookmarkStart w:id="2475" w:name="Tc_e59tZ-6TVEy9OtLtBds8Tg_3_4"/>
      <w:bookmarkStart w:id="2476" w:name="Tc_TYou9UytL0uhRHWC7nNmPg_3_1"/>
      <w:bookmarkStart w:id="2477" w:name="Tc__M3R5nWGSUe9Du2QufslAA_2_1"/>
      <w:bookmarkStart w:id="2478" w:name="_93e14af8_7957_4d55_86c0_3521e9be6bb2"/>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r>
        <w:rPr>
          <w:rFonts w:ascii="Times New Roman;Times;serif" w:hAnsi="Times New Roman;Times;serif"/>
          <w:sz w:val="20"/>
        </w:rPr>
        <w:t>Information by business segment is as follows:</w:t>
      </w:r>
    </w:p>
    <w:p>
      <w:pPr>
        <w:pStyle w:val="TextBody"/>
        <w:bidi w:val="0"/>
        <w:spacing w:before="0" w:after="0"/>
        <w:ind w:left="0" w:right="0" w:hanging="0"/>
        <w:jc w:val="left"/>
        <w:rPr/>
      </w:pPr>
      <w:r>
        <w:rPr/>
        <w:t>​</w:t>
      </w:r>
    </w:p>
    <w:tbl>
      <w:tblPr>
        <w:tblW w:w="8559" w:type="dxa"/>
        <w:jc w:val="left"/>
        <w:tblInd w:w="0" w:type="dxa"/>
        <w:tblLayout w:type="fixed"/>
        <w:tblCellMar>
          <w:top w:w="0" w:type="dxa"/>
          <w:left w:w="0" w:type="dxa"/>
          <w:bottom w:w="0" w:type="dxa"/>
          <w:right w:w="0" w:type="dxa"/>
        </w:tblCellMar>
      </w:tblPr>
      <w:tblGrid>
        <w:gridCol w:w="4846"/>
        <w:gridCol w:w="211"/>
        <w:gridCol w:w="781"/>
        <w:gridCol w:w="346"/>
        <w:gridCol w:w="211"/>
        <w:gridCol w:w="781"/>
        <w:gridCol w:w="346"/>
        <w:gridCol w:w="211"/>
        <w:gridCol w:w="82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3077210" cy="175260"/>
                      <wp:effectExtent l="0" t="0" r="0" b="0"/>
                      <wp:wrapNone/>
                      <wp:docPr id="739" name="Frame738"/>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33985" cy="175260"/>
                      <wp:effectExtent l="0" t="0" r="0" b="0"/>
                      <wp:wrapNone/>
                      <wp:docPr id="740" name="Frame7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495935" cy="175260"/>
                      <wp:effectExtent l="0" t="0" r="0" b="0"/>
                      <wp:wrapNone/>
                      <wp:docPr id="741" name="Frame7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219710" cy="175260"/>
                      <wp:effectExtent l="0" t="0" r="0" b="0"/>
                      <wp:wrapNone/>
                      <wp:docPr id="742" name="Frame7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133985" cy="175260"/>
                      <wp:effectExtent l="0" t="0" r="0" b="0"/>
                      <wp:wrapNone/>
                      <wp:docPr id="743" name="Frame7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495935" cy="175260"/>
                      <wp:effectExtent l="0" t="0" r="0" b="0"/>
                      <wp:wrapNone/>
                      <wp:docPr id="744" name="Frame7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19710" cy="175260"/>
                      <wp:effectExtent l="0" t="0" r="0" b="0"/>
                      <wp:wrapNone/>
                      <wp:docPr id="745" name="Frame7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133985" cy="175260"/>
                      <wp:effectExtent l="0" t="0" r="0" b="0"/>
                      <wp:wrapNone/>
                      <wp:docPr id="746" name="Frame7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524510" cy="175260"/>
                      <wp:effectExtent l="0" t="0" r="0" b="0"/>
                      <wp:wrapNone/>
                      <wp:docPr id="747" name="Frame7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4846" w:type="dxa"/>
            <w:tcBorders/>
            <w:vAlign w:val="center"/>
          </w:tcPr>
          <w:p>
            <w:pPr>
              <w:pStyle w:val="TableContents"/>
              <w:bidi w:val="0"/>
              <w:spacing w:before="0" w:after="0"/>
              <w:ind w:left="0" w:right="0" w:hanging="0"/>
              <w:jc w:val="left"/>
              <w:rPr/>
            </w:pPr>
            <w:r>
              <w:rPr/>
              <w:t>​</w:t>
            </w:r>
          </w:p>
        </w:tc>
        <w:tc>
          <w:tcPr>
            <w:tcW w:w="37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8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revenue:</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155,820</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154,574</w:t>
            </w:r>
          </w:p>
        </w:tc>
      </w:tr>
      <w:tr>
        <w:trPr/>
        <w:tc>
          <w:tcPr>
            <w:tcW w:w="4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(a)</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74,437</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operating revenue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513,246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402,737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389,285</w:t>
            </w:r>
          </w:p>
        </w:tc>
      </w:tr>
      <w:tr>
        <w:trPr/>
        <w:tc>
          <w:tcPr>
            <w:tcW w:w="48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residential revenue </w:t>
            </w:r>
            <w:r>
              <w:rPr>
                <w:rFonts w:ascii="Times New Roman;Times;serif" w:hAnsi="Times New Roman;Times;serif"/>
                <w:sz w:val="15"/>
              </w:rPr>
              <w:t>(b)</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77,946</w:t>
            </w:r>
          </w:p>
        </w:tc>
      </w:tr>
      <w:tr>
        <w:trPr/>
        <w:tc>
          <w:tcPr>
            <w:tcW w:w="4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hospitality revenue </w:t>
            </w:r>
            <w:r>
              <w:rPr>
                <w:rFonts w:ascii="Times New Roman;Times;serif" w:hAnsi="Times New Roman;Times;serif"/>
                <w:sz w:val="15"/>
              </w:rPr>
              <w:t>(b)</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124,813</w:t>
            </w:r>
          </w:p>
        </w:tc>
      </w:tr>
      <w:tr>
        <w:trPr/>
        <w:tc>
          <w:tcPr>
            <w:tcW w:w="4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commercial revenue </w:t>
            </w:r>
            <w:r>
              <w:rPr>
                <w:rFonts w:ascii="Times New Roman;Times;serif" w:hAnsi="Times New Roman;Times;serif"/>
                <w:sz w:val="15"/>
              </w:rPr>
              <w:t>(a) (b)</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30,300</w:t>
            </w:r>
          </w:p>
        </w:tc>
      </w:tr>
      <w:tr>
        <w:trPr/>
        <w:tc>
          <w:tcPr>
            <w:tcW w:w="4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other revenue </w:t>
            </w:r>
            <w:r>
              <w:rPr>
                <w:rFonts w:ascii="Times New Roman;Times;serif" w:hAnsi="Times New Roman;Times;serif"/>
                <w:sz w:val="15"/>
              </w:rPr>
              <w:t>(b)</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w:t>
            </w:r>
          </w:p>
        </w:tc>
      </w:tr>
      <w:tr>
        <w:trPr/>
        <w:tc>
          <w:tcPr>
            <w:tcW w:w="4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Consolidated cost of revenue</w:t>
            </w:r>
            <w:r>
              <w:rPr>
                <w:rFonts w:ascii="Times New Roman;Times;serif" w:hAnsi="Times New Roman;Times;serif"/>
                <w:sz w:val="20"/>
              </w:rPr>
              <w:t xml:space="preserve"> </w:t>
            </w:r>
            <w:r>
              <w:rPr>
                <w:rFonts w:ascii="Times New Roman;Times;serif" w:hAnsi="Times New Roman;Times;serif"/>
                <w:b/>
                <w:sz w:val="15"/>
              </w:rPr>
              <w:t>(b)</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292,276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235,516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235,979</w:t>
            </w:r>
          </w:p>
        </w:tc>
      </w:tr>
      <w:tr>
        <w:trPr/>
        <w:tc>
          <w:tcPr>
            <w:tcW w:w="48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77,874</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29,761</w:t>
            </w:r>
          </w:p>
        </w:tc>
      </w:tr>
      <w:tr>
        <w:trPr/>
        <w:tc>
          <w:tcPr>
            <w:tcW w:w="4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(a)</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44,137</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gross profit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220,970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167,221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153,306</w:t>
            </w:r>
          </w:p>
        </w:tc>
      </w:tr>
      <w:tr>
        <w:trPr/>
        <w:tc>
          <w:tcPr>
            <w:tcW w:w="48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 and other operating expenses:</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Residential </w:t>
            </w:r>
            <w:r>
              <w:rPr>
                <w:rFonts w:ascii="Times New Roman;Times;serif" w:hAnsi="Times New Roman;Times;serif"/>
                <w:sz w:val="15"/>
              </w:rPr>
              <w:t>(b)</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w:t>
            </w:r>
          </w:p>
        </w:tc>
      </w:tr>
      <w:tr>
        <w:trPr/>
        <w:tc>
          <w:tcPr>
            <w:tcW w:w="4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Hospitality </w:t>
            </w:r>
            <w:r>
              <w:rPr>
                <w:rFonts w:ascii="Times New Roman;Times;serif" w:hAnsi="Times New Roman;Times;serif"/>
                <w:sz w:val="15"/>
              </w:rPr>
              <w:t>(b)</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w:t>
            </w:r>
          </w:p>
        </w:tc>
      </w:tr>
      <w:tr>
        <w:trPr/>
        <w:tc>
          <w:tcPr>
            <w:tcW w:w="4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(b)</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4,321</w:t>
            </w:r>
          </w:p>
        </w:tc>
      </w:tr>
      <w:tr>
        <w:trPr/>
        <w:tc>
          <w:tcPr>
            <w:tcW w:w="4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(b)</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13,155</w:t>
            </w:r>
          </w:p>
        </w:tc>
      </w:tr>
      <w:tr>
        <w:trPr/>
        <w:tc>
          <w:tcPr>
            <w:tcW w:w="4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 xml:space="preserve">Consolidated corporate and other operating expenses </w:t>
            </w:r>
            <w:r>
              <w:rPr>
                <w:rFonts w:ascii="Times New Roman;Times;serif" w:hAnsi="Times New Roman;Times;serif"/>
                <w:b/>
                <w:sz w:val="15"/>
              </w:rPr>
              <w:t>(b)</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23,797</w:t>
            </w:r>
          </w:p>
        </w:tc>
      </w:tr>
      <w:tr>
        <w:trPr/>
        <w:tc>
          <w:tcPr>
            <w:tcW w:w="48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depletion and amortization:</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22,101</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16,056</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depreciation, depletion and amortization</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47,471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46,385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38,776</w:t>
            </w:r>
          </w:p>
        </w:tc>
      </w:tr>
      <w:tr>
        <w:trPr/>
        <w:tc>
          <w:tcPr>
            <w:tcW w:w="48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income, net: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(c)</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11,277</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investment income, net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13,282</w:t>
            </w:r>
          </w:p>
        </w:tc>
      </w:tr>
      <w:tr>
        <w:trPr/>
        <w:tc>
          <w:tcPr>
            <w:tcW w:w="48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11,680</w:t>
            </w:r>
          </w:p>
        </w:tc>
      </w:tr>
      <w:tr>
        <w:trPr/>
        <w:tc>
          <w:tcPr>
            <w:tcW w:w="4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(d)</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8,860</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interest expense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30,618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51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479" w:name="Tc_8MklBkS_-UKzxRlccz2imQ_13_5"/>
      <w:bookmarkStart w:id="2480" w:name="Tc_MROWjiCGAEipjB7qDeLVqg_13_2"/>
      <w:bookmarkStart w:id="2481" w:name="Tc_xB44orZjzEu3Zz8NiiLYog_13_0"/>
      <w:bookmarkStart w:id="2482" w:name="Tc_R1HhIAxk306a-D9BNbcs7w_12_0"/>
      <w:bookmarkStart w:id="2483" w:name="Tc_lZ81b2ava02qIUwWRu1t_Q_11_0"/>
      <w:bookmarkStart w:id="2484" w:name="Tc_8dQkFoB16EyX7rfezPdEaA_10_0"/>
      <w:bookmarkStart w:id="2485" w:name="Tc_XJDVoUV0nEK7Eixx70nbTQ_9_5"/>
      <w:bookmarkStart w:id="2486" w:name="Tc_efbV1YQL7UGIQh6jB7Ek9A_9_2"/>
      <w:bookmarkStart w:id="2487" w:name="Tc_oOo48Dy3mku1PCwSaeyH2g_9_0"/>
      <w:bookmarkStart w:id="2488" w:name="Tc_BouYjvFfVku3gmc4AyUZzA_8_0"/>
      <w:bookmarkStart w:id="2489" w:name="Tc_WtBSaxpg00y75CvXLhzrHA_6_5"/>
      <w:bookmarkStart w:id="2490" w:name="Tc_Gbeow4_gDEWeFvX-yewW4w_6_2"/>
      <w:bookmarkStart w:id="2491" w:name="Tc_FQlHknk6MEi657K1nkgJrg_6_0"/>
      <w:bookmarkStart w:id="2492" w:name="Tc_9-JgH2uFh0S1fUIGwhf3zA_5_0"/>
      <w:bookmarkStart w:id="2493" w:name="Tc_iL7ty61rm0ahfql28Txmdg_4_5"/>
      <w:bookmarkStart w:id="2494" w:name="Tc_bDUmBfxrw06bVlH9pQi5mA_4_2"/>
      <w:bookmarkStart w:id="2495" w:name="Tc_HU6XV5tMxEeTSQjLyYMTJA_4_0"/>
      <w:bookmarkStart w:id="2496" w:name="Tc_-I5vEXbmcUq1NdTb3sOSLw_3_0"/>
      <w:bookmarkStart w:id="2497" w:name="Tc_CSdeoo79J0ehPPQfyPVKnQ_2_5"/>
      <w:bookmarkStart w:id="2498" w:name="Tc_F-d65xqz3EmXfk-qxHu8Cw_2_2"/>
      <w:bookmarkStart w:id="2499" w:name="Tc_Bi0Lg7islkSlYeCuHuA3bA_1_5"/>
      <w:bookmarkStart w:id="2500" w:name="Tc_Q_hA6_Y_-Eqb8hSvytdu7g_1_2"/>
      <w:bookmarkStart w:id="2501" w:name="_6b4448bf_5ab1_4b1d_8494_0c6bc032b87f"/>
      <w:bookmarkStart w:id="2502" w:name="Tc_yfSRD6TFJU6wrv0MVhflow_79_7"/>
      <w:bookmarkStart w:id="2503" w:name="Tc_kUJ_jyqvQki3OeD8j57ZSA_79_4"/>
      <w:bookmarkStart w:id="2504" w:name="Tc_cNYzYIhFlkCgoPs7hDct7A_79_1"/>
      <w:bookmarkStart w:id="2505" w:name="Tc_ZiYnPucA_kenXyEUWtuYLg_79_0"/>
      <w:bookmarkStart w:id="2506" w:name="Tc_O14FMKPJVEyjxxofH7ryDQ_78_0"/>
      <w:bookmarkStart w:id="2507" w:name="Tc_K5DqSUC85EGERlQRZ9cg0w_77_0"/>
      <w:bookmarkStart w:id="2508" w:name="Tc_JL6aNaE9Y0K3REUR7Kfmgg_76_0"/>
      <w:bookmarkStart w:id="2509" w:name="Tc_KpP_NFxgGUCoAEAlHl_o_w_75_7"/>
      <w:bookmarkStart w:id="2510" w:name="Tc_J0e0rINoCESIW6s91Umskw_75_4"/>
      <w:bookmarkStart w:id="2511" w:name="Tc__bi3svHGGky62PDjyCjUiw_75_1"/>
      <w:bookmarkStart w:id="2512" w:name="Tc_pAHan7CiZkOu0ikFtLbvmA_75_0"/>
      <w:bookmarkStart w:id="2513" w:name="Tc_dRRACm97Lk67DSirK-NLpQ_74_0"/>
      <w:bookmarkStart w:id="2514" w:name="Tc_Y5muLUGgiUqKwY_muMqjvQ_72_7"/>
      <w:bookmarkStart w:id="2515" w:name="Tc_f3p12kPqwEurLrsxFJn_yQ_72_4"/>
      <w:bookmarkStart w:id="2516" w:name="Tc_4MM35Yh130yGV2K26Yxqzw_72_1"/>
      <w:bookmarkStart w:id="2517" w:name="Tc_Rni-WAw55kegVj6yLCUcxA_72_0"/>
      <w:bookmarkStart w:id="2518" w:name="Tc_g42Ej_I2fkGhzEEKoen34Q_71_0"/>
      <w:bookmarkStart w:id="2519" w:name="Tc_iHY-2VzkbE2-RDY1YGwb-g_70_0"/>
      <w:bookmarkStart w:id="2520" w:name="Tc_SKH2BNhOwkKWGc3lHt8-XA_69_0"/>
      <w:bookmarkStart w:id="2521" w:name="Tc_HKAGqKxTyUqopEHk0VMQqg_68_7"/>
      <w:bookmarkStart w:id="2522" w:name="Tc_oTOj-zTo1kuLoFfJrItCuA_68_4"/>
      <w:bookmarkStart w:id="2523" w:name="Tc_HCCEZZQU_k-vstoJnDAmuQ_68_1"/>
      <w:bookmarkStart w:id="2524" w:name="Tc_9WB4kMHngEaUFrz5mZx9pQ_68_0"/>
      <w:bookmarkStart w:id="2525" w:name="Tc_1GoBBR1lzkST7zQpel1hZA_67_0"/>
      <w:bookmarkStart w:id="2526" w:name="Tc_xh-44drAAEiUaALGimcHAA_65_7"/>
      <w:bookmarkStart w:id="2527" w:name="Tc_1o04gMgXdk6Kb19aW8jJGA_65_4"/>
      <w:bookmarkStart w:id="2528" w:name="Tc_Vpc3NpXnFEKGoElHdpfWtQ_65_1"/>
      <w:bookmarkStart w:id="2529" w:name="Tc_ev63IzC3lke_UEZGKIoEVg_65_0"/>
      <w:bookmarkStart w:id="2530" w:name="Tc_xhUYeRZgMUa8wWybDQgW9w_64_0"/>
      <w:bookmarkStart w:id="2531" w:name="Tc_LYmQGN5PdU-r_4b9QoN5ig_63_0"/>
      <w:bookmarkStart w:id="2532" w:name="Tc_lHArjNk_ZkCzdqxsNbFzNA_62_0"/>
      <w:bookmarkStart w:id="2533" w:name="Tc_5lEP6Ptb0EizGikquTP_EA_61_7"/>
      <w:bookmarkStart w:id="2534" w:name="Tc_X1apy1jeY0mfwJdPti7n5g_61_4"/>
      <w:bookmarkStart w:id="2535" w:name="Tc_gXAfT07ZM0Om53W2hYN8qw_61_1"/>
      <w:bookmarkStart w:id="2536" w:name="Tc_MyotGH4-K0-eTHWHpo1GWw_61_0"/>
      <w:bookmarkStart w:id="2537" w:name="Tc_0j51j6oYn0C0ga3IcYgYfg_60_0"/>
      <w:bookmarkStart w:id="2538" w:name="Tc_RY3G_i7v2kGanKoNMTpN3A_58_7"/>
      <w:bookmarkStart w:id="2539" w:name="Tc_yevhn9_QBUWIKWTbTrd1_w_58_4"/>
      <w:bookmarkStart w:id="2540" w:name="Tc_kndCqdYW8kibQNa7AxRZYQ_58_1"/>
      <w:bookmarkStart w:id="2541" w:name="Tc_ztNuAKzo3kSL2BDvsSe4kg_58_0"/>
      <w:bookmarkStart w:id="2542" w:name="Tc_Uu30jtM6b0uKjyaVcP4W0Q_57_0"/>
      <w:bookmarkStart w:id="2543" w:name="Tc_zxANAf92w0C2ypD9NMuzWw_56_7"/>
      <w:bookmarkStart w:id="2544" w:name="Tc_TxrHdWhbgkqRf9i_YnmwdA_56_4"/>
      <w:bookmarkStart w:id="2545" w:name="Tc_dFJjz1a-CkepGIUv6l21SQ_56_1"/>
      <w:bookmarkStart w:id="2546" w:name="Tc_7B99PpL7iUa96vXu3bWp0Q_56_0"/>
      <w:bookmarkStart w:id="2547" w:name="Tc_k8d7tiDVpESkb0FBnyuR6w_55_0"/>
      <w:bookmarkStart w:id="2548" w:name="Tc_HMLEdr7VMkWf4hVtuYSMlg_54_7"/>
      <w:bookmarkStart w:id="2549" w:name="Tc_ykDj25ZRXEWYleIxNdgISA_54_4"/>
      <w:bookmarkStart w:id="2550" w:name="Tc_bJRMZKANpkOGfRzEaDAUNg_54_1"/>
      <w:bookmarkStart w:id="2551" w:name="Tc_Xnts7HPud0as1MVvvteuEw_53_1"/>
      <w:bookmarkStart w:id="2552" w:name="Tc_8MklBkS_-UKzxRlccz2imQ_13_5"/>
      <w:bookmarkStart w:id="2553" w:name="Tc_MROWjiCGAEipjB7qDeLVqg_13_2"/>
      <w:bookmarkStart w:id="2554" w:name="Tc_xB44orZjzEu3Zz8NiiLYog_13_0"/>
      <w:bookmarkStart w:id="2555" w:name="Tc_R1HhIAxk306a-D9BNbcs7w_12_0"/>
      <w:bookmarkStart w:id="2556" w:name="Tc_lZ81b2ava02qIUwWRu1t_Q_11_0"/>
      <w:bookmarkStart w:id="2557" w:name="Tc_8dQkFoB16EyX7rfezPdEaA_10_0"/>
      <w:bookmarkStart w:id="2558" w:name="Tc_XJDVoUV0nEK7Eixx70nbTQ_9_5"/>
      <w:bookmarkStart w:id="2559" w:name="Tc_efbV1YQL7UGIQh6jB7Ek9A_9_2"/>
      <w:bookmarkStart w:id="2560" w:name="Tc_oOo48Dy3mku1PCwSaeyH2g_9_0"/>
      <w:bookmarkStart w:id="2561" w:name="Tc_BouYjvFfVku3gmc4AyUZzA_8_0"/>
      <w:bookmarkStart w:id="2562" w:name="Tc_WtBSaxpg00y75CvXLhzrHA_6_5"/>
      <w:bookmarkStart w:id="2563" w:name="Tc_Gbeow4_gDEWeFvX-yewW4w_6_2"/>
      <w:bookmarkStart w:id="2564" w:name="Tc_FQlHknk6MEi657K1nkgJrg_6_0"/>
      <w:bookmarkStart w:id="2565" w:name="Tc_9-JgH2uFh0S1fUIGwhf3zA_5_0"/>
      <w:bookmarkStart w:id="2566" w:name="Tc_iL7ty61rm0ahfql28Txmdg_4_5"/>
      <w:bookmarkStart w:id="2567" w:name="Tc_bDUmBfxrw06bVlH9pQi5mA_4_2"/>
      <w:bookmarkStart w:id="2568" w:name="Tc_HU6XV5tMxEeTSQjLyYMTJA_4_0"/>
      <w:bookmarkStart w:id="2569" w:name="Tc_-I5vEXbmcUq1NdTb3sOSLw_3_0"/>
      <w:bookmarkStart w:id="2570" w:name="Tc_CSdeoo79J0ehPPQfyPVKnQ_2_5"/>
      <w:bookmarkStart w:id="2571" w:name="Tc_F-d65xqz3EmXfk-qxHu8Cw_2_2"/>
      <w:bookmarkStart w:id="2572" w:name="Tc_Bi0Lg7islkSlYeCuHuA3bA_1_5"/>
      <w:bookmarkStart w:id="2573" w:name="Tc_Q_hA6_Y_-Eqb8hSvytdu7g_1_2"/>
      <w:bookmarkStart w:id="2574" w:name="_6b4448bf_5ab1_4b1d_8494_0c6bc032b87f"/>
      <w:bookmarkStart w:id="2575" w:name="Tc_yfSRD6TFJU6wrv0MVhflow_79_7"/>
      <w:bookmarkStart w:id="2576" w:name="Tc_kUJ_jyqvQki3OeD8j57ZSA_79_4"/>
      <w:bookmarkStart w:id="2577" w:name="Tc_cNYzYIhFlkCgoPs7hDct7A_79_1"/>
      <w:bookmarkStart w:id="2578" w:name="Tc_ZiYnPucA_kenXyEUWtuYLg_79_0"/>
      <w:bookmarkStart w:id="2579" w:name="Tc_O14FMKPJVEyjxxofH7ryDQ_78_0"/>
      <w:bookmarkStart w:id="2580" w:name="Tc_K5DqSUC85EGERlQRZ9cg0w_77_0"/>
      <w:bookmarkStart w:id="2581" w:name="Tc_JL6aNaE9Y0K3REUR7Kfmgg_76_0"/>
      <w:bookmarkStart w:id="2582" w:name="Tc_KpP_NFxgGUCoAEAlHl_o_w_75_7"/>
      <w:bookmarkStart w:id="2583" w:name="Tc_J0e0rINoCESIW6s91Umskw_75_4"/>
      <w:bookmarkStart w:id="2584" w:name="Tc__bi3svHGGky62PDjyCjUiw_75_1"/>
      <w:bookmarkStart w:id="2585" w:name="Tc_pAHan7CiZkOu0ikFtLbvmA_75_0"/>
      <w:bookmarkStart w:id="2586" w:name="Tc_dRRACm97Lk67DSirK-NLpQ_74_0"/>
      <w:bookmarkStart w:id="2587" w:name="Tc_Y5muLUGgiUqKwY_muMqjvQ_72_7"/>
      <w:bookmarkStart w:id="2588" w:name="Tc_f3p12kPqwEurLrsxFJn_yQ_72_4"/>
      <w:bookmarkStart w:id="2589" w:name="Tc_4MM35Yh130yGV2K26Yxqzw_72_1"/>
      <w:bookmarkStart w:id="2590" w:name="Tc_Rni-WAw55kegVj6yLCUcxA_72_0"/>
      <w:bookmarkStart w:id="2591" w:name="Tc_g42Ej_I2fkGhzEEKoen34Q_71_0"/>
      <w:bookmarkStart w:id="2592" w:name="Tc_iHY-2VzkbE2-RDY1YGwb-g_70_0"/>
      <w:bookmarkStart w:id="2593" w:name="Tc_SKH2BNhOwkKWGc3lHt8-XA_69_0"/>
      <w:bookmarkStart w:id="2594" w:name="Tc_HKAGqKxTyUqopEHk0VMQqg_68_7"/>
      <w:bookmarkStart w:id="2595" w:name="Tc_oTOj-zTo1kuLoFfJrItCuA_68_4"/>
      <w:bookmarkStart w:id="2596" w:name="Tc_HCCEZZQU_k-vstoJnDAmuQ_68_1"/>
      <w:bookmarkStart w:id="2597" w:name="Tc_9WB4kMHngEaUFrz5mZx9pQ_68_0"/>
      <w:bookmarkStart w:id="2598" w:name="Tc_1GoBBR1lzkST7zQpel1hZA_67_0"/>
      <w:bookmarkStart w:id="2599" w:name="Tc_xh-44drAAEiUaALGimcHAA_65_7"/>
      <w:bookmarkStart w:id="2600" w:name="Tc_1o04gMgXdk6Kb19aW8jJGA_65_4"/>
      <w:bookmarkStart w:id="2601" w:name="Tc_Vpc3NpXnFEKGoElHdpfWtQ_65_1"/>
      <w:bookmarkStart w:id="2602" w:name="Tc_ev63IzC3lke_UEZGKIoEVg_65_0"/>
      <w:bookmarkStart w:id="2603" w:name="Tc_xhUYeRZgMUa8wWybDQgW9w_64_0"/>
      <w:bookmarkStart w:id="2604" w:name="Tc_LYmQGN5PdU-r_4b9QoN5ig_63_0"/>
      <w:bookmarkStart w:id="2605" w:name="Tc_lHArjNk_ZkCzdqxsNbFzNA_62_0"/>
      <w:bookmarkStart w:id="2606" w:name="Tc_5lEP6Ptb0EizGikquTP_EA_61_7"/>
      <w:bookmarkStart w:id="2607" w:name="Tc_X1apy1jeY0mfwJdPti7n5g_61_4"/>
      <w:bookmarkStart w:id="2608" w:name="Tc_gXAfT07ZM0Om53W2hYN8qw_61_1"/>
      <w:bookmarkStart w:id="2609" w:name="Tc_MyotGH4-K0-eTHWHpo1GWw_61_0"/>
      <w:bookmarkStart w:id="2610" w:name="Tc_0j51j6oYn0C0ga3IcYgYfg_60_0"/>
      <w:bookmarkStart w:id="2611" w:name="Tc_RY3G_i7v2kGanKoNMTpN3A_58_7"/>
      <w:bookmarkStart w:id="2612" w:name="Tc_yevhn9_QBUWIKWTbTrd1_w_58_4"/>
      <w:bookmarkStart w:id="2613" w:name="Tc_kndCqdYW8kibQNa7AxRZYQ_58_1"/>
      <w:bookmarkStart w:id="2614" w:name="Tc_ztNuAKzo3kSL2BDvsSe4kg_58_0"/>
      <w:bookmarkStart w:id="2615" w:name="Tc_Uu30jtM6b0uKjyaVcP4W0Q_57_0"/>
      <w:bookmarkStart w:id="2616" w:name="Tc_zxANAf92w0C2ypD9NMuzWw_56_7"/>
      <w:bookmarkStart w:id="2617" w:name="Tc_TxrHdWhbgkqRf9i_YnmwdA_56_4"/>
      <w:bookmarkStart w:id="2618" w:name="Tc_dFJjz1a-CkepGIUv6l21SQ_56_1"/>
      <w:bookmarkStart w:id="2619" w:name="Tc_7B99PpL7iUa96vXu3bWp0Q_56_0"/>
      <w:bookmarkStart w:id="2620" w:name="Tc_k8d7tiDVpESkb0FBnyuR6w_55_0"/>
      <w:bookmarkStart w:id="2621" w:name="Tc_HMLEdr7VMkWf4hVtuYSMlg_54_7"/>
      <w:bookmarkStart w:id="2622" w:name="Tc_ykDj25ZRXEWYleIxNdgISA_54_4"/>
      <w:bookmarkStart w:id="2623" w:name="Tc_bJRMZKANpkOGfRzEaDAUNg_54_1"/>
      <w:bookmarkStart w:id="2624" w:name="Tc_Xnts7HPud0as1MVvvteuEw_53_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p>
    <w:tbl>
      <w:tblPr>
        <w:tblW w:w="9459" w:type="dxa"/>
        <w:jc w:val="left"/>
        <w:tblInd w:w="0" w:type="dxa"/>
        <w:tblLayout w:type="fixed"/>
        <w:tblCellMar>
          <w:top w:w="0" w:type="dxa"/>
          <w:left w:w="0" w:type="dxa"/>
          <w:bottom w:w="0" w:type="dxa"/>
          <w:right w:w="0" w:type="dxa"/>
        </w:tblCellMar>
      </w:tblPr>
      <w:tblGrid>
        <w:gridCol w:w="5656"/>
        <w:gridCol w:w="211"/>
        <w:gridCol w:w="796"/>
        <w:gridCol w:w="346"/>
        <w:gridCol w:w="211"/>
        <w:gridCol w:w="796"/>
        <w:gridCol w:w="346"/>
        <w:gridCol w:w="211"/>
        <w:gridCol w:w="886"/>
      </w:tblGrid>
      <w:tr>
        <w:trPr/>
        <w:tc>
          <w:tcPr>
            <w:tcW w:w="56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5656" w:type="dxa"/>
            <w:tcBorders/>
            <w:vAlign w:val="center"/>
          </w:tcPr>
          <w:p>
            <w:pPr>
              <w:pStyle w:val="TableContents"/>
              <w:bidi w:val="0"/>
              <w:spacing w:before="0" w:after="0"/>
              <w:ind w:left="0" w:right="0" w:hanging="0"/>
              <w:jc w:val="left"/>
              <w:rPr/>
            </w:pPr>
            <w:r>
              <w:rPr/>
              <w:t>​</w:t>
            </w:r>
          </w:p>
        </w:tc>
        <w:tc>
          <w:tcPr>
            <w:tcW w:w="38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65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 income (loss) from unconsolidated joint ventures:</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56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Residential </w:t>
            </w:r>
            <w:r>
              <w:rPr>
                <w:rFonts w:ascii="Times New Roman;Times;serif" w:hAnsi="Times New Roman;Times;serif"/>
                <w:sz w:val="15"/>
              </w:rPr>
              <w:t>(e)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23,627</w:t>
            </w:r>
          </w:p>
        </w:tc>
      </w:tr>
      <w:tr>
        <w:trPr/>
        <w:tc>
          <w:tcPr>
            <w:tcW w:w="56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(f)</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equity in income from unconsolidated joint ventures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22,701</w:t>
            </w:r>
          </w:p>
        </w:tc>
      </w:tr>
      <w:tr>
        <w:trPr/>
        <w:tc>
          <w:tcPr>
            <w:tcW w:w="565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 income, net: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r>
      <w:tr>
        <w:trPr/>
        <w:tc>
          <w:tcPr>
            <w:tcW w:w="56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Hospitality </w:t>
            </w:r>
            <w:r>
              <w:rPr>
                <w:rFonts w:ascii="Times New Roman;Times;serif" w:hAnsi="Times New Roman;Times;serif"/>
                <w:sz w:val="15"/>
              </w:rPr>
              <w:t>(g)</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3,095</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 net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3,963</w:t>
            </w:r>
          </w:p>
        </w:tc>
      </w:tr>
      <w:tr>
        <w:trPr/>
        <w:tc>
          <w:tcPr>
            <w:tcW w:w="56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56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Residential </w:t>
            </w:r>
            <w:r>
              <w:rPr>
                <w:rFonts w:ascii="Times New Roman;Times;serif" w:hAnsi="Times New Roman;Times;serif"/>
                <w:sz w:val="15"/>
              </w:rPr>
              <w:t>(e)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98,978</w:t>
            </w:r>
          </w:p>
        </w:tc>
      </w:tr>
      <w:tr>
        <w:trPr/>
        <w:tc>
          <w:tcPr>
            <w:tcW w:w="56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Hospitality </w:t>
            </w:r>
            <w:r>
              <w:rPr>
                <w:rFonts w:ascii="Times New Roman;Times;serif" w:hAnsi="Times New Roman;Times;serif"/>
                <w:sz w:val="15"/>
              </w:rPr>
              <w:t>(g)</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w:t>
            </w:r>
          </w:p>
        </w:tc>
      </w:tr>
      <w:tr>
        <w:trPr/>
        <w:tc>
          <w:tcPr>
            <w:tcW w:w="56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(a) (f)</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11,233</w:t>
            </w:r>
          </w:p>
        </w:tc>
      </w:tr>
      <w:tr>
        <w:trPr/>
        <w:tc>
          <w:tcPr>
            <w:tcW w:w="56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(c) (d)</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(6,515)</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income before income taxes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155,113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98,348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100,061</w:t>
            </w:r>
          </w:p>
        </w:tc>
      </w:tr>
      <w:tr>
        <w:trPr/>
        <w:tc>
          <w:tcPr>
            <w:tcW w:w="565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74,362</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72,275</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70,077</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capital expenditures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108,104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217,761</w:t>
            </w:r>
          </w:p>
        </w:tc>
      </w:tr>
    </w:tbl>
    <w:p>
      <w:pPr>
        <w:pStyle w:val="TextBody"/>
        <w:bidi w:val="0"/>
        <w:spacing w:before="0" w:after="0"/>
        <w:ind w:left="0" w:right="0" w:hanging="0"/>
        <w:jc w:val="left"/>
        <w:rPr/>
      </w:pPr>
      <w:r>
        <w:rPr/>
        <w:t>​</w:t>
      </w:r>
    </w:p>
    <w:tbl>
      <w:tblPr>
        <w:tblW w:w="7357" w:type="dxa"/>
        <w:jc w:val="left"/>
        <w:tblInd w:w="0" w:type="dxa"/>
        <w:tblLayout w:type="fixed"/>
        <w:tblCellMar>
          <w:top w:w="0" w:type="dxa"/>
          <w:left w:w="0" w:type="dxa"/>
          <w:bottom w:w="0" w:type="dxa"/>
          <w:right w:w="0" w:type="dxa"/>
        </w:tblCellMar>
      </w:tblPr>
      <w:tblGrid>
        <w:gridCol w:w="4276"/>
        <w:gridCol w:w="346"/>
        <w:gridCol w:w="211"/>
        <w:gridCol w:w="931"/>
        <w:gridCol w:w="346"/>
        <w:gridCol w:w="211"/>
        <w:gridCol w:w="103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2715260" cy="175260"/>
                      <wp:effectExtent l="0" t="0" r="0" b="0"/>
                      <wp:wrapNone/>
                      <wp:docPr id="748" name="Frame747"/>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219710" cy="175260"/>
                      <wp:effectExtent l="0" t="0" r="0" b="0"/>
                      <wp:wrapNone/>
                      <wp:docPr id="749" name="Frame7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133985" cy="175260"/>
                      <wp:effectExtent l="0" t="0" r="0" b="0"/>
                      <wp:wrapNone/>
                      <wp:docPr id="750" name="Frame7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591185" cy="175260"/>
                      <wp:effectExtent l="0" t="0" r="0" b="0"/>
                      <wp:wrapNone/>
                      <wp:docPr id="751" name="Frame7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19710" cy="175260"/>
                      <wp:effectExtent l="0" t="0" r="0" b="0"/>
                      <wp:wrapNone/>
                      <wp:docPr id="752" name="Frame7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33985" cy="175260"/>
                      <wp:effectExtent l="0" t="0" r="0" b="0"/>
                      <wp:wrapNone/>
                      <wp:docPr id="753" name="Frame7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57860" cy="175260"/>
                      <wp:effectExtent l="0" t="0" r="0" b="0"/>
                      <wp:wrapNone/>
                      <wp:docPr id="754" name="Frame7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Investment in unconsolidated joint ventures: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51,649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53,399</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14,403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13,055</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investment in unconsolidated joint ventures</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66,052</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66,454</w:t>
            </w:r>
          </w:p>
        </w:tc>
      </w:tr>
      <w:tr>
        <w:trPr/>
        <w:tc>
          <w:tcPr>
            <w:tcW w:w="42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  ​</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238,506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241,435</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450,534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460,604</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505,490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515,955</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320,580</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1,518,426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1,538,574</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the sale of the Watercrest JV’s senior living community property, generating revenue of $41.0</w:t>
            </w:r>
            <w:r>
              <w:rPr>
                <w:caps w:val="false"/>
                <w:smallCaps w:val="false"/>
              </w:rPr>
              <w:t xml:space="preserve"> </w:t>
            </w:r>
            <w:r>
              <w:rPr>
                <w:rFonts w:ascii="Times New Roman;Times;serif" w:hAnsi="Times New Roman;Times;serif"/>
                <w:b w:val="false"/>
                <w:i w:val="false"/>
                <w:caps w:val="false"/>
                <w:smallCaps w:val="false"/>
                <w:sz w:val="18"/>
              </w:rPr>
              <w:t>million, cost of revenue of $21.6</w:t>
            </w:r>
            <w:r>
              <w:rPr>
                <w:caps w:val="false"/>
                <w:smallCaps w:val="false"/>
              </w:rPr>
              <w:t xml:space="preserve"> </w:t>
            </w:r>
            <w:r>
              <w:rPr>
                <w:rFonts w:ascii="Times New Roman;Times;serif" w:hAnsi="Times New Roman;Times;serif"/>
                <w:b w:val="false"/>
                <w:i w:val="false"/>
                <w:caps w:val="false"/>
                <w:smallCaps w:val="false"/>
                <w:sz w:val="18"/>
              </w:rPr>
              <w:t>million and gross profit of $19.4</w:t>
            </w:r>
            <w:r>
              <w:rPr>
                <w:caps w:val="false"/>
                <w:smallCaps w:val="false"/>
              </w:rPr>
              <w:t xml:space="preserve"> </w:t>
            </w:r>
            <w:r>
              <w:rPr>
                <w:rFonts w:ascii="Times New Roman;Times;serif" w:hAnsi="Times New Roman;Times;serif"/>
                <w:b w:val="false"/>
                <w:i w:val="false"/>
                <w:caps w:val="false"/>
                <w:smallCaps w:val="false"/>
                <w:sz w:val="18"/>
              </w:rPr>
              <w:t xml:space="preserve">million in 2025. Following the sale, the Watercrest JV ceased operating activities.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5882" w:type="dxa"/>
        <w:jc w:val="left"/>
        <w:tblInd w:w="0" w:type="dxa"/>
        <w:tblLayout w:type="fixed"/>
        <w:tblCellMar>
          <w:top w:w="0" w:type="dxa"/>
          <w:left w:w="0" w:type="dxa"/>
          <w:bottom w:w="0" w:type="dxa"/>
          <w:right w:w="0" w:type="dxa"/>
        </w:tblCellMar>
      </w:tblPr>
      <w:tblGrid>
        <w:gridCol w:w="331"/>
        <w:gridCol w:w="55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Excluding depreciation, depletion and amortization, shown separately above.</w:t>
            </w:r>
          </w:p>
        </w:tc>
      </w:tr>
    </w:tbl>
    <w:tbl>
      <w:tblPr>
        <w:tblW w:w="7517" w:type="dxa"/>
        <w:jc w:val="left"/>
        <w:tblInd w:w="0" w:type="dxa"/>
        <w:tblLayout w:type="fixed"/>
        <w:tblCellMar>
          <w:top w:w="0" w:type="dxa"/>
          <w:left w:w="0" w:type="dxa"/>
          <w:bottom w:w="0" w:type="dxa"/>
          <w:right w:w="0" w:type="dxa"/>
        </w:tblCellMar>
      </w:tblPr>
      <w:tblGrid>
        <w:gridCol w:w="316"/>
        <w:gridCol w:w="720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2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interest income from investments in SPEs of $8.0</w:t>
            </w:r>
            <w:r>
              <w:rPr>
                <w:caps w:val="false"/>
                <w:smallCaps w:val="false"/>
              </w:rPr>
              <w:t xml:space="preserve"> </w:t>
            </w:r>
            <w:r>
              <w:rPr>
                <w:rFonts w:ascii="Times New Roman;Times;serif" w:hAnsi="Times New Roman;Times;serif"/>
                <w:b w:val="false"/>
                <w:i w:val="false"/>
                <w:caps w:val="false"/>
                <w:smallCaps w:val="false"/>
                <w:sz w:val="18"/>
              </w:rPr>
              <w:t>million in each of 2025, 2024 and 2023.</w:t>
            </w:r>
          </w:p>
        </w:tc>
      </w:tr>
    </w:tbl>
    <w:tbl>
      <w:tblPr>
        <w:tblW w:w="8147" w:type="dxa"/>
        <w:jc w:val="left"/>
        <w:tblInd w:w="0" w:type="dxa"/>
        <w:tblLayout w:type="fixed"/>
        <w:tblCellMar>
          <w:top w:w="0" w:type="dxa"/>
          <w:left w:w="0" w:type="dxa"/>
          <w:bottom w:w="0" w:type="dxa"/>
          <w:right w:w="0" w:type="dxa"/>
        </w:tblCellMar>
      </w:tblPr>
      <w:tblGrid>
        <w:gridCol w:w="331"/>
        <w:gridCol w:w="781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8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interest expense from Senior Notes issued by SPE of $8.9</w:t>
            </w:r>
            <w:r>
              <w:rPr>
                <w:caps w:val="false"/>
                <w:smallCaps w:val="false"/>
              </w:rPr>
              <w:t xml:space="preserve"> </w:t>
            </w:r>
            <w:r>
              <w:rPr>
                <w:rFonts w:ascii="Times New Roman;Times;serif" w:hAnsi="Times New Roman;Times;serif"/>
                <w:b w:val="false"/>
                <w:i w:val="false"/>
                <w:caps w:val="false"/>
                <w:smallCaps w:val="false"/>
                <w:sz w:val="18"/>
              </w:rPr>
              <w:t>million in each of 2025, 2024 and 2023.</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992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$32.2</w:t>
            </w:r>
            <w:r>
              <w:rPr>
                <w:caps w:val="false"/>
                <w:smallCaps w:val="false"/>
              </w:rPr>
              <w:t xml:space="preserve"> </w:t>
            </w:r>
            <w:r>
              <w:rPr>
                <w:rFonts w:ascii="Times New Roman;Times;serif" w:hAnsi="Times New Roman;Times;serif"/>
                <w:b w:val="false"/>
                <w:i w:val="false"/>
                <w:caps w:val="false"/>
                <w:smallCaps w:val="false"/>
                <w:sz w:val="18"/>
              </w:rPr>
              <w:t>million, $29.3</w:t>
            </w:r>
            <w:r>
              <w:rPr>
                <w:caps w:val="false"/>
                <w:smallCaps w:val="false"/>
              </w:rPr>
              <w:t xml:space="preserve"> </w:t>
            </w:r>
            <w:r>
              <w:rPr>
                <w:rFonts w:ascii="Times New Roman;Times;serif" w:hAnsi="Times New Roman;Times;serif"/>
                <w:b w:val="false"/>
                <w:i w:val="false"/>
                <w:caps w:val="false"/>
                <w:smallCaps w:val="false"/>
                <w:sz w:val="18"/>
              </w:rPr>
              <w:t>million and $23.6</w:t>
            </w:r>
            <w:r>
              <w:rPr>
                <w:caps w:val="false"/>
                <w:smallCaps w:val="false"/>
              </w:rPr>
              <w:t xml:space="preserve"> </w:t>
            </w:r>
            <w:r>
              <w:rPr>
                <w:rFonts w:ascii="Times New Roman;Times;serif" w:hAnsi="Times New Roman;Times;serif"/>
                <w:b w:val="false"/>
                <w:i w:val="false"/>
                <w:caps w:val="false"/>
                <w:smallCaps w:val="false"/>
                <w:sz w:val="18"/>
              </w:rPr>
              <w:t xml:space="preserve">million of equity in income from unconsolidated joint ventures during 2025, 2024 and 2023, respectively, related to the Latitude Margaritaville Watersound JV.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 xml:space="preserve">and Note 17. </w:t>
            </w:r>
            <w:r>
              <w:rPr>
                <w:rFonts w:ascii="Times New Roman;Times;serif" w:hAnsi="Times New Roman;Times;serif"/>
                <w:b w:val="false"/>
                <w:i/>
                <w:sz w:val="18"/>
              </w:rPr>
              <w:t>Other Income, Net</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994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$2.1</w:t>
            </w:r>
            <w:r>
              <w:rPr>
                <w:caps w:val="false"/>
                <w:smallCaps w:val="false"/>
              </w:rPr>
              <w:t xml:space="preserve"> </w:t>
            </w:r>
            <w:r>
              <w:rPr>
                <w:rFonts w:ascii="Times New Roman;Times;serif" w:hAnsi="Times New Roman;Times;serif"/>
                <w:b w:val="false"/>
                <w:i w:val="false"/>
                <w:caps w:val="false"/>
                <w:smallCaps w:val="false"/>
                <w:sz w:val="18"/>
              </w:rPr>
              <w:t>million and $0.9</w:t>
            </w:r>
            <w:r>
              <w:rPr>
                <w:caps w:val="false"/>
                <w:smallCaps w:val="false"/>
              </w:rPr>
              <w:t xml:space="preserve"> </w:t>
            </w:r>
            <w:r>
              <w:rPr>
                <w:rFonts w:ascii="Times New Roman;Times;serif" w:hAnsi="Times New Roman;Times;serif"/>
                <w:b w:val="false"/>
                <w:i w:val="false"/>
                <w:caps w:val="false"/>
                <w:smallCaps w:val="false"/>
                <w:sz w:val="18"/>
              </w:rPr>
              <w:t>million of equity in loss from unconsolidated joint ventures related to the Pier Park RI JV during 2025 and 2024, respectively. The hotel opened in April 2024 and activity in the current period includes start-up, depreciation and interest expense for the project. Includes $4.1</w:t>
            </w:r>
            <w:r>
              <w:rPr>
                <w:caps w:val="false"/>
                <w:smallCaps w:val="false"/>
              </w:rPr>
              <w:t xml:space="preserve"> </w:t>
            </w:r>
            <w:r>
              <w:rPr>
                <w:rFonts w:ascii="Times New Roman;Times;serif" w:hAnsi="Times New Roman;Times;serif"/>
                <w:b w:val="false"/>
                <w:i w:val="false"/>
                <w:caps w:val="false"/>
                <w:smallCaps w:val="false"/>
                <w:sz w:val="18"/>
              </w:rPr>
              <w:t>million, $4.4</w:t>
            </w:r>
            <w:r>
              <w:rPr>
                <w:caps w:val="false"/>
                <w:smallCaps w:val="false"/>
              </w:rPr>
              <w:t xml:space="preserve"> </w:t>
            </w:r>
            <w:r>
              <w:rPr>
                <w:rFonts w:ascii="Times New Roman;Times;serif" w:hAnsi="Times New Roman;Times;serif"/>
                <w:b w:val="false"/>
                <w:i w:val="false"/>
                <w:caps w:val="false"/>
                <w:smallCaps w:val="false"/>
                <w:sz w:val="18"/>
              </w:rPr>
              <w:t>million and $0.7</w:t>
            </w:r>
            <w:r>
              <w:rPr>
                <w:caps w:val="false"/>
                <w:smallCaps w:val="false"/>
              </w:rPr>
              <w:t xml:space="preserve"> </w:t>
            </w:r>
            <w:r>
              <w:rPr>
                <w:rFonts w:ascii="Times New Roman;Times;serif" w:hAnsi="Times New Roman;Times;serif"/>
                <w:b w:val="false"/>
                <w:i w:val="false"/>
                <w:caps w:val="false"/>
                <w:smallCaps w:val="false"/>
                <w:sz w:val="18"/>
              </w:rPr>
              <w:t xml:space="preserve">million of equity in loss from unconsolidated joint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52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ventures related to the Watersound Fountains Independent Living JV during 2025, 2024 and 2023, respectively. The community opened in March 2024 and is currently under lease-up.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 xml:space="preserve">and Note 17. </w:t>
            </w:r>
            <w:r>
              <w:rPr>
                <w:rFonts w:ascii="Times New Roman;Times;serif" w:hAnsi="Times New Roman;Times;serif"/>
                <w:b w:val="false"/>
                <w:i/>
                <w:sz w:val="18"/>
              </w:rPr>
              <w:t>Other Income, Net</w:t>
            </w:r>
            <w:r>
              <w:rPr>
                <w:caps w:val="false"/>
                <w:smallCaps w:val="false"/>
              </w:rPr>
              <w:t xml:space="preserve"> </w:t>
            </w:r>
            <w:r>
              <w:rPr>
                <w:rFonts w:ascii="Times New Roman;Times;serif" w:hAnsi="Times New Roman;Times;serif"/>
                <w:b w:val="false"/>
                <w:i w:val="false"/>
                <w:caps w:val="false"/>
                <w:smallCaps w:val="false"/>
                <w:sz w:val="18"/>
              </w:rPr>
              <w:t>for additional information.</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w:t>
            </w:r>
          </w:p>
        </w:tc>
        <w:tc>
          <w:tcPr>
            <w:tcW w:w="98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gain on disposition of assets of $2.6</w:t>
            </w:r>
            <w:r>
              <w:rPr>
                <w:caps w:val="false"/>
                <w:smallCaps w:val="false"/>
              </w:rPr>
              <w:t xml:space="preserve"> </w:t>
            </w:r>
            <w:r>
              <w:rPr>
                <w:rFonts w:ascii="Times New Roman;Times;serif" w:hAnsi="Times New Roman;Times;serif"/>
                <w:b w:val="false"/>
                <w:i w:val="false"/>
                <w:caps w:val="false"/>
                <w:smallCaps w:val="false"/>
                <w:sz w:val="18"/>
              </w:rPr>
              <w:t xml:space="preserve">million related to the sale of the N850J aircraft previously used in hospitality operations. See Note 17. </w:t>
            </w:r>
            <w:r>
              <w:rPr>
                <w:rFonts w:ascii="Times New Roman;Times;serif" w:hAnsi="Times New Roman;Times;serif"/>
                <w:b w:val="false"/>
                <w:i/>
                <w:sz w:val="18"/>
              </w:rPr>
              <w:t>Other Income, Net</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19. Commitments and Contingencies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establishes an accrued liability when it is both probable that a material loss has been incurred and the amount of the loss can be reasonably estimated. The Company will evaluate the range of reasonably estimated losses and record an accrued liability based on what it believes to be the minimum amount in the range, unless it believes an amount within the range is a better estimate than any other amount. In such cases, there may be an exposure to loss in excess of the amounts accrued. The Company evaluates quarterly whether further developments could affect the amount of the accrued liability previously established or would make a loss contingency both probable and reasonably estimable.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also provides disclosure when it believes it is reasonably possible that a material loss will be incurred or when it believes it is reasonably possible that the amount of a loss will exceed the recorded liability. The Company reviews loss contingencies at least quarterly to determine whether the likelihood of loss has changed and to assess whether a reasonable estimate of the loss or range of loss can be made. This estimated range of possible losses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a variety of litigation, claims, other disputes and governmental proceedings that arise from time to time in the ordinary course of its business, including litigation related to its prior development activities. The Company cannot make assurances that it will be successful in defending these matters. Based on current knowledge, the Company does not believe that loss contingencies arising from pending litigation, claims, other disputes and governmental proceedings, including those described herein, will have a material adverse effect on the consolidated financial position or liquidity of the Company. However, in light of the inherent uncertainties involved in these matters, an adverse outcome in one or more of these matters could be material to the Company’s results of operations or cash flows for any particular reporting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costs arising out of environmental laws and regulations, which include obligations to remove or limit the effects on the environment of the disposal or release of certain wastes or substances at various sites, including sites which have been previously sold. It is the Company’s policy to accrue and charge against earnings environmental cleanup costs when it is probable that a liability has been incurred and a range of loss can be reasonably estimated. As assessments and cleanups proceed, these accruals are reviewed and adjusted, if necessary, as additional information becomes available. The Company is in the process of assessing certain properties in regard to the effects, if any, on the environment from the disposal or release of wastes or substances. Management is unable to quantify future rehabilitation costs at this time or provide a reasonably estimated range of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litigation, claims and disputes, including environmental matters, are pending against the Company. Accrued aggregate liabilities related to the matters described above and other litigation matters were $0.1 million and $0.3 million, respectively, as of December 31, 2025 and 2024. Significant judgment is required in both the determination of probability and whether the amount of an exposure is reasonably estimable. Due to uncertainties related to these matters, accruals are based only on the information available at that time. As additional information becomes available, management reassesses potential liabilities related to pending claims and litigation and may revise its previous estimates, which could materially affect the Company’s results of operations for any particular reporting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retained certain self-insurance risks with respect to losses for third-party liability and property damage, including its timber assets.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and 2024, the Company was required to provide surety bonds that guarantee completion and maintenance of certain infrastructure in certain development projects and mitigation banks, as well as other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53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guarantees of $14.7 million and $53.1 million, respectively, as well as standby letters of credit in the amount of $0.4 million and $0.7 million, respectively, which may potentially result in liability to the Company if certain obligations of the Company are not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the Company had a total of $32.1 million, primarily in construction and development related contractual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2019, the Company’s unconsolidated Pier Park TPS JV, entered into a $14.4 million loan (the “Pier Park TPS JV Loan”). The loan bears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2.6% and provides for monthly principal and interest payments with a final balloon payment at maturity. In January 2026, the Pier Park TPS JV Loan maturity date was extended from January 2026 to March 2026. The loan is secured by the real and personal property and certain other Security Interests. In connection with the loan, the Company, a wholly-owned subsidiary of the Company and the Company’s JV partner entered into a joint and several payment and performance guarantee in favor of the lender. The guarantee contains customary provisions providing for full recourse upon the occurrence of certain events. The Pier Park TPS JV entered into an interest rate swap to hedge cash flows tied to changes in the underlying floating interest rate tied to SOFR. The interest rate swap matures in January 2026 and fixed the variable rate on the related debt, initially at $14.4 million, to a rate of 5.2%. As of December 31, 2025 and 2024, $12.8 million and $13.2 million, respectively, was outstanding on the Pier Park TPS JV Loan. See Note 4. Joint Ventures and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 The Pier Park TPS JV is in the process of a long-term extension of the Pier Park TPS JV Loan.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the Company’s unconsolidated Latitude Margaritaville Watersound JV, entered into a $45.0 million loan, as amended (the “Latitude Margaritaville Watersound JV Loan”). The loan bears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2.5%, with a floor of 3.0%. The loan provides for monthly interest payments with a final balloon payment at maturity, with an option to extend the maturity date, subject to bank approval. In January 2026, the Latitude Margaritaville Watersound JV Loan maturity date was extended from December 2025 to January 2029. The loan is secured by the real and personal property and certain other Security Interests. In connection with the loan, the Company and the Company’s JV partner entered into an unconditional guaranty of completion of certain homes and related improvements in favor of the lender. As of December 31, 2025, there was no balance outstanding on the Latitude Margaritaville Watersound JV Loan. As of December 31, 2024, $41.2 million was outstanding on the Latitude Margaritaville Watersound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the Company’s unconsolidated Watersound Fountains Independent Living JV, entered into a $41.9 million loan (the “Watersound Fountains JV Loan”). The loan bears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2.1%, with a floor of 2.6%. The loan provides for monthly principal and interest payments with a final balloon payment at maturity. In January 2026, Watersound Fountains JV Loan maturity date was extended from April 2026 to April 2027. The loan includes an option for an extension of the maturity date by an additional twelve months, subject to certain conditions, which would provide for continued monthly principal and interest payments with a final balloon payment at the extended maturity date. The loan is secured by the real property and certain other Security Interests. In connection with the loan, the Company executed a guarantee in favor of the lender to guarantee the payment and performance of the borrower under the Watersound Fountains JV Loan. The guarantee contains customary provisions providing for full recourse upon the occurrence of certain events. The Company, as the guarantor, receives a quarterly fee related to the guarantee from its JV partners based on the JV partners’ ownership percentage. As of December 31, 2025 and 2024, $41.2 million and $41.7 million, respectively, was outstanding on the Watersound Fountains JV Loan. 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2022, the Company’s unconsolidated Electric Cart Watersound JV, entered into a $5.4 million loan (the “Electric Cart Watersound JV Loan”). The loan bears interest at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1.8%, with a floor of 2.1%. The loan provides for monthly principal and interest payments with a final balloon payment at maturity in September 2032. The loan is secured by the real property and certain other Security Interests. In connection with the loan, the Company, a wholly-owned subsidiary of the Company and the Electric Cart Watersound JV entered into a joint and several payment and performance guarantee in favor of the lender. After the initial forty-eight months of the loan, the Company’s liability as guarantor under the loan will be reduced to 50% of the outstanding principal balance upon reaching a certain debt service coverage and other conditions. The Company is the sole guarantor and receives a quarterly fee related to the guarantee from its JV partner based on the JV partner’s ownership percentage. As of December 31, 2025 and 2024, $4.3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54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million and $4.4 million, respectively, was outstanding on the Electric Cart Watersound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assessed the need to record a liability for the guarantees related to the Company’s unconsolidated JVs and did not record an obligation as of both December 31, 2025 and 2024. As of both December 31, 2025 and 2024, allowance for credit losses related to the contingent aspect of these guarantees, based on historical experience and economic trends, was $0.1 million and is included within accounts payable and other liabilities on the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part of a certain sale of forestry land in 2014, the Company generated significant tax gains. The installment note’s structure allowed the Company to defer the resulting federal and state tax liability of $45.6 million until 2029, the maturity date for the installment note. The Company has a deferred tax liability related to the gain in connection with the sale. At the maturity date of the installment note in 2029, the $200.0 million time deposit included in investments held by special purpose entities will be used to pay the $180.0 million of principal for the Senior Notes held by special purpose entity and the remaining $20.0 million will become available to the Company, which can be used to pay a portion of the tax liability. See Note 5. </w:t>
      </w:r>
      <w:r>
        <w:rPr>
          <w:rFonts w:ascii="Times New Roman;Times;serif" w:hAnsi="Times New Roman;Times;serif"/>
          <w:i/>
          <w:sz w:val="20"/>
        </w:rPr>
        <w:t>Financial Instruments and Fair Value Measurements</w:t>
      </w:r>
      <w:r>
        <w:rPr>
          <w:rFonts w:ascii="Times New Roman;Times;serif" w:hAnsi="Times New Roman;Times;serif"/>
          <w:sz w:val="20"/>
        </w:rPr>
        <w:t xml:space="preserve"> and Note 12. </w:t>
      </w:r>
      <w:r>
        <w:rPr>
          <w:rFonts w:ascii="Times New Roman;Times;serif" w:hAnsi="Times New Roman;Times;serif"/>
          <w:i/>
          <w:sz w:val="20"/>
        </w:rPr>
        <w:t>Income Taxes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provides land, mitigation bank credits, impact and other fees, property for lease and services to certain unconsolidated JVs. During 2025, 2024 and 2023, the Company recognized $3.7 million, $2.7 million and $1.2 million, respectively, related to revenues from these transactions. As of December 31, 2025 and 2024, receivables from unconsolidated JVs were $1.0 million and less than $0.1 million,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Watersound Management JV provides leasing management services for the Company’s multi-family communities. The Company incurred expense related to these transactions of $2.5 million, $2.4 million and $2.0 million during 2025, 2024 and 2023,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incurred land development and planning costs reimbursements to the Latitude Margaritaville Watersound JV of $1.6 million, $3.8 million and $3.7 million during 2025, 2024 and 2023, respectively, which were primarily included in investment in real estate, net on the consolidated balance sheets. As of December 31, 2025 and 2024, $0.1 million and $0.5 million, respectively, were payable to the Latitude Margaritaville Watersound JV.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 Subsequent Events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February 25, 2026, the Company’s Board of Directors declared a cash dividend of $0.16 per share on the Company’s common stock, payable on March 26, 2026, to shareholders of record as of the close of business on March 9, 2026.</w:t>
      </w:r>
    </w:p>
    <w:p>
      <w:pPr>
        <w:pStyle w:val="TextBody"/>
        <w:bidi w:val="0"/>
        <w:spacing w:before="0" w:after="240"/>
        <w:ind w:left="0" w:right="0" w:firstLine="360"/>
        <w:jc w:val="left"/>
        <w:rPr/>
      </w:pPr>
      <w:r>
        <w:rPr/>
        <w:t>​</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55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25" w:name="Tc_PZeYL-3kN0yHHUrmjSw5Jw_37_26"/>
      <w:bookmarkStart w:id="2626" w:name="Tc_-TEdE37MFEK3pkHIleqOag_37_0"/>
      <w:bookmarkStart w:id="2627" w:name="Tc_vACfr_8sJ0eHqOhMIZp8Tw_36_26"/>
      <w:bookmarkStart w:id="2628" w:name="Tc_vkagdZpn3UGQPIYcdJvW1Q_36_12"/>
      <w:bookmarkStart w:id="2629" w:name="Tc_R1cbOcQCzUWgaxUytJgd7Q_36_3"/>
      <w:bookmarkStart w:id="2630" w:name="Tc_ZvfKi4Kh1k2wbn3fQgMusw_36_0"/>
      <w:bookmarkStart w:id="2631" w:name="Tc_J_wzAb6BtkuDBAp1seJvbg_35_26"/>
      <w:bookmarkStart w:id="2632" w:name="Tc_KKjZ4he170eMi6zcxZk87g_35_12"/>
      <w:bookmarkStart w:id="2633" w:name="Tc_4R9fEzqtW0iTlLJRb42iCQ_35_0"/>
      <w:bookmarkStart w:id="2634" w:name="Tc_03ZLJh_9T0u5Iwj5jKjwLw_34_26"/>
      <w:bookmarkStart w:id="2635" w:name="Tc_7yXqurT1X0yHW_d-gc7k1g_34_12"/>
      <w:bookmarkStart w:id="2636" w:name="Tc_5pEvkgI8EEi_m5XgxKl3BQ_34_3"/>
      <w:bookmarkStart w:id="2637" w:name="Tc_1Q-WJwEs-km1KC1H1fUTuQ_34_0"/>
      <w:bookmarkStart w:id="2638" w:name="Tc_1Hkby5ssokiUtoHhteJ9Lg_33_26"/>
      <w:bookmarkStart w:id="2639" w:name="Tc_QP_-nNa82kGz5kdFnMZBBQ_33_3"/>
      <w:bookmarkStart w:id="2640" w:name="Tc_Lc1urfmoBkqjD30R6puqcg_33_0"/>
      <w:bookmarkStart w:id="2641" w:name="Tc_PT-RJDMGvESJFdCd0_0eRw_32_26"/>
      <w:bookmarkStart w:id="2642" w:name="Tc_VMo74DOES0uKWC_FaW2rfw_32_12"/>
      <w:bookmarkStart w:id="2643" w:name="Tc_CIHKIraMY0uqCkMbXVa43w_32_0"/>
      <w:bookmarkStart w:id="2644" w:name="Tc_PAza5EoAwUSblr_E_TK_eg_31_26"/>
      <w:bookmarkStart w:id="2645" w:name="Tc_vaErAMSu6keuK41TrHYh2w_31_0"/>
      <w:bookmarkStart w:id="2646" w:name="Tc_J9EbZI5AdEyvi8-UMDoGNw_30_26"/>
      <w:bookmarkStart w:id="2647" w:name="Tc_aamw_K-CM02Q_6p0vhgIHw_30_0"/>
      <w:bookmarkStart w:id="2648" w:name="Tc_GKN77eoLVUe9lgsPyvnFhA_29_26"/>
      <w:bookmarkStart w:id="2649" w:name="Tc_ZUJlYWuX8UKhy9kpTh1vDA_29_12"/>
      <w:bookmarkStart w:id="2650" w:name="Tc_CySXrJTOakuSFKrDqcnzMQ_29_0"/>
      <w:bookmarkStart w:id="2651" w:name="Tc_HbLWxT-sT0-vx8rbZwSGVg_28_26"/>
      <w:bookmarkStart w:id="2652" w:name="Tc_zDptYa1220u1w0VkiF74iw_28_0"/>
      <w:bookmarkStart w:id="2653" w:name="Tc_NFx_333hNUCsR5kZA_2IgQ_27_26"/>
      <w:bookmarkStart w:id="2654" w:name="Tc_64RsseR6qkOJYIkm2Iljaw_27_12"/>
      <w:bookmarkStart w:id="2655" w:name="Tc_xlJNw6EJh0mJw4oRt8Wyfg_27_0"/>
      <w:bookmarkStart w:id="2656" w:name="Tc_TOUWtw4Gy0CTtW4b0NlMZA_26_0"/>
      <w:bookmarkStart w:id="2657" w:name="Tc_qj-mVg5B8UKBUECLIkrbIQ_25_0"/>
      <w:bookmarkStart w:id="2658" w:name="Tc_N-ajKaUb2EalYXnTiawshw_24_26"/>
      <w:bookmarkStart w:id="2659" w:name="Tc_CtQmBLeeRk2aXoi3Vw-gpQ_24_0"/>
      <w:bookmarkStart w:id="2660" w:name="Tc_BSsFkp11BECpV3Hm_3kMBA_23_26"/>
      <w:bookmarkStart w:id="2661" w:name="Tc_jJRVmGB-lEiFoaOzjjVOSw_23_12"/>
      <w:bookmarkStart w:id="2662" w:name="Tc_yFHbtMHgWkKTcg5vzeEi8Q_23_0"/>
      <w:bookmarkStart w:id="2663" w:name="Tc_zzcwC3VvDUCbC-v2ZR84_w_22_26"/>
      <w:bookmarkStart w:id="2664" w:name="Tc_wXLSZ6nQNkq4WgauFnqmYw_22_12"/>
      <w:bookmarkStart w:id="2665" w:name="Tc_T1aVh-FpWUaOTrjGOCkmsA_22_0"/>
      <w:bookmarkStart w:id="2666" w:name="Tc_E30KdjTom0-qzRPSQ6ubCQ_21_26"/>
      <w:bookmarkStart w:id="2667" w:name="Tc_gEKGTsrHMEyPtYycPtTUGQ_21_12"/>
      <w:bookmarkStart w:id="2668" w:name="Tc_h41SMw_f4UulkGymf2PHcA_21_0"/>
      <w:bookmarkStart w:id="2669" w:name="Tc_YLlWTTlYjU2e6DyJzqdLvQ_20_26"/>
      <w:bookmarkStart w:id="2670" w:name="Tc_dxvX2DysO0OLXWK3lk7i0Q_20_0"/>
      <w:bookmarkStart w:id="2671" w:name="Tc_27kc51Th4U236n2HWE37xQ_19_26"/>
      <w:bookmarkStart w:id="2672" w:name="Tc_fbGO3Z8WW0m6nGfDVH0z5w_19_3"/>
      <w:bookmarkStart w:id="2673" w:name="Tc_M1hGVSXlLE-wMbgjDdOSfQ_19_0"/>
      <w:bookmarkStart w:id="2674" w:name="Tc_EGOb8SOGPEaKsvMVdFgsJQ_18_26"/>
      <w:bookmarkStart w:id="2675" w:name="Tc_XRrr28CP4UStVnWr5H5xCw_18_0"/>
      <w:bookmarkStart w:id="2676" w:name="Tc_Z9fCQd4nQ0auk5Dbnv_OOg_17_26"/>
      <w:bookmarkStart w:id="2677" w:name="Tc_kMveU_fjHUmc_aj4CaIirQ_17_3"/>
      <w:bookmarkStart w:id="2678" w:name="Tc_j7bkG9CfjEKVbIyimKqkTA_17_0"/>
      <w:bookmarkStart w:id="2679" w:name="Tc_NUyipvEVEEO3amAY_ctJ4Q_16_26"/>
      <w:bookmarkStart w:id="2680" w:name="Tc_Bvp0WXyeSk6iKFwMk4NfCw_16_12"/>
      <w:bookmarkStart w:id="2681" w:name="Tc_qtmagJ5NGUKy9-pIma8HDg_16_0"/>
      <w:bookmarkStart w:id="2682" w:name="Tc_jWv5RAapsUiGX9F37TbyKQ_15_26"/>
      <w:bookmarkStart w:id="2683" w:name="Tc_ifQ1FI6_GUK_TIWAVtz64Q_15_12"/>
      <w:bookmarkStart w:id="2684" w:name="Tc_WujwXuDCuEKAZfeLYVFB7A_15_0"/>
      <w:bookmarkStart w:id="2685" w:name="Tc_AH8dmvvjCkqS-vKemrxCSA_14_26"/>
      <w:bookmarkStart w:id="2686" w:name="Tc_ga5Lu3LTVEW2TUi7WAedEg_14_3"/>
      <w:bookmarkStart w:id="2687" w:name="Tc_F6B1Fc27PkOX4Se7h211mw_14_0"/>
      <w:bookmarkStart w:id="2688" w:name="Tc_6LncR-A8bkiwPrsn1gq1Kw_13_26"/>
      <w:bookmarkStart w:id="2689" w:name="Tc_zi_UTrzUukWlHMPmDFI9CQ_13_0"/>
      <w:bookmarkStart w:id="2690" w:name="Tc_bHv8ta85CESb7-DLgGrDcQ_12_0"/>
      <w:bookmarkStart w:id="2691" w:name="Tc_ikVnQ3keJEeSl-lXjfntqQ_11_26"/>
      <w:bookmarkStart w:id="2692" w:name="Tc_-bTda4MHnk2pFX7YNwbmuQ_11_3"/>
      <w:bookmarkStart w:id="2693" w:name="Tc_bEK38DYBx0eeevFjJx9MEQ_11_0"/>
      <w:bookmarkStart w:id="2694" w:name="Tc_nUYk3gmmgU--QRG5gDpVVg_10_26"/>
      <w:bookmarkStart w:id="2695" w:name="Tc_TrlXxnEiMkKO9CQ9RXpKPw_10_24"/>
      <w:bookmarkStart w:id="2696" w:name="Tc_x_I1T8A5J0OsaorrSjASjQ_10_18"/>
      <w:bookmarkStart w:id="2697" w:name="Tc_vj2nTvQFIEy5tDfJN9FGYQ_10_9"/>
      <w:bookmarkStart w:id="2698" w:name="Tc_jNNVPFICsEyPOYssnJ98LQ_10_0"/>
      <w:bookmarkStart w:id="2699" w:name="Tc_LpXNeThJjU2utQsKCJqNug_9_26"/>
      <w:bookmarkStart w:id="2700" w:name="Tc_9mPO5nNZVkazPLSSRfBZAw_9_24"/>
      <w:bookmarkStart w:id="2701" w:name="Tc_RVuXM27GoUimm_k8QBgvtw_9_18"/>
      <w:bookmarkStart w:id="2702" w:name="Tc_0vHqPf52Mkyuwha7FZbcGw_9_9"/>
      <w:bookmarkStart w:id="2703" w:name="Tc_4-uWZ5Iew0Osm3ytcjUaWQ_9_3"/>
      <w:bookmarkStart w:id="2704" w:name="Tc_Auy4e0APyki4B-o1ojhErQ_9_0"/>
      <w:bookmarkStart w:id="2705" w:name="Tc__RazlFlE5UC0l45siNwl_g_8_26"/>
      <w:bookmarkStart w:id="2706" w:name="Tc_0eoIzQiEc0iSjEGhY8_kug_8_24"/>
      <w:bookmarkStart w:id="2707" w:name="Tc_nHYTX9bdJkOekUlS2Azz1w_8_18"/>
      <w:bookmarkStart w:id="2708" w:name="Tc_MI1z7AaA1UmvO3sitfmkbQ_8_9"/>
      <w:bookmarkStart w:id="2709" w:name="Tc_Ct5YUO7Xv0etj_R6GkAKrw_8_6"/>
      <w:bookmarkStart w:id="2710" w:name="Tc_VVDdfo6n1EqwW2OiWCBr7w_8_3"/>
      <w:bookmarkStart w:id="2711" w:name="Tc_1ZbCz9Cvukemh7p07mKeCw_8_0"/>
      <w:bookmarkStart w:id="2712" w:name="Tc_2jMDUx7h_EWPW4LvAZNJjw_7_26"/>
      <w:bookmarkStart w:id="2713" w:name="Tc_69x6jjJNwECOkOY0rbG9YQ_7_24"/>
      <w:bookmarkStart w:id="2714" w:name="Tc_HDERfjh8zka7L-DTpPCo3A_7_23"/>
      <w:bookmarkStart w:id="2715" w:name="Tc_bjXyFCdXIkyg60NYg16LxA_7_20"/>
      <w:bookmarkStart w:id="2716" w:name="Tc_3NlUu0PJnUafLV4M_ALHiw_7_18"/>
      <w:bookmarkStart w:id="2717" w:name="Tc_Jxc9IkDL10mhUCKcL_yKBA_7_17"/>
      <w:bookmarkStart w:id="2718" w:name="Tc_jUJdEcSLRE2zcIHDHG4z4A_7_14"/>
      <w:bookmarkStart w:id="2719" w:name="Tc_WoSRayzf2EqkuPyy8L2qAA_7_11"/>
      <w:bookmarkStart w:id="2720" w:name="Tc_nSBp3uXih0qAGoSi5bswNA_7_9"/>
      <w:bookmarkStart w:id="2721" w:name="Tc_xwaro3W3bUqsZADqq9aZZQ_7_8"/>
      <w:bookmarkStart w:id="2722" w:name="Tc_sZcRv0wF_kq1DHOL_SLN-w_7_5"/>
      <w:bookmarkStart w:id="2723" w:name="Tc_80CurhcxfUSGvaAp9EOLNw_7_2"/>
      <w:bookmarkStart w:id="2724" w:name="Tc_OxtZ9pJ2y0GZzZj7FXEEhA_7_0"/>
      <w:bookmarkStart w:id="2725" w:name="Tc_IpQbE-kVCEKFUvEgWZ_rXg_6_0"/>
      <w:bookmarkStart w:id="2726" w:name="Tc_lwjme9_RgkqghV5b1j4f7g_5_26"/>
      <w:bookmarkStart w:id="2727" w:name="Tc_E1icqg_6M0WmzlMoPFTzmw_5_23"/>
      <w:bookmarkStart w:id="2728" w:name="Tc_s5f7FTuJC0WE8UDD67p3HA_5_20"/>
      <w:bookmarkStart w:id="2729" w:name="Tc_OrPcppWPE0adeWXgynDwpg_5_17"/>
      <w:bookmarkStart w:id="2730" w:name="Tc_P4HrmXoFfUOn6HbqigBR8w_5_14"/>
      <w:bookmarkStart w:id="2731" w:name="Tc_ZNmj8emNvUmTPZ79uS-6EA_5_11"/>
      <w:bookmarkStart w:id="2732" w:name="Tc_w5JiElIU9UmxwG0234syWw_5_8"/>
      <w:bookmarkStart w:id="2733" w:name="Tc_5-OxVBcevkytUVkAN96wWQ_5_5"/>
      <w:bookmarkStart w:id="2734" w:name="Tc_eQ4L30bpxUGVQfOdWDcccQ_5_2"/>
      <w:bookmarkStart w:id="2735" w:name="Tc_ueOl1SSfhUOCo80hpy3kkQ_5_0"/>
      <w:bookmarkStart w:id="2736" w:name="Tc_6Vkzq1a6N0CYv3zbOO9g8A_4_26"/>
      <w:bookmarkStart w:id="2737" w:name="Tc_BbGUjvuBX0ilYMPful603w_4_23"/>
      <w:bookmarkStart w:id="2738" w:name="Tc_Kazqxm1MvkWyReMtRahymg_4_17"/>
      <w:bookmarkStart w:id="2739" w:name="Tc_6obT_JXZp0SXmVWSo1lmVQ_4_14"/>
      <w:bookmarkStart w:id="2740" w:name="Tc_0ylr92W77kyMByWlligbUw_4_11"/>
      <w:bookmarkStart w:id="2741" w:name="Tc_U4m3oxMHI0GEcROnuBjVEA_4_8"/>
      <w:bookmarkStart w:id="2742" w:name="Tc_JvpVNalfjE-jHbGsWvSezg_4_5"/>
      <w:bookmarkStart w:id="2743" w:name="Tc_GSPV5Oe-i0uOZM8hGUr0gQ_3_26"/>
      <w:bookmarkStart w:id="2744" w:name="Tc_VMVHhU9pnk2oMM0mGn_e6g_3_23"/>
      <w:bookmarkStart w:id="2745" w:name="Tc_C-7Ba_NKyEG_qyLfKqStfQ_3_11"/>
      <w:bookmarkStart w:id="2746" w:name="Tc_pYNB1AVX1UqmutwCKcP9-w_2_11"/>
      <w:bookmarkStart w:id="2747" w:name="Tc_5bYEPpZWc0SUrtnZDvXBhg_1_14"/>
      <w:bookmarkStart w:id="2748" w:name="Tc_DqXHf8b7iEWQS2JEhmFBSQ_1_5"/>
      <w:bookmarkStart w:id="2749" w:name="_da61239c_35e7_4708_9f27_7b27bd68bfa6"/>
      <w:bookmarkStart w:id="2750" w:name="SCHEDULEIIICONSOLIDATEDREALESTATE_827615"/>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III (CONSOLIDATED) - REAL ESTATE AND ACCUMULATED DEPRECIATION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120"/>
        <w:ind w:left="0" w:right="0" w:hanging="0"/>
        <w:jc w:val="center"/>
        <w:rPr>
          <w:rFonts w:ascii="Times New Roman;Times;serif" w:hAnsi="Times New Roman;Times;serif"/>
          <w:i/>
          <w:sz w:val="20"/>
        </w:rPr>
      </w:pPr>
      <w:r>
        <w:rPr>
          <w:rFonts w:ascii="Times New Roman;Times;serif" w:hAnsi="Times New Roman;Times;serif"/>
          <w:i/>
          <w:sz w:val="20"/>
        </w:rPr>
        <w:t>(Dollars in thousands, unless otherwise stated)</w:t>
      </w:r>
    </w:p>
    <w:tbl>
      <w:tblPr>
        <w:tblW w:w="13055" w:type="dxa"/>
        <w:jc w:val="left"/>
        <w:tblInd w:w="0" w:type="dxa"/>
        <w:tblLayout w:type="fixed"/>
        <w:tblCellMar>
          <w:top w:w="0" w:type="dxa"/>
          <w:left w:w="0" w:type="dxa"/>
          <w:bottom w:w="0" w:type="dxa"/>
          <w:right w:w="0" w:type="dxa"/>
        </w:tblCellMar>
      </w:tblPr>
      <w:tblGrid>
        <w:gridCol w:w="1336"/>
        <w:gridCol w:w="346"/>
        <w:gridCol w:w="240"/>
        <w:gridCol w:w="736"/>
        <w:gridCol w:w="346"/>
        <w:gridCol w:w="236"/>
        <w:gridCol w:w="725"/>
        <w:gridCol w:w="346"/>
        <w:gridCol w:w="236"/>
        <w:gridCol w:w="725"/>
        <w:gridCol w:w="346"/>
        <w:gridCol w:w="281"/>
        <w:gridCol w:w="710"/>
        <w:gridCol w:w="346"/>
        <w:gridCol w:w="235"/>
        <w:gridCol w:w="726"/>
        <w:gridCol w:w="346"/>
        <w:gridCol w:w="235"/>
        <w:gridCol w:w="726"/>
        <w:gridCol w:w="346"/>
        <w:gridCol w:w="196"/>
        <w:gridCol w:w="601"/>
        <w:gridCol w:w="346"/>
        <w:gridCol w:w="244"/>
        <w:gridCol w:w="657"/>
        <w:gridCol w:w="346"/>
        <w:gridCol w:w="1096"/>
      </w:tblGrid>
      <w:tr>
        <w:trPr/>
        <w:tc>
          <w:tcPr>
            <w:tcW w:w="1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8" w:type="dxa"/>
            <w:gridSpan w:val="5"/>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 xml:space="preserve">Initial Cost to Company </w:t>
            </w:r>
            <w:r>
              <w:rPr>
                <w:rFonts w:ascii="Times New Roman;Times;serif" w:hAnsi="Times New Roman;Times;serif"/>
                <w:b/>
                <w:sz w:val="11"/>
              </w:rPr>
              <w:t>(b)</w:t>
            </w:r>
          </w:p>
        </w:tc>
        <w:tc>
          <w:tcPr>
            <w:tcW w:w="346" w:type="dxa"/>
            <w:tcBorders/>
            <w:vAlign w:val="center"/>
          </w:tcPr>
          <w:p>
            <w:pPr>
              <w:pStyle w:val="TableContents"/>
              <w:bidi w:val="0"/>
              <w:spacing w:before="0" w:after="1"/>
              <w:ind w:left="0" w:right="0" w:hanging="0"/>
              <w:jc w:val="center"/>
              <w:rPr/>
            </w:pPr>
            <w:r>
              <w:rPr/>
              <w:t>​</w:t>
            </w:r>
          </w:p>
        </w:tc>
        <w:tc>
          <w:tcPr>
            <w:tcW w:w="281" w:type="dxa"/>
            <w:tcBorders/>
            <w:vAlign w:val="center"/>
          </w:tcPr>
          <w:p>
            <w:pPr>
              <w:pStyle w:val="TableContents"/>
              <w:bidi w:val="0"/>
              <w:spacing w:before="0" w:after="1"/>
              <w:ind w:left="0" w:right="0" w:hanging="0"/>
              <w:jc w:val="center"/>
              <w:rPr/>
            </w:pPr>
            <w:r>
              <w:rPr/>
              <w:t>​</w:t>
            </w:r>
          </w:p>
        </w:tc>
        <w:tc>
          <w:tcPr>
            <w:tcW w:w="7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1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Gross Amount as of December 31, 2025</w:t>
            </w:r>
          </w:p>
        </w:tc>
        <w:tc>
          <w:tcPr>
            <w:tcW w:w="346" w:type="dxa"/>
            <w:tcBorders/>
            <w:vAlign w:val="center"/>
          </w:tcPr>
          <w:p>
            <w:pPr>
              <w:pStyle w:val="TableContents"/>
              <w:bidi w:val="0"/>
              <w:spacing w:before="0" w:after="1"/>
              <w:ind w:left="0" w:right="0" w:hanging="0"/>
              <w:jc w:val="center"/>
              <w:rPr/>
            </w:pPr>
            <w:r>
              <w:rPr/>
              <w:t>​</w:t>
            </w:r>
          </w:p>
        </w:tc>
        <w:tc>
          <w:tcPr>
            <w:tcW w:w="244" w:type="dxa"/>
            <w:tcBorders/>
            <w:vAlign w:val="center"/>
          </w:tcPr>
          <w:p>
            <w:pPr>
              <w:pStyle w:val="TableContents"/>
              <w:bidi w:val="0"/>
              <w:spacing w:before="0" w:after="1"/>
              <w:ind w:left="0" w:right="0" w:hanging="0"/>
              <w:jc w:val="center"/>
              <w:rPr/>
            </w:pPr>
            <w:r>
              <w:rPr/>
              <w:t>​</w:t>
            </w:r>
          </w:p>
        </w:tc>
        <w:tc>
          <w:tcPr>
            <w:tcW w:w="6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6" w:type="dxa"/>
            <w:tcBorders/>
            <w:vAlign w:val="center"/>
          </w:tcPr>
          <w:p>
            <w:pPr>
              <w:pStyle w:val="TableContents"/>
              <w:bidi w:val="0"/>
              <w:spacing w:before="0" w:after="1"/>
              <w:ind w:left="0" w:right="0" w:hanging="0"/>
              <w:jc w:val="center"/>
              <w:rPr/>
            </w:pPr>
            <w:r>
              <w:rPr/>
              <w:t>​</w:t>
            </w:r>
          </w:p>
        </w:tc>
        <w:tc>
          <w:tcPr>
            <w:tcW w:w="72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6" w:type="dxa"/>
            <w:tcBorders/>
            <w:vAlign w:val="center"/>
          </w:tcPr>
          <w:p>
            <w:pPr>
              <w:pStyle w:val="TableContents"/>
              <w:bidi w:val="0"/>
              <w:spacing w:before="0" w:after="1"/>
              <w:ind w:left="0" w:right="0" w:hanging="0"/>
              <w:jc w:val="center"/>
              <w:rPr/>
            </w:pPr>
            <w:r>
              <w:rPr/>
              <w:t>​</w:t>
            </w:r>
          </w:p>
        </w:tc>
        <w:tc>
          <w:tcPr>
            <w:tcW w:w="72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Costs Capitalized </w:t>
            </w:r>
          </w:p>
        </w:tc>
        <w:tc>
          <w:tcPr>
            <w:tcW w:w="346" w:type="dxa"/>
            <w:tcBorders/>
            <w:vAlign w:val="center"/>
          </w:tcPr>
          <w:p>
            <w:pPr>
              <w:pStyle w:val="TableContents"/>
              <w:bidi w:val="0"/>
              <w:spacing w:before="0" w:after="1"/>
              <w:ind w:left="0" w:right="0" w:hanging="0"/>
              <w:jc w:val="center"/>
              <w:rPr/>
            </w:pPr>
            <w:r>
              <w:rPr/>
              <w:t>​</w:t>
            </w:r>
          </w:p>
        </w:tc>
        <w:tc>
          <w:tcPr>
            <w:tcW w:w="235" w:type="dxa"/>
            <w:tcBorders/>
            <w:vAlign w:val="center"/>
          </w:tcPr>
          <w:p>
            <w:pPr>
              <w:pStyle w:val="TableContents"/>
              <w:bidi w:val="0"/>
              <w:spacing w:before="0" w:after="1"/>
              <w:ind w:left="0" w:right="0" w:hanging="0"/>
              <w:jc w:val="center"/>
              <w:rPr/>
            </w:pPr>
            <w:r>
              <w:rPr/>
              <w:t>​</w:t>
            </w:r>
          </w:p>
        </w:tc>
        <w:tc>
          <w:tcPr>
            <w:tcW w:w="7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5" w:type="dxa"/>
            <w:tcBorders/>
            <w:vAlign w:val="center"/>
          </w:tcPr>
          <w:p>
            <w:pPr>
              <w:pStyle w:val="TableContents"/>
              <w:bidi w:val="0"/>
              <w:spacing w:before="0" w:after="1"/>
              <w:ind w:left="0" w:right="0" w:hanging="0"/>
              <w:jc w:val="center"/>
              <w:rPr/>
            </w:pPr>
            <w:r>
              <w:rPr/>
              <w:t>​</w:t>
            </w:r>
          </w:p>
        </w:tc>
        <w:tc>
          <w:tcPr>
            <w:tcW w:w="7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4" w:type="dxa"/>
            <w:tcBorders/>
            <w:vAlign w:val="center"/>
          </w:tcPr>
          <w:p>
            <w:pPr>
              <w:pStyle w:val="TableContents"/>
              <w:bidi w:val="0"/>
              <w:spacing w:before="0" w:after="1"/>
              <w:ind w:left="0" w:right="0" w:hanging="0"/>
              <w:jc w:val="center"/>
              <w:rPr/>
            </w:pPr>
            <w:r>
              <w:rPr/>
              <w:t>​</w:t>
            </w:r>
          </w:p>
        </w:tc>
        <w:tc>
          <w:tcPr>
            <w:tcW w:w="6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6" w:type="dxa"/>
            <w:tcBorders/>
            <w:vAlign w:val="center"/>
          </w:tcPr>
          <w:p>
            <w:pPr>
              <w:pStyle w:val="TableContents"/>
              <w:bidi w:val="0"/>
              <w:spacing w:before="0" w:after="1"/>
              <w:ind w:left="0" w:right="0" w:hanging="0"/>
              <w:jc w:val="center"/>
              <w:rPr/>
            </w:pPr>
            <w:r>
              <w:rPr/>
              <w:t>​</w:t>
            </w:r>
          </w:p>
        </w:tc>
        <w:tc>
          <w:tcPr>
            <w:tcW w:w="72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6" w:type="dxa"/>
            <w:tcBorders/>
            <w:vAlign w:val="center"/>
          </w:tcPr>
          <w:p>
            <w:pPr>
              <w:pStyle w:val="TableContents"/>
              <w:bidi w:val="0"/>
              <w:spacing w:before="0" w:after="1"/>
              <w:ind w:left="0" w:right="0" w:hanging="0"/>
              <w:jc w:val="center"/>
              <w:rPr/>
            </w:pPr>
            <w:r>
              <w:rPr/>
              <w:t>​</w:t>
            </w:r>
          </w:p>
        </w:tc>
        <w:tc>
          <w:tcPr>
            <w:tcW w:w="72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Subsequent to </w:t>
            </w:r>
          </w:p>
        </w:tc>
        <w:tc>
          <w:tcPr>
            <w:tcW w:w="346" w:type="dxa"/>
            <w:tcBorders/>
            <w:vAlign w:val="center"/>
          </w:tcPr>
          <w:p>
            <w:pPr>
              <w:pStyle w:val="TableContents"/>
              <w:bidi w:val="0"/>
              <w:spacing w:before="0" w:after="1"/>
              <w:ind w:left="0" w:right="0" w:hanging="0"/>
              <w:jc w:val="center"/>
              <w:rPr/>
            </w:pPr>
            <w:r>
              <w:rPr/>
              <w:t>​</w:t>
            </w:r>
          </w:p>
        </w:tc>
        <w:tc>
          <w:tcPr>
            <w:tcW w:w="235" w:type="dxa"/>
            <w:tcBorders/>
            <w:vAlign w:val="center"/>
          </w:tcPr>
          <w:p>
            <w:pPr>
              <w:pStyle w:val="TableContents"/>
              <w:bidi w:val="0"/>
              <w:spacing w:before="0" w:after="1"/>
              <w:ind w:left="0" w:right="0" w:hanging="0"/>
              <w:jc w:val="center"/>
              <w:rPr/>
            </w:pPr>
            <w:r>
              <w:rPr/>
              <w:t>​</w:t>
            </w:r>
          </w:p>
        </w:tc>
        <w:tc>
          <w:tcPr>
            <w:tcW w:w="7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5" w:type="dxa"/>
            <w:tcBorders/>
            <w:vAlign w:val="center"/>
          </w:tcPr>
          <w:p>
            <w:pPr>
              <w:pStyle w:val="TableContents"/>
              <w:bidi w:val="0"/>
              <w:spacing w:before="0" w:after="1"/>
              <w:ind w:left="0" w:right="0" w:hanging="0"/>
              <w:jc w:val="center"/>
              <w:rPr/>
            </w:pPr>
            <w:r>
              <w:rPr/>
              <w:t>​</w:t>
            </w:r>
          </w:p>
        </w:tc>
        <w:tc>
          <w:tcPr>
            <w:tcW w:w="7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 of </w:t>
            </w:r>
          </w:p>
        </w:tc>
      </w:tr>
      <w:tr>
        <w:trPr/>
        <w:tc>
          <w:tcPr>
            <w:tcW w:w="1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Land &amp;</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Buildings &amp;</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Acquisition or</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Land &amp; Land</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Buildings and</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Depreciation and </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Construction or</w:t>
            </w:r>
          </w:p>
        </w:tc>
      </w:tr>
      <w:tr>
        <w:trPr/>
        <w:tc>
          <w:tcPr>
            <w:tcW w:w="1336"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4"/>
              </w:rPr>
              <w:t>Description</w:t>
            </w:r>
            <w:r>
              <w:rPr>
                <w:rFonts w:ascii="Times New Roman;Times;serif" w:hAnsi="Times New Roman;Times;serif"/>
                <w:sz w:val="14"/>
              </w:rPr>
              <w:t xml:space="preserve"> </w:t>
            </w:r>
            <w:r>
              <w:rPr>
                <w:rFonts w:ascii="Times New Roman;Times;serif" w:hAnsi="Times New Roman;Times;serif"/>
                <w:b/>
                <w:sz w:val="11"/>
              </w:rPr>
              <w:t>(a)</w:t>
            </w:r>
          </w:p>
        </w:tc>
        <w:tc>
          <w:tcPr>
            <w:tcW w:w="346" w:type="dxa"/>
            <w:tcBorders/>
            <w:vAlign w:val="center"/>
          </w:tcPr>
          <w:p>
            <w:pPr>
              <w:pStyle w:val="TableContents"/>
              <w:bidi w:val="0"/>
              <w:spacing w:before="0" w:after="1"/>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Encumbrances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Improvements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Improvements</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Construction </w:t>
            </w:r>
            <w:r>
              <w:rPr>
                <w:rFonts w:ascii="Times New Roman;Times;serif" w:hAnsi="Times New Roman;Times;serif"/>
                <w:b/>
                <w:sz w:val="11"/>
              </w:rPr>
              <w:t>(c)</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Improvements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Improvements</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1"/>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Amortization</w:t>
            </w:r>
            <w:r>
              <w:rPr>
                <w:rFonts w:ascii="Times New Roman;Times;serif" w:hAnsi="Times New Roman;Times;serif"/>
                <w:sz w:val="14"/>
              </w:rPr>
              <w:t xml:space="preserve"> </w:t>
            </w:r>
            <w:r>
              <w:rPr>
                <w:rFonts w:ascii="Times New Roman;Times;serif" w:hAnsi="Times New Roman;Times;serif"/>
                <w:b/>
                <w:sz w:val="11"/>
              </w:rPr>
              <w:t>(d)</w:t>
            </w:r>
          </w:p>
        </w:tc>
        <w:tc>
          <w:tcPr>
            <w:tcW w:w="346" w:type="dxa"/>
            <w:tcBorders/>
            <w:vAlign w:val="center"/>
          </w:tcPr>
          <w:p>
            <w:pPr>
              <w:pStyle w:val="TableContents"/>
              <w:bidi w:val="0"/>
              <w:spacing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Acquisition</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Residential developments</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2,626</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80,288</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82,914</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82,914</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through 2025</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33,766</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33,766</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33,766</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through 2025</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Gulf County, FL</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22,032</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26,032</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26,032</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through 2025</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Franklin and Leon Counties, FL</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971</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8,873</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(3,923)</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4,950</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4,950</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through 2022</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Residential operating property</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5,841</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6,393</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(5,542)</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5,856</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6,692</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2,023</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2004 - 2007, 2011 - 2012</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Hospitality</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71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center"/>
              <w:rPr/>
            </w:pPr>
            <w:r>
              <w:rPr/>
              <w:t>  ​</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Watersound Club - Camp Creek Inn, amenity and golf course</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26,843</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34,475</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46,892</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34,802</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46,892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81,694</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14,217</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2001, 2023</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Watersound Club other</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41,459</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20,081</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3,325</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44,309</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64,865</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20,438</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2006, 2007, 2018, 2019, 2024</w:t>
            </w:r>
          </w:p>
        </w:tc>
      </w:tr>
      <w:tr>
        <w:trPr/>
        <w:tc>
          <w:tcPr>
            <w:tcW w:w="13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Embassy Suites by Hilton Panama City Beach Resort </w:t>
            </w:r>
            <w:r>
              <w:rPr>
                <w:rFonts w:ascii="Times New Roman;Times;serif" w:hAnsi="Times New Roman;Times;serif"/>
                <w:sz w:val="12"/>
              </w:rPr>
              <w:t>(e)</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49,817</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5,500</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57,962</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5,500</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57,962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63,462</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4,936</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2023</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The Pearl Hotel</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32,560</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10,518</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38,742</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10,518</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49,260</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3,176</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2022</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Marinas</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28,737</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10,478</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29,320</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39,478</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5,164</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2022</w:t>
            </w:r>
          </w:p>
        </w:tc>
      </w:tr>
      <w:tr>
        <w:trPr/>
        <w:tc>
          <w:tcPr>
            <w:tcW w:w="13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Hotel Indigo/Harrison's Kitchen &amp; Bar </w:t>
            </w:r>
            <w:r>
              <w:rPr>
                <w:rFonts w:ascii="Times New Roman;Times;serif" w:hAnsi="Times New Roman;Times;serif"/>
                <w:sz w:val="12"/>
              </w:rPr>
              <w:t>(f)</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19,024</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2,426</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30,758</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2,481</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33,239</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2,549</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2022-2023</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WaterColor Hospitality</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1,137</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17,376</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12,454</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2,632</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28,335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30,967</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13,482</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2002, 2013, 2022, 2024</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Homewood Suites by Hilton Panama City Beach</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14,978</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1,953</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20,193</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1,975</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22,168</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2,406</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2022</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Hilton Garden Inn Panama City Airport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3,227</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1,693</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17,101</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1,693</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18,794</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2,414</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2021</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Home2 Suites by Hilton Santa Rosa Beach</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11,215</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2,303</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14,959</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2,303</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17,262</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1,258</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2023</w:t>
            </w:r>
          </w:p>
        </w:tc>
      </w:tr>
      <w:tr>
        <w:trPr/>
        <w:tc>
          <w:tcPr>
            <w:tcW w:w="13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The Lodge 30A </w:t>
            </w:r>
            <w:r>
              <w:rPr>
                <w:rFonts w:ascii="Times New Roman;Times;serif" w:hAnsi="Times New Roman;Times;serif"/>
                <w:sz w:val="12"/>
              </w:rPr>
              <w:t>(e)</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13,587</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3,303</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12,339</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3,303</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12,339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15,642</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1,157</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2023</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1,621</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11,507</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13,816</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(2,718)</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9,253</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22,605</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4,902</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2008, 2010, 2016, 2019 - 2020</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pPr>
            <w:r>
              <w:rPr/>
              <w:t>  ​</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Leasing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71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center"/>
              <w:rPr/>
            </w:pPr>
            <w:r>
              <w:rPr/>
              <w:t>  ​</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Watersound Town Center</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4,682</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13,906</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59,479</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12,407</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60,978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73,385</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5,877</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2020 - 2024</w:t>
            </w:r>
          </w:p>
        </w:tc>
      </w:tr>
      <w:tr>
        <w:trPr/>
        <w:tc>
          <w:tcPr>
            <w:tcW w:w="13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Pier Park North </w:t>
            </w:r>
            <w:r>
              <w:rPr>
                <w:rFonts w:ascii="Times New Roman;Times;serif" w:hAnsi="Times New Roman;Times;serif"/>
                <w:sz w:val="12"/>
              </w:rPr>
              <w:t>(e)</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39,922</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13,175</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35,243</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4,488</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13,320</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52,906</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19,797</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2014 - 2017</w:t>
            </w:r>
          </w:p>
        </w:tc>
      </w:tr>
      <w:tr>
        <w:trPr/>
        <w:tc>
          <w:tcPr>
            <w:tcW w:w="13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Mexico Beach Crossings </w:t>
            </w:r>
            <w:r>
              <w:rPr>
                <w:rFonts w:ascii="Times New Roman;Times;serif" w:hAnsi="Times New Roman;Times;serif"/>
                <w:sz w:val="12"/>
              </w:rPr>
              <w:t>(e)</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42,510</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11,225</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34,765</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11,225</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45,990</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3,302</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2023</w:t>
            </w:r>
          </w:p>
        </w:tc>
      </w:tr>
      <w:tr>
        <w:trPr/>
        <w:tc>
          <w:tcPr>
            <w:tcW w:w="13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Watersound Origins Crossings </w:t>
            </w:r>
            <w:r>
              <w:rPr>
                <w:rFonts w:ascii="Times New Roman;Times;serif" w:hAnsi="Times New Roman;Times;serif"/>
                <w:sz w:val="12"/>
              </w:rPr>
              <w:t>(e)</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51,328</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6,853</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33,912</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6,859</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40,777</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5,582</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2020 - 2021</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North Bay Landing</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27,619</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3,520</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34,383</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3,540</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37,923</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3,354</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2022-2023</w:t>
            </w:r>
          </w:p>
        </w:tc>
      </w:tr>
      <w:tr>
        <w:trPr/>
        <w:tc>
          <w:tcPr>
            <w:tcW w:w="13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Pier Park Crossings </w:t>
            </w:r>
            <w:r>
              <w:rPr>
                <w:rFonts w:ascii="Times New Roman;Times;serif" w:hAnsi="Times New Roman;Times;serif"/>
                <w:sz w:val="12"/>
              </w:rPr>
              <w:t>(e)</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33,616</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8,456</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28,664</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8,456</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37,120</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7,052</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2019 - 2020</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VentureCrossings</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7,199</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29,824</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(1,791)</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5,717</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35,232</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11,301</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2012, 2017, 2019</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FSU/TMH Medical Campus</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8,484</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21,317</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8,484</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29,801</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1,687</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r>
      <w:tr>
        <w:trPr/>
        <w:tc>
          <w:tcPr>
            <w:tcW w:w="13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Pier Park Crossings Phase II </w:t>
            </w:r>
            <w:r>
              <w:rPr>
                <w:rFonts w:ascii="Times New Roman;Times;serif" w:hAnsi="Times New Roman;Times;serif"/>
                <w:sz w:val="12"/>
              </w:rPr>
              <w:t>(e)</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21,365</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3,567</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15,588</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3,567</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19,155</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2,845</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Watersound West Bay Center</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8,825</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7,205</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8,825</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16,030</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Beckrich Office Park</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1,111</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2,200</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13,298</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2,223</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15,856</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2,828</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2017, 2020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56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751" w:name="Tc_SdBmp96XIkGdHOYxlatstQ_5_8"/>
      <w:bookmarkStart w:id="2752" w:name="Tc_T5PwIS2Nl0SUAJOm_g4QjA_5_5"/>
      <w:bookmarkStart w:id="2753" w:name="Tc_Vn2U36e4sEyqBv1PXPWA_A_5_2"/>
      <w:bookmarkStart w:id="2754" w:name="Tc_I4PR3uAAKEyPe2KDS9wSPg_5_0"/>
      <w:bookmarkStart w:id="2755" w:name="Tc_KQX3Apue8ES2l0oa26YkUg_4_0"/>
      <w:bookmarkStart w:id="2756" w:name="Tc_xlGgo7OLPkKYHVHMSDs8Aw_3_0"/>
      <w:bookmarkStart w:id="2757" w:name="Tc_5Nenm_Ivv0mL9pt00Hlhfg_2_8"/>
      <w:bookmarkStart w:id="2758" w:name="Tc_BjTevAuvNkGezzu5GZgLmw_2_5"/>
      <w:bookmarkStart w:id="2759" w:name="Tc_nWiJ76L1eUyWQhJaK-ZFeg_2_2"/>
      <w:bookmarkStart w:id="2760" w:name="Tc_eRb77EBhDUyJUeQFuQPfiw_2_0"/>
      <w:bookmarkStart w:id="2761" w:name="Tc_6qxfFcRen0qxjmK0UyaO0Q_1_8"/>
      <w:bookmarkStart w:id="2762" w:name="Tc_wR2orheuf0uwnRk1djuXHw_1_5"/>
      <w:bookmarkStart w:id="2763" w:name="Tc_Be9zDe14I06gPgSWDWzi5Q_1_2"/>
      <w:bookmarkStart w:id="2764" w:name="_7f60c25d_c8c6_499e_9f1b_3c65da990f3c"/>
      <w:bookmarkStart w:id="2765" w:name="Tc_J6LOj6iKpUOdr-HU_TQfuA_7_8"/>
      <w:bookmarkStart w:id="2766" w:name="Tc_npi17yRdJUKmPdfinrK-Pw_7_5"/>
      <w:bookmarkStart w:id="2767" w:name="Tc_4szjFib0REaM6sAVySzRaQ_7_2"/>
      <w:bookmarkStart w:id="2768" w:name="Tc_OfuXF7TACUaW32ExV9UShg_7_0"/>
      <w:bookmarkStart w:id="2769" w:name="Tc_6_3GawRhwkKw16cZacvySg_6_0"/>
      <w:bookmarkStart w:id="2770" w:name="Tc_qMgYorNWv0OcA5aJa_ei6w_5_0"/>
      <w:bookmarkStart w:id="2771" w:name="Tc_OCbvAabqiESoU7n8lM2Dzw_4_9"/>
      <w:bookmarkStart w:id="2772" w:name="Tc_q_gavj1SP0SNS2VytOSSvw_4_6"/>
      <w:bookmarkStart w:id="2773" w:name="Tc_MWWkqfHrOEaGeh0lCuppww_4_3"/>
      <w:bookmarkStart w:id="2774" w:name="Tc_nCb4wi-ehkSFY43D5e7YnA_4_0"/>
      <w:bookmarkStart w:id="2775" w:name="Tc_KCgeUOGSrEqkGR17c-35Zw_3_0"/>
      <w:bookmarkStart w:id="2776" w:name="Tc_blMzUxOQ_0Cc-9Jpqp1jPQ_2_8"/>
      <w:bookmarkStart w:id="2777" w:name="Tc_4KPsjYoqokC8Tue2P60Grw_2_5"/>
      <w:bookmarkStart w:id="2778" w:name="Tc_IQrFuVVx90aJwKlQJh6c4w_2_2"/>
      <w:bookmarkStart w:id="2779" w:name="Tc_P5lYwvdAUkO0Lj5vmstTMg_2_0"/>
      <w:bookmarkStart w:id="2780" w:name="Tc_oO-o_amhCk-s2U7z-F7YaQ_1_8"/>
      <w:bookmarkStart w:id="2781" w:name="Tc_Vm-a3sR4pUGoh4ATwoaG7w_1_5"/>
      <w:bookmarkStart w:id="2782" w:name="Tc_IjtymORg406jC8q75ClXwg_1_2"/>
      <w:bookmarkStart w:id="2783" w:name="_1e3d0a5c_ceb8_41d7_a215_b2d2e09f6994"/>
      <w:bookmarkStart w:id="2784" w:name="Tc_6GlHAfXhOkKSpbz56CyjQQ_50_23"/>
      <w:bookmarkStart w:id="2785" w:name="Tc_4JhnDlXjyEiqBziWKvnftw_50_20"/>
      <w:bookmarkStart w:id="2786" w:name="Tc_mG2P59gfjUKZUoydu95EHw_50_17"/>
      <w:bookmarkStart w:id="2787" w:name="Tc_HuCjz0QI1E6pzFtKOwJKXQ_50_14"/>
      <w:bookmarkStart w:id="2788" w:name="Tc_Aj-gq24KUUSE32ygmb5b9A_50_11"/>
      <w:bookmarkStart w:id="2789" w:name="Tc__-1GwENti02k53-VcLqlzA_50_8"/>
      <w:bookmarkStart w:id="2790" w:name="Tc__I0-bkPfz0SepBTbtp2vuw_50_5"/>
      <w:bookmarkStart w:id="2791" w:name="Tc_2VZqign6nUa_3cgMYzygEQ_50_2"/>
      <w:bookmarkStart w:id="2792" w:name="Tc_4Z2etfSWOE6RpVUVuqjlRQ_50_0"/>
      <w:bookmarkStart w:id="2793" w:name="Tc_sWJV3paZAkaw_4H6qEKH9A_49_26"/>
      <w:bookmarkStart w:id="2794" w:name="Tc_z1IbJEZRfkOSNphPHlolFA_49_3"/>
      <w:bookmarkStart w:id="2795" w:name="Tc_NVkg5pyK0kSG9U2yMGoGIw_49_0"/>
      <w:bookmarkStart w:id="2796" w:name="Tc_qu0USFB0t0W7PQfmla2liQ_48_26"/>
      <w:bookmarkStart w:id="2797" w:name="Tc_qWr12ZyTJk-_TKFg9EEe_w_48_3"/>
      <w:bookmarkStart w:id="2798" w:name="Tc_PuXHBlAT_Uu62BLpKi2Kuw_48_0"/>
      <w:bookmarkStart w:id="2799" w:name="Tc_UNHOKTOBJEqApq5R8a6Zng_47_26"/>
      <w:bookmarkStart w:id="2800" w:name="Tc_c6_Ykt9-BUGLzm7Wt7ngkw_47_18"/>
      <w:bookmarkStart w:id="2801" w:name="Tc_uDyT_VaK6UyXQeD0pJz96Q_47_9"/>
      <w:bookmarkStart w:id="2802" w:name="Tc_qD76XOJDg0utoxJBSywDyQ_47_3"/>
      <w:bookmarkStart w:id="2803" w:name="Tc_9wEbCcRudUCvMU0lJ9IZ7w_47_0"/>
      <w:bookmarkStart w:id="2804" w:name="Tc_ll_5zzn9LUSHdYhVyqE3lA_46_26"/>
      <w:bookmarkStart w:id="2805" w:name="Tc_BsF_m9LGzE6ZWe4mLl9KwA_46_3"/>
      <w:bookmarkStart w:id="2806" w:name="Tc_exbT_hUNf0-PaGdp1BtsOQ_46_0"/>
      <w:bookmarkStart w:id="2807" w:name="Tc_576wioZULU6cVhuo6x7kUA_45_26"/>
      <w:bookmarkStart w:id="2808" w:name="Tc_2i1XaUDeE0iyDSdDvcIlEQ_45_12"/>
      <w:bookmarkStart w:id="2809" w:name="Tc_k-dIPpoEQ0iHuRepbGVjYQ_45_3"/>
      <w:bookmarkStart w:id="2810" w:name="Tc_61Ry4CAz6k6lrzFJT8Nq8w_45_0"/>
      <w:bookmarkStart w:id="2811" w:name="Tc_0hEIujfisUuV9ko2neTTCQ_44_26"/>
      <w:bookmarkStart w:id="2812" w:name="Tc_TEm03b4nA0OtmY2syqhanQ_44_12"/>
      <w:bookmarkStart w:id="2813" w:name="Tc__ML1Rj6JJEqzbHON7NMvsQ_44_3"/>
      <w:bookmarkStart w:id="2814" w:name="Tc_7vH2P7-_iEqaetUildNDKg_44_0"/>
      <w:bookmarkStart w:id="2815" w:name="Tc_GmMsbjnYEE6EOsKaArTZUQ_43_26"/>
      <w:bookmarkStart w:id="2816" w:name="Tc_7imy7XiHtUuw2qh24bePew_43_3"/>
      <w:bookmarkStart w:id="2817" w:name="Tc_hK3dYlDhd0iSSdxJenVqtA_43_0"/>
      <w:bookmarkStart w:id="2818" w:name="Tc_IZ4nsFEs4UKsUrxoPbR11A_42_26"/>
      <w:bookmarkStart w:id="2819" w:name="Tc_QyUmz32-6EeXXhW4q9vhVg_42_23"/>
      <w:bookmarkStart w:id="2820" w:name="Tc_p7FZ8kAQrkqP2P2Nk4xTTA_42_20"/>
      <w:bookmarkStart w:id="2821" w:name="Tc_faKoCkL4VkqLFX4KjX8QOw_42_17"/>
      <w:bookmarkStart w:id="2822" w:name="Tc_E448GqF1gE64RZGKju11xQ_42_14"/>
      <w:bookmarkStart w:id="2823" w:name="Tc_3gTfTu5hq0uPa3wgqLU6NA_42_11"/>
      <w:bookmarkStart w:id="2824" w:name="Tc__m6gvaer1ESBjNz2IHCvFg_42_8"/>
      <w:bookmarkStart w:id="2825" w:name="Tc_oRm85kNrgUSJGyJwAkup1g_42_5"/>
      <w:bookmarkStart w:id="2826" w:name="Tc_9o_K9OT9f0y-XS9kvh6jFA_42_2"/>
      <w:bookmarkStart w:id="2827" w:name="Tc_QHz4V4Hb-kaiQChPgG0C4A_42_0"/>
      <w:bookmarkStart w:id="2828" w:name="Tc_WbhmBQGjP0i0MKyXD9Ssdw_41_26"/>
      <w:bookmarkStart w:id="2829" w:name="Tc_qm_ZFoinrk2oBhC0yGSGNw_41_23"/>
      <w:bookmarkStart w:id="2830" w:name="Tc_0T1I0uwteUSBRsIKvfk3Fg_41_17"/>
      <w:bookmarkStart w:id="2831" w:name="Tc_sWCsxkzdAECi_AHySVtpSw_41_14"/>
      <w:bookmarkStart w:id="2832" w:name="Tc_eIlV8ax6Bk2uf0NjZ7tIWg_41_11"/>
      <w:bookmarkStart w:id="2833" w:name="Tc_Dyz9MexxlEKq6AjzMpGRYg_41_8"/>
      <w:bookmarkStart w:id="2834" w:name="Tc_lE79j6oux0mU-RsvBQp3XA_41_5"/>
      <w:bookmarkStart w:id="2835" w:name="Tc_IMFrihFvnk6t6h7HfrHzUw_40_26"/>
      <w:bookmarkStart w:id="2836" w:name="Tc_ZOeD_ECuykiPua1rHLtLIg_40_23"/>
      <w:bookmarkStart w:id="2837" w:name="Tc_LztTP7GHC0C7X_0_ltPfzQ_40_11"/>
      <w:bookmarkStart w:id="2838" w:name="Tc_xcjO0hluGUOf67DXDTzMHw_39_11"/>
      <w:bookmarkStart w:id="2839" w:name="Tc_CW73HPfdc0WqFTPKQ2lOZw_38_14"/>
      <w:bookmarkStart w:id="2840" w:name="Tc_puErzJkqt0Or1bfYvBagag_38_5"/>
      <w:bookmarkStart w:id="2841" w:name="Tc_SdBmp96XIkGdHOYxlatstQ_5_8"/>
      <w:bookmarkStart w:id="2842" w:name="Tc_T5PwIS2Nl0SUAJOm_g4QjA_5_5"/>
      <w:bookmarkStart w:id="2843" w:name="Tc_Vn2U36e4sEyqBv1PXPWA_A_5_2"/>
      <w:bookmarkStart w:id="2844" w:name="Tc_I4PR3uAAKEyPe2KDS9wSPg_5_0"/>
      <w:bookmarkStart w:id="2845" w:name="Tc_KQX3Apue8ES2l0oa26YkUg_4_0"/>
      <w:bookmarkStart w:id="2846" w:name="Tc_xlGgo7OLPkKYHVHMSDs8Aw_3_0"/>
      <w:bookmarkStart w:id="2847" w:name="Tc_5Nenm_Ivv0mL9pt00Hlhfg_2_8"/>
      <w:bookmarkStart w:id="2848" w:name="Tc_BjTevAuvNkGezzu5GZgLmw_2_5"/>
      <w:bookmarkStart w:id="2849" w:name="Tc_nWiJ76L1eUyWQhJaK-ZFeg_2_2"/>
      <w:bookmarkStart w:id="2850" w:name="Tc_eRb77EBhDUyJUeQFuQPfiw_2_0"/>
      <w:bookmarkStart w:id="2851" w:name="Tc_6qxfFcRen0qxjmK0UyaO0Q_1_8"/>
      <w:bookmarkStart w:id="2852" w:name="Tc_wR2orheuf0uwnRk1djuXHw_1_5"/>
      <w:bookmarkStart w:id="2853" w:name="Tc_Be9zDe14I06gPgSWDWzi5Q_1_2"/>
      <w:bookmarkStart w:id="2854" w:name="_7f60c25d_c8c6_499e_9f1b_3c65da990f3c"/>
      <w:bookmarkStart w:id="2855" w:name="Tc_J6LOj6iKpUOdr-HU_TQfuA_7_8"/>
      <w:bookmarkStart w:id="2856" w:name="Tc_npi17yRdJUKmPdfinrK-Pw_7_5"/>
      <w:bookmarkStart w:id="2857" w:name="Tc_4szjFib0REaM6sAVySzRaQ_7_2"/>
      <w:bookmarkStart w:id="2858" w:name="Tc_OfuXF7TACUaW32ExV9UShg_7_0"/>
      <w:bookmarkStart w:id="2859" w:name="Tc_6_3GawRhwkKw16cZacvySg_6_0"/>
      <w:bookmarkStart w:id="2860" w:name="Tc_qMgYorNWv0OcA5aJa_ei6w_5_0"/>
      <w:bookmarkStart w:id="2861" w:name="Tc_OCbvAabqiESoU7n8lM2Dzw_4_9"/>
      <w:bookmarkStart w:id="2862" w:name="Tc_q_gavj1SP0SNS2VytOSSvw_4_6"/>
      <w:bookmarkStart w:id="2863" w:name="Tc_MWWkqfHrOEaGeh0lCuppww_4_3"/>
      <w:bookmarkStart w:id="2864" w:name="Tc_nCb4wi-ehkSFY43D5e7YnA_4_0"/>
      <w:bookmarkStart w:id="2865" w:name="Tc_KCgeUOGSrEqkGR17c-35Zw_3_0"/>
      <w:bookmarkStart w:id="2866" w:name="Tc_blMzUxOQ_0Cc-9Jpqp1jPQ_2_8"/>
      <w:bookmarkStart w:id="2867" w:name="Tc_4KPsjYoqokC8Tue2P60Grw_2_5"/>
      <w:bookmarkStart w:id="2868" w:name="Tc_IQrFuVVx90aJwKlQJh6c4w_2_2"/>
      <w:bookmarkStart w:id="2869" w:name="Tc_P5lYwvdAUkO0Lj5vmstTMg_2_0"/>
      <w:bookmarkStart w:id="2870" w:name="Tc_oO-o_amhCk-s2U7z-F7YaQ_1_8"/>
      <w:bookmarkStart w:id="2871" w:name="Tc_Vm-a3sR4pUGoh4ATwoaG7w_1_5"/>
      <w:bookmarkStart w:id="2872" w:name="Tc_IjtymORg406jC8q75ClXwg_1_2"/>
      <w:bookmarkStart w:id="2873" w:name="_1e3d0a5c_ceb8_41d7_a215_b2d2e09f6994"/>
      <w:bookmarkStart w:id="2874" w:name="Tc_6GlHAfXhOkKSpbz56CyjQQ_50_23"/>
      <w:bookmarkStart w:id="2875" w:name="Tc_4JhnDlXjyEiqBziWKvnftw_50_20"/>
      <w:bookmarkStart w:id="2876" w:name="Tc_mG2P59gfjUKZUoydu95EHw_50_17"/>
      <w:bookmarkStart w:id="2877" w:name="Tc_HuCjz0QI1E6pzFtKOwJKXQ_50_14"/>
      <w:bookmarkStart w:id="2878" w:name="Tc_Aj-gq24KUUSE32ygmb5b9A_50_11"/>
      <w:bookmarkStart w:id="2879" w:name="Tc__-1GwENti02k53-VcLqlzA_50_8"/>
      <w:bookmarkStart w:id="2880" w:name="Tc__I0-bkPfz0SepBTbtp2vuw_50_5"/>
      <w:bookmarkStart w:id="2881" w:name="Tc_2VZqign6nUa_3cgMYzygEQ_50_2"/>
      <w:bookmarkStart w:id="2882" w:name="Tc_4Z2etfSWOE6RpVUVuqjlRQ_50_0"/>
      <w:bookmarkStart w:id="2883" w:name="Tc_sWJV3paZAkaw_4H6qEKH9A_49_26"/>
      <w:bookmarkStart w:id="2884" w:name="Tc_z1IbJEZRfkOSNphPHlolFA_49_3"/>
      <w:bookmarkStart w:id="2885" w:name="Tc_NVkg5pyK0kSG9U2yMGoGIw_49_0"/>
      <w:bookmarkStart w:id="2886" w:name="Tc_qu0USFB0t0W7PQfmla2liQ_48_26"/>
      <w:bookmarkStart w:id="2887" w:name="Tc_qWr12ZyTJk-_TKFg9EEe_w_48_3"/>
      <w:bookmarkStart w:id="2888" w:name="Tc_PuXHBlAT_Uu62BLpKi2Kuw_48_0"/>
      <w:bookmarkStart w:id="2889" w:name="Tc_UNHOKTOBJEqApq5R8a6Zng_47_26"/>
      <w:bookmarkStart w:id="2890" w:name="Tc_c6_Ykt9-BUGLzm7Wt7ngkw_47_18"/>
      <w:bookmarkStart w:id="2891" w:name="Tc_uDyT_VaK6UyXQeD0pJz96Q_47_9"/>
      <w:bookmarkStart w:id="2892" w:name="Tc_qD76XOJDg0utoxJBSywDyQ_47_3"/>
      <w:bookmarkStart w:id="2893" w:name="Tc_9wEbCcRudUCvMU0lJ9IZ7w_47_0"/>
      <w:bookmarkStart w:id="2894" w:name="Tc_ll_5zzn9LUSHdYhVyqE3lA_46_26"/>
      <w:bookmarkStart w:id="2895" w:name="Tc_BsF_m9LGzE6ZWe4mLl9KwA_46_3"/>
      <w:bookmarkStart w:id="2896" w:name="Tc_exbT_hUNf0-PaGdp1BtsOQ_46_0"/>
      <w:bookmarkStart w:id="2897" w:name="Tc_576wioZULU6cVhuo6x7kUA_45_26"/>
      <w:bookmarkStart w:id="2898" w:name="Tc_2i1XaUDeE0iyDSdDvcIlEQ_45_12"/>
      <w:bookmarkStart w:id="2899" w:name="Tc_k-dIPpoEQ0iHuRepbGVjYQ_45_3"/>
      <w:bookmarkStart w:id="2900" w:name="Tc_61Ry4CAz6k6lrzFJT8Nq8w_45_0"/>
      <w:bookmarkStart w:id="2901" w:name="Tc_0hEIujfisUuV9ko2neTTCQ_44_26"/>
      <w:bookmarkStart w:id="2902" w:name="Tc_TEm03b4nA0OtmY2syqhanQ_44_12"/>
      <w:bookmarkStart w:id="2903" w:name="Tc__ML1Rj6JJEqzbHON7NMvsQ_44_3"/>
      <w:bookmarkStart w:id="2904" w:name="Tc_7vH2P7-_iEqaetUildNDKg_44_0"/>
      <w:bookmarkStart w:id="2905" w:name="Tc_GmMsbjnYEE6EOsKaArTZUQ_43_26"/>
      <w:bookmarkStart w:id="2906" w:name="Tc_7imy7XiHtUuw2qh24bePew_43_3"/>
      <w:bookmarkStart w:id="2907" w:name="Tc_hK3dYlDhd0iSSdxJenVqtA_43_0"/>
      <w:bookmarkStart w:id="2908" w:name="Tc_IZ4nsFEs4UKsUrxoPbR11A_42_26"/>
      <w:bookmarkStart w:id="2909" w:name="Tc_QyUmz32-6EeXXhW4q9vhVg_42_23"/>
      <w:bookmarkStart w:id="2910" w:name="Tc_p7FZ8kAQrkqP2P2Nk4xTTA_42_20"/>
      <w:bookmarkStart w:id="2911" w:name="Tc_faKoCkL4VkqLFX4KjX8QOw_42_17"/>
      <w:bookmarkStart w:id="2912" w:name="Tc_E448GqF1gE64RZGKju11xQ_42_14"/>
      <w:bookmarkStart w:id="2913" w:name="Tc_3gTfTu5hq0uPa3wgqLU6NA_42_11"/>
      <w:bookmarkStart w:id="2914" w:name="Tc__m6gvaer1ESBjNz2IHCvFg_42_8"/>
      <w:bookmarkStart w:id="2915" w:name="Tc_oRm85kNrgUSJGyJwAkup1g_42_5"/>
      <w:bookmarkStart w:id="2916" w:name="Tc_9o_K9OT9f0y-XS9kvh6jFA_42_2"/>
      <w:bookmarkStart w:id="2917" w:name="Tc_QHz4V4Hb-kaiQChPgG0C4A_42_0"/>
      <w:bookmarkStart w:id="2918" w:name="Tc_WbhmBQGjP0i0MKyXD9Ssdw_41_26"/>
      <w:bookmarkStart w:id="2919" w:name="Tc_qm_ZFoinrk2oBhC0yGSGNw_41_23"/>
      <w:bookmarkStart w:id="2920" w:name="Tc_0T1I0uwteUSBRsIKvfk3Fg_41_17"/>
      <w:bookmarkStart w:id="2921" w:name="Tc_sWCsxkzdAECi_AHySVtpSw_41_14"/>
      <w:bookmarkStart w:id="2922" w:name="Tc_eIlV8ax6Bk2uf0NjZ7tIWg_41_11"/>
      <w:bookmarkStart w:id="2923" w:name="Tc_Dyz9MexxlEKq6AjzMpGRYg_41_8"/>
      <w:bookmarkStart w:id="2924" w:name="Tc_lE79j6oux0mU-RsvBQp3XA_41_5"/>
      <w:bookmarkStart w:id="2925" w:name="Tc_IMFrihFvnk6t6h7HfrHzUw_40_26"/>
      <w:bookmarkStart w:id="2926" w:name="Tc_ZOeD_ECuykiPua1rHLtLIg_40_23"/>
      <w:bookmarkStart w:id="2927" w:name="Tc_LztTP7GHC0C7X_0_ltPfzQ_40_11"/>
      <w:bookmarkStart w:id="2928" w:name="Tc_xcjO0hluGUOf67DXDTzMHw_39_11"/>
      <w:bookmarkStart w:id="2929" w:name="Tc_CW73HPfdc0WqFTPKQ2lOZw_38_14"/>
      <w:bookmarkStart w:id="2930" w:name="Tc_puErzJkqt0Or1bfYvBagag_38_5"/>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p>
    <w:tbl>
      <w:tblPr>
        <w:tblW w:w="13025" w:type="dxa"/>
        <w:jc w:val="left"/>
        <w:tblInd w:w="0" w:type="dxa"/>
        <w:tblLayout w:type="fixed"/>
        <w:tblCellMar>
          <w:top w:w="0" w:type="dxa"/>
          <w:left w:w="0" w:type="dxa"/>
          <w:bottom w:w="0" w:type="dxa"/>
          <w:right w:w="0" w:type="dxa"/>
        </w:tblCellMar>
      </w:tblPr>
      <w:tblGrid>
        <w:gridCol w:w="1081"/>
        <w:gridCol w:w="346"/>
        <w:gridCol w:w="215"/>
        <w:gridCol w:w="761"/>
        <w:gridCol w:w="346"/>
        <w:gridCol w:w="212"/>
        <w:gridCol w:w="749"/>
        <w:gridCol w:w="346"/>
        <w:gridCol w:w="212"/>
        <w:gridCol w:w="749"/>
        <w:gridCol w:w="346"/>
        <w:gridCol w:w="262"/>
        <w:gridCol w:w="729"/>
        <w:gridCol w:w="346"/>
        <w:gridCol w:w="212"/>
        <w:gridCol w:w="749"/>
        <w:gridCol w:w="346"/>
        <w:gridCol w:w="212"/>
        <w:gridCol w:w="749"/>
        <w:gridCol w:w="346"/>
        <w:gridCol w:w="196"/>
        <w:gridCol w:w="826"/>
        <w:gridCol w:w="346"/>
        <w:gridCol w:w="210"/>
        <w:gridCol w:w="691"/>
        <w:gridCol w:w="346"/>
        <w:gridCol w:w="1096"/>
      </w:tblGrid>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center"/>
              <w:rPr/>
            </w:pPr>
            <w:r>
              <w:rPr/>
              <w:t>​</w:t>
            </w:r>
          </w:p>
        </w:tc>
        <w:tc>
          <w:tcPr>
            <w:tcW w:w="7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8" w:type="dxa"/>
            <w:gridSpan w:val="5"/>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 xml:space="preserve">Initial Cost to Company </w:t>
            </w:r>
            <w:r>
              <w:rPr>
                <w:rFonts w:ascii="Times New Roman;Times;serif" w:hAnsi="Times New Roman;Times;serif"/>
                <w:b/>
                <w:sz w:val="11"/>
              </w:rPr>
              <w:t>(b)</w:t>
            </w:r>
          </w:p>
        </w:tc>
        <w:tc>
          <w:tcPr>
            <w:tcW w:w="346" w:type="dxa"/>
            <w:tcBorders/>
            <w:vAlign w:val="center"/>
          </w:tcPr>
          <w:p>
            <w:pPr>
              <w:pStyle w:val="TableContents"/>
              <w:bidi w:val="0"/>
              <w:spacing w:before="0" w:after="1"/>
              <w:ind w:left="0" w:right="0" w:hanging="0"/>
              <w:jc w:val="center"/>
              <w:rPr/>
            </w:pPr>
            <w:r>
              <w:rPr/>
              <w:t>​</w:t>
            </w:r>
          </w:p>
        </w:tc>
        <w:tc>
          <w:tcPr>
            <w:tcW w:w="262" w:type="dxa"/>
            <w:tcBorders/>
            <w:vAlign w:val="center"/>
          </w:tcPr>
          <w:p>
            <w:pPr>
              <w:pStyle w:val="TableContents"/>
              <w:bidi w:val="0"/>
              <w:spacing w:before="0" w:after="1"/>
              <w:ind w:left="0" w:right="0" w:hanging="0"/>
              <w:jc w:val="center"/>
              <w:rPr/>
            </w:pPr>
            <w:r>
              <w:rPr/>
              <w:t>​</w:t>
            </w:r>
          </w:p>
        </w:tc>
        <w:tc>
          <w:tcPr>
            <w:tcW w:w="7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63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Gross Amount as of December 31, 2025</w:t>
            </w:r>
          </w:p>
        </w:tc>
        <w:tc>
          <w:tcPr>
            <w:tcW w:w="346" w:type="dxa"/>
            <w:tcBorders/>
            <w:vAlign w:val="center"/>
          </w:tcPr>
          <w:p>
            <w:pPr>
              <w:pStyle w:val="TableContents"/>
              <w:bidi w:val="0"/>
              <w:spacing w:before="0" w:after="1"/>
              <w:ind w:left="0" w:right="0" w:hanging="0"/>
              <w:jc w:val="center"/>
              <w:rPr/>
            </w:pPr>
            <w:r>
              <w:rPr/>
              <w:t>​</w:t>
            </w:r>
          </w:p>
        </w:tc>
        <w:tc>
          <w:tcPr>
            <w:tcW w:w="210"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center"/>
              <w:rPr/>
            </w:pPr>
            <w:r>
              <w:rPr/>
              <w:t>​</w:t>
            </w:r>
          </w:p>
        </w:tc>
        <w:tc>
          <w:tcPr>
            <w:tcW w:w="7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Costs Capitalized </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0"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center"/>
              <w:rPr/>
            </w:pPr>
            <w:r>
              <w:rPr/>
              <w:t>​</w:t>
            </w:r>
          </w:p>
        </w:tc>
        <w:tc>
          <w:tcPr>
            <w:tcW w:w="7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Subsequent to </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 of </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center"/>
              <w:rPr/>
            </w:pPr>
            <w:r>
              <w:rPr/>
              <w:t>​</w:t>
            </w:r>
          </w:p>
        </w:tc>
        <w:tc>
          <w:tcPr>
            <w:tcW w:w="7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Land &amp;</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Buildings &amp;</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Acquisition or</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Land &amp; Land</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Buildings and</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Depreciation and </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Construction or</w:t>
            </w:r>
          </w:p>
        </w:tc>
      </w:tr>
      <w:tr>
        <w:trPr/>
        <w:tc>
          <w:tcPr>
            <w:tcW w:w="1081"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4"/>
              </w:rPr>
              <w:t>Description</w:t>
            </w:r>
            <w:r>
              <w:rPr>
                <w:rFonts w:ascii="Times New Roman;Times;serif" w:hAnsi="Times New Roman;Times;serif"/>
                <w:sz w:val="14"/>
              </w:rPr>
              <w:t xml:space="preserve"> </w:t>
            </w:r>
            <w:r>
              <w:rPr>
                <w:rFonts w:ascii="Times New Roman;Times;serif" w:hAnsi="Times New Roman;Times;serif"/>
                <w:b/>
                <w:sz w:val="11"/>
              </w:rPr>
              <w:t>(a)</w:t>
            </w:r>
          </w:p>
        </w:tc>
        <w:tc>
          <w:tcPr>
            <w:tcW w:w="346" w:type="dxa"/>
            <w:tcBorders/>
            <w:vAlign w:val="center"/>
          </w:tcPr>
          <w:p>
            <w:pPr>
              <w:pStyle w:val="TableContents"/>
              <w:bidi w:val="0"/>
              <w:spacing w:before="0" w:after="1"/>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Encumbrances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Improvements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Improvements</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Construction </w:t>
            </w:r>
            <w:r>
              <w:rPr>
                <w:rFonts w:ascii="Times New Roman;Times;serif" w:hAnsi="Times New Roman;Times;serif"/>
                <w:b/>
                <w:sz w:val="11"/>
              </w:rPr>
              <w:t>(c)</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Improvements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Improvements</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1"/>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Amortization</w:t>
            </w:r>
            <w:r>
              <w:rPr>
                <w:rFonts w:ascii="Times New Roman;Times;serif" w:hAnsi="Times New Roman;Times;serif"/>
                <w:sz w:val="14"/>
              </w:rPr>
              <w:t xml:space="preserve"> </w:t>
            </w:r>
            <w:r>
              <w:rPr>
                <w:rFonts w:ascii="Times New Roman;Times;serif" w:hAnsi="Times New Roman;Times;serif"/>
                <w:b/>
                <w:sz w:val="11"/>
              </w:rPr>
              <w:t>(d)</w:t>
            </w:r>
          </w:p>
        </w:tc>
        <w:tc>
          <w:tcPr>
            <w:tcW w:w="346" w:type="dxa"/>
            <w:tcBorders/>
            <w:vAlign w:val="center"/>
          </w:tcPr>
          <w:p>
            <w:pPr>
              <w:pStyle w:val="TableContents"/>
              <w:bidi w:val="0"/>
              <w:spacing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Acquisition</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WindMark Beach, WaterColor and WaterSound Gatehouse Town centers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12,467</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2,634</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15,165</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13,346</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2001 - 2007, 2016</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Watersound Villas on the Fairway</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1,904</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11,471</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1,904</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13,375</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1,155</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2022-2023</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Self-Storage</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1,003</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6,208</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7,211</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816</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2021</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leasing</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7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5,221</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16,933</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5,499</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17,104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22,603</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7,324</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through 2023</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developments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31,373</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28,229</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59,602</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59,602</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through 2025</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Forestry and other unimproved land</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7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6,552</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1,730</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18,847</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25,399</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27,129</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2,310</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Corporate, mitigation banks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3,129</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5,346</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6,032</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8,825</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through 2025</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396,008</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300,228</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672,706</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198,941</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486,144</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685,731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1,171,875</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167,017</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  ​</w:t>
            </w:r>
          </w:p>
        </w:tc>
      </w:tr>
    </w:tbl>
    <w:tbl>
      <w:tblPr>
        <w:tblW w:w="2417" w:type="dxa"/>
        <w:jc w:val="left"/>
        <w:tblInd w:w="0" w:type="dxa"/>
        <w:tblLayout w:type="fixed"/>
        <w:tblCellMar>
          <w:top w:w="0" w:type="dxa"/>
          <w:left w:w="0" w:type="dxa"/>
          <w:bottom w:w="0" w:type="dxa"/>
          <w:right w:w="0" w:type="dxa"/>
        </w:tblCellMar>
      </w:tblPr>
      <w:tblGrid>
        <w:gridCol w:w="211"/>
        <w:gridCol w:w="2206"/>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2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Excludes unconsolidated JVs.</w:t>
            </w:r>
          </w:p>
        </w:tc>
      </w:tr>
    </w:tbl>
    <w:tbl>
      <w:tblPr>
        <w:tblW w:w="4442" w:type="dxa"/>
        <w:jc w:val="left"/>
        <w:tblInd w:w="0" w:type="dxa"/>
        <w:tblLayout w:type="fixed"/>
        <w:tblCellMar>
          <w:top w:w="0" w:type="dxa"/>
          <w:left w:w="0" w:type="dxa"/>
          <w:bottom w:w="0" w:type="dxa"/>
          <w:right w:w="0" w:type="dxa"/>
        </w:tblCellMar>
      </w:tblPr>
      <w:tblGrid>
        <w:gridCol w:w="316"/>
        <w:gridCol w:w="4126"/>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4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 real estate properties are located in Northwest Florida.</w:t>
            </w:r>
          </w:p>
        </w:tc>
      </w:tr>
    </w:tbl>
    <w:tbl>
      <w:tblPr>
        <w:tblW w:w="5042" w:type="dxa"/>
        <w:jc w:val="left"/>
        <w:tblInd w:w="0" w:type="dxa"/>
        <w:tblLayout w:type="fixed"/>
        <w:tblCellMar>
          <w:top w:w="0" w:type="dxa"/>
          <w:left w:w="0" w:type="dxa"/>
          <w:bottom w:w="0" w:type="dxa"/>
          <w:right w:w="0" w:type="dxa"/>
        </w:tblCellMar>
      </w:tblPr>
      <w:tblGrid>
        <w:gridCol w:w="331"/>
        <w:gridCol w:w="47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w:t>
            </w:r>
          </w:p>
        </w:tc>
        <w:tc>
          <w:tcPr>
            <w:tcW w:w="4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initial costs to the Company to place the assets in service.</w:t>
            </w:r>
          </w:p>
        </w:tc>
      </w:tr>
    </w:tbl>
    <w:tbl>
      <w:tblPr>
        <w:tblW w:w="2807" w:type="dxa"/>
        <w:jc w:val="left"/>
        <w:tblInd w:w="0" w:type="dxa"/>
        <w:tblLayout w:type="fixed"/>
        <w:tblCellMar>
          <w:top w:w="0" w:type="dxa"/>
          <w:left w:w="0" w:type="dxa"/>
          <w:bottom w:w="0" w:type="dxa"/>
          <w:right w:w="0" w:type="dxa"/>
        </w:tblCellMar>
      </w:tblPr>
      <w:tblGrid>
        <w:gridCol w:w="316"/>
        <w:gridCol w:w="2491"/>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w:t>
            </w:r>
          </w:p>
        </w:tc>
        <w:tc>
          <w:tcPr>
            <w:tcW w:w="24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cumulative impairments.</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w:t>
            </w:r>
          </w:p>
        </w:tc>
        <w:tc>
          <w:tcPr>
            <w:tcW w:w="98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Depreciation is computed based on the following estimated useful lives. See Note 2. </w:t>
            </w:r>
            <w:r>
              <w:rPr>
                <w:rFonts w:ascii="Times New Roman;Times;serif" w:hAnsi="Times New Roman;Times;serif"/>
                <w:b w:val="false"/>
                <w:i/>
                <w:sz w:val="16"/>
              </w:rPr>
              <w:t>Significant Accounting Policies</w:t>
            </w:r>
            <w:r>
              <w:rPr>
                <w:caps w:val="false"/>
                <w:smallCaps w:val="false"/>
              </w:rPr>
              <w:t xml:space="preserve"> </w:t>
            </w:r>
            <w:r>
              <w:rPr>
                <w:rFonts w:ascii="Times New Roman;Times;serif" w:hAnsi="Times New Roman;Times;serif"/>
                <w:b w:val="false"/>
                <w:i w:val="false"/>
                <w:caps w:val="false"/>
                <w:smallCaps w:val="false"/>
                <w:sz w:val="16"/>
              </w:rPr>
              <w:t xml:space="preserve">for additional information. </w:t>
            </w:r>
          </w:p>
        </w:tc>
      </w:tr>
    </w:tbl>
    <w:tbl>
      <w:tblPr>
        <w:tblW w:w="2991" w:type="dxa"/>
        <w:jc w:val="left"/>
        <w:tblInd w:w="0" w:type="dxa"/>
        <w:tblLayout w:type="fixed"/>
        <w:tblCellMar>
          <w:top w:w="28" w:type="dxa"/>
          <w:left w:w="28" w:type="dxa"/>
          <w:bottom w:w="28" w:type="dxa"/>
          <w:right w:w="28" w:type="dxa"/>
        </w:tblCellMar>
      </w:tblPr>
      <w:tblGrid>
        <w:gridCol w:w="124"/>
        <w:gridCol w:w="271"/>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w:t>
            </w:r>
          </w:p>
        </w:tc>
        <w:tc>
          <w:tcPr>
            <w:tcW w:w="25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Land improvements 15</w:t>
            </w:r>
            <w:r>
              <w:rPr>
                <w:caps w:val="false"/>
                <w:smallCaps w:val="false"/>
              </w:rPr>
              <w:t xml:space="preserve"> – </w:t>
            </w:r>
            <w:r>
              <w:rPr>
                <w:rFonts w:ascii="Times New Roman;Times;serif" w:hAnsi="Times New Roman;Times;serif"/>
                <w:b w:val="false"/>
                <w:i w:val="false"/>
                <w:caps w:val="false"/>
                <w:smallCaps w:val="false"/>
                <w:sz w:val="16"/>
              </w:rPr>
              <w:t>20 years</w:t>
            </w:r>
          </w:p>
        </w:tc>
      </w:tr>
    </w:tbl>
    <w:tbl>
      <w:tblPr>
        <w:tblW w:w="2301" w:type="dxa"/>
        <w:jc w:val="left"/>
        <w:tblInd w:w="0" w:type="dxa"/>
        <w:tblLayout w:type="fixed"/>
        <w:tblCellMar>
          <w:top w:w="28" w:type="dxa"/>
          <w:left w:w="28" w:type="dxa"/>
          <w:bottom w:w="28" w:type="dxa"/>
          <w:right w:w="28" w:type="dxa"/>
        </w:tblCellMar>
      </w:tblPr>
      <w:tblGrid>
        <w:gridCol w:w="124"/>
        <w:gridCol w:w="316"/>
        <w:gridCol w:w="18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(ii)</w:t>
            </w:r>
          </w:p>
        </w:tc>
        <w:tc>
          <w:tcPr>
            <w:tcW w:w="18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Buildings 20</w:t>
            </w:r>
            <w:r>
              <w:rPr>
                <w:caps w:val="false"/>
                <w:smallCaps w:val="false"/>
              </w:rPr>
              <w:t xml:space="preserve"> – </w:t>
            </w:r>
            <w:r>
              <w:rPr>
                <w:rFonts w:ascii="Times New Roman;Times;serif" w:hAnsi="Times New Roman;Times;serif"/>
                <w:b w:val="false"/>
                <w:i w:val="false"/>
                <w:caps w:val="false"/>
                <w:smallCaps w:val="false"/>
                <w:sz w:val="16"/>
              </w:rPr>
              <w:t>40 years</w:t>
            </w:r>
          </w:p>
        </w:tc>
      </w:tr>
    </w:tbl>
    <w:tbl>
      <w:tblPr>
        <w:tblW w:w="3231" w:type="dxa"/>
        <w:jc w:val="left"/>
        <w:tblInd w:w="0" w:type="dxa"/>
        <w:tblLayout w:type="fixed"/>
        <w:tblCellMar>
          <w:top w:w="28" w:type="dxa"/>
          <w:left w:w="28" w:type="dxa"/>
          <w:bottom w:w="28" w:type="dxa"/>
          <w:right w:w="28" w:type="dxa"/>
        </w:tblCellMar>
      </w:tblPr>
      <w:tblGrid>
        <w:gridCol w:w="124"/>
        <w:gridCol w:w="361"/>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(iii)</w:t>
            </w:r>
          </w:p>
        </w:tc>
        <w:tc>
          <w:tcPr>
            <w:tcW w:w="27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Building improvements 5</w:t>
            </w:r>
            <w:r>
              <w:rPr>
                <w:caps w:val="false"/>
                <w:smallCaps w:val="false"/>
              </w:rPr>
              <w:t xml:space="preserve"> – </w:t>
            </w:r>
            <w:r>
              <w:rPr>
                <w:rFonts w:ascii="Times New Roman;Times;serif" w:hAnsi="Times New Roman;Times;serif"/>
                <w:b w:val="false"/>
                <w:i w:val="false"/>
                <w:caps w:val="false"/>
                <w:smallCaps w:val="false"/>
                <w:sz w:val="16"/>
              </w:rPr>
              <w:t>25 years</w:t>
            </w:r>
          </w:p>
        </w:tc>
      </w:tr>
    </w:tbl>
    <w:tbl>
      <w:tblPr>
        <w:tblW w:w="7776" w:type="dxa"/>
        <w:jc w:val="left"/>
        <w:tblInd w:w="0" w:type="dxa"/>
        <w:tblLayout w:type="fixed"/>
        <w:tblCellMar>
          <w:top w:w="28" w:type="dxa"/>
          <w:left w:w="28" w:type="dxa"/>
          <w:bottom w:w="28" w:type="dxa"/>
          <w:right w:w="28" w:type="dxa"/>
        </w:tblCellMar>
      </w:tblPr>
      <w:tblGrid>
        <w:gridCol w:w="124"/>
        <w:gridCol w:w="361"/>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(iv)</w:t>
            </w:r>
          </w:p>
        </w:tc>
        <w:tc>
          <w:tcPr>
            <w:tcW w:w="72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Leasehold improvements 2</w:t>
            </w:r>
            <w:r>
              <w:rPr>
                <w:caps w:val="false"/>
                <w:smallCaps w:val="false"/>
              </w:rPr>
              <w:t xml:space="preserve"> – </w:t>
            </w:r>
            <w:r>
              <w:rPr>
                <w:rFonts w:ascii="Times New Roman;Times;serif" w:hAnsi="Times New Roman;Times;serif"/>
                <w:b w:val="false"/>
                <w:i w:val="false"/>
                <w:caps w:val="false"/>
                <w:smallCaps w:val="false"/>
                <w:sz w:val="16"/>
              </w:rPr>
              <w:t>25 years</w:t>
            </w:r>
            <w:r>
              <w:rPr>
                <w:caps w:val="false"/>
                <w:smallCaps w:val="false"/>
              </w:rPr>
              <w:t xml:space="preserve"> </w:t>
            </w:r>
            <w:r>
              <w:rPr>
                <w:rFonts w:ascii="Times New Roman;Times;serif" w:hAnsi="Times New Roman;Times;serif"/>
                <w:b w:val="false"/>
                <w:i w:val="false"/>
                <w:caps w:val="false"/>
                <w:smallCaps w:val="false"/>
                <w:sz w:val="16"/>
              </w:rPr>
              <w:t>(shorter of the minimum lease term or the estimated useful life)</w:t>
            </w:r>
          </w:p>
        </w:tc>
      </w:tr>
    </w:tbl>
    <w:tbl>
      <w:tblPr>
        <w:tblW w:w="7007" w:type="dxa"/>
        <w:jc w:val="left"/>
        <w:tblInd w:w="0" w:type="dxa"/>
        <w:tblLayout w:type="fixed"/>
        <w:tblCellMar>
          <w:top w:w="0" w:type="dxa"/>
          <w:left w:w="0" w:type="dxa"/>
          <w:bottom w:w="0" w:type="dxa"/>
          <w:right w:w="0" w:type="dxa"/>
        </w:tblCellMar>
      </w:tblPr>
      <w:tblGrid>
        <w:gridCol w:w="316"/>
        <w:gridCol w:w="6691"/>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w:t>
            </w:r>
          </w:p>
        </w:tc>
        <w:tc>
          <w:tcPr>
            <w:tcW w:w="66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Property is related to a consolidated JV. See Note 4. </w:t>
            </w:r>
            <w:r>
              <w:rPr>
                <w:rFonts w:ascii="Times New Roman;Times;serif" w:hAnsi="Times New Roman;Times;serif"/>
                <w:b w:val="false"/>
                <w:i/>
                <w:sz w:val="16"/>
              </w:rPr>
              <w:t>Joint Ventures</w:t>
            </w:r>
            <w:r>
              <w:rPr>
                <w:caps w:val="false"/>
                <w:smallCaps w:val="false"/>
              </w:rPr>
              <w:t xml:space="preserve"> </w:t>
            </w:r>
            <w:r>
              <w:rPr>
                <w:rFonts w:ascii="Times New Roman;Times;serif" w:hAnsi="Times New Roman;Times;serif"/>
                <w:b w:val="false"/>
                <w:i w:val="false"/>
                <w:caps w:val="false"/>
                <w:smallCaps w:val="false"/>
                <w:sz w:val="16"/>
              </w:rPr>
              <w:t>for additional information.</w:t>
            </w:r>
          </w:p>
        </w:tc>
      </w:tr>
    </w:tbl>
    <w:tbl>
      <w:tblPr>
        <w:tblW w:w="3062" w:type="dxa"/>
        <w:jc w:val="left"/>
        <w:tblInd w:w="0" w:type="dxa"/>
        <w:tblLayout w:type="fixed"/>
        <w:tblCellMar>
          <w:top w:w="0" w:type="dxa"/>
          <w:left w:w="0" w:type="dxa"/>
          <w:bottom w:w="0" w:type="dxa"/>
          <w:right w:w="0" w:type="dxa"/>
        </w:tblCellMar>
      </w:tblPr>
      <w:tblGrid>
        <w:gridCol w:w="301"/>
        <w:gridCol w:w="2761"/>
      </w:tblGrid>
      <w:tr>
        <w:trPr/>
        <w:tc>
          <w:tcPr>
            <w:tcW w:w="3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w:t>
            </w:r>
          </w:p>
        </w:tc>
        <w:tc>
          <w:tcPr>
            <w:tcW w:w="2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Properties are located on leased land. </w:t>
            </w:r>
          </w:p>
        </w:tc>
      </w:tr>
    </w:tbl>
    <w:p>
      <w:pPr>
        <w:pStyle w:val="TextBody"/>
        <w:bidi w:val="0"/>
        <w:spacing w:before="0" w:after="60"/>
        <w:ind w:left="0" w:right="0" w:hanging="0"/>
        <w:jc w:val="left"/>
        <w:rPr>
          <w:rFonts w:ascii="Times New Roman;Times;serif" w:hAnsi="Times New Roman;Times;serif"/>
          <w:b/>
          <w:sz w:val="18"/>
        </w:rPr>
      </w:pPr>
      <w:r>
        <w:rPr>
          <w:rFonts w:ascii="Times New Roman;Times;serif" w:hAnsi="Times New Roman;Times;serif"/>
          <w:b/>
          <w:sz w:val="18"/>
        </w:rPr>
        <w:t>Notes:</w:t>
      </w:r>
    </w:p>
    <w:tbl>
      <w:tblPr>
        <w:tblW w:w="9632" w:type="dxa"/>
        <w:jc w:val="left"/>
        <w:tblInd w:w="0" w:type="dxa"/>
        <w:tblLayout w:type="fixed"/>
        <w:tblCellMar>
          <w:top w:w="0" w:type="dxa"/>
          <w:left w:w="0" w:type="dxa"/>
          <w:bottom w:w="0" w:type="dxa"/>
          <w:right w:w="0" w:type="dxa"/>
        </w:tblCellMar>
      </w:tblPr>
      <w:tblGrid>
        <w:gridCol w:w="361"/>
        <w:gridCol w:w="9271"/>
      </w:tblGrid>
      <w:tr>
        <w:trPr/>
        <w:tc>
          <w:tcPr>
            <w:tcW w:w="36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92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aggregate cost of real estate owned as of December 31, 2025 for federal income tax purposes is approximately $940.5</w:t>
            </w:r>
            <w:r>
              <w:rPr>
                <w:caps w:val="false"/>
                <w:smallCaps w:val="false"/>
              </w:rPr>
              <w:t xml:space="preserve"> </w:t>
            </w:r>
            <w:r>
              <w:rPr>
                <w:rFonts w:ascii="Times New Roman;Times;serif" w:hAnsi="Times New Roman;Times;serif"/>
                <w:b w:val="false"/>
                <w:i w:val="false"/>
                <w:caps w:val="false"/>
                <w:smallCaps w:val="false"/>
                <w:sz w:val="16"/>
              </w:rPr>
              <w:t>million.</w:t>
            </w:r>
          </w:p>
        </w:tc>
      </w:tr>
    </w:tbl>
    <w:tbl>
      <w:tblPr>
        <w:tblW w:w="4697" w:type="dxa"/>
        <w:jc w:val="left"/>
        <w:tblInd w:w="0" w:type="dxa"/>
        <w:tblLayout w:type="fixed"/>
        <w:tblCellMar>
          <w:top w:w="0" w:type="dxa"/>
          <w:left w:w="0" w:type="dxa"/>
          <w:bottom w:w="0" w:type="dxa"/>
          <w:right w:w="0" w:type="dxa"/>
        </w:tblCellMar>
      </w:tblPr>
      <w:tblGrid>
        <w:gridCol w:w="346"/>
        <w:gridCol w:w="4351"/>
      </w:tblGrid>
      <w:tr>
        <w:trPr/>
        <w:tc>
          <w:tcPr>
            <w:tcW w:w="34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w:t>
            </w:r>
          </w:p>
        </w:tc>
        <w:tc>
          <w:tcPr>
            <w:tcW w:w="4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Reconciliation of real estate owned (in thousands of dollars):</w:t>
            </w:r>
          </w:p>
        </w:tc>
      </w:tr>
    </w:tbl>
    <w:p>
      <w:pPr>
        <w:pStyle w:val="TextBody"/>
        <w:bidi w:val="0"/>
        <w:spacing w:before="0" w:after="0"/>
        <w:ind w:left="360" w:right="0" w:hanging="0"/>
        <w:jc w:val="left"/>
        <w:rPr/>
      </w:pPr>
      <w:r>
        <w:rPr/>
        <w:t>​</w:t>
      </w:r>
    </w:p>
    <w:tbl>
      <w:tblPr>
        <w:tblW w:w="7102" w:type="dxa"/>
        <w:jc w:val="left"/>
        <w:tblInd w:w="0" w:type="dxa"/>
        <w:tblLayout w:type="fixed"/>
        <w:tblCellMar>
          <w:top w:w="0" w:type="dxa"/>
          <w:left w:w="0" w:type="dxa"/>
          <w:bottom w:w="0" w:type="dxa"/>
          <w:right w:w="0" w:type="dxa"/>
        </w:tblCellMar>
      </w:tblPr>
      <w:tblGrid>
        <w:gridCol w:w="2371"/>
        <w:gridCol w:w="346"/>
        <w:gridCol w:w="233"/>
        <w:gridCol w:w="983"/>
        <w:gridCol w:w="346"/>
        <w:gridCol w:w="233"/>
        <w:gridCol w:w="983"/>
        <w:gridCol w:w="346"/>
        <w:gridCol w:w="219"/>
        <w:gridCol w:w="1042"/>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1505585" cy="175260"/>
                      <wp:effectExtent l="0" t="0" r="0" b="0"/>
                      <wp:wrapNone/>
                      <wp:docPr id="755" name="Frame754"/>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219710" cy="175260"/>
                      <wp:effectExtent l="0" t="0" r="0" b="0"/>
                      <wp:wrapNone/>
                      <wp:docPr id="756" name="Frame7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147955" cy="175260"/>
                      <wp:effectExtent l="0" t="0" r="0" b="0"/>
                      <wp:wrapNone/>
                      <wp:docPr id="757" name="Frame75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624205" cy="175260"/>
                      <wp:effectExtent l="0" t="0" r="0" b="0"/>
                      <wp:wrapNone/>
                      <wp:docPr id="758" name="Frame757"/>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219710" cy="175260"/>
                      <wp:effectExtent l="0" t="0" r="0" b="0"/>
                      <wp:wrapNone/>
                      <wp:docPr id="759" name="Frame7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147955" cy="175260"/>
                      <wp:effectExtent l="0" t="0" r="0" b="0"/>
                      <wp:wrapNone/>
                      <wp:docPr id="760" name="Frame75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624205" cy="175260"/>
                      <wp:effectExtent l="0" t="0" r="0" b="0"/>
                      <wp:wrapNone/>
                      <wp:docPr id="761" name="Frame760"/>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219710" cy="175260"/>
                      <wp:effectExtent l="0" t="0" r="0" b="0"/>
                      <wp:wrapNone/>
                      <wp:docPr id="762" name="Frame7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139065" cy="175260"/>
                      <wp:effectExtent l="0" t="0" r="0" b="0"/>
                      <wp:wrapNone/>
                      <wp:docPr id="763" name="Frame76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661670" cy="175260"/>
                      <wp:effectExtent l="0" t="0" r="0" b="0"/>
                      <wp:wrapNone/>
                      <wp:docPr id="764" name="Frame763"/>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2025</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2024</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2023</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beginning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1,182,716</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1,137,092</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1,092,229</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Amounts capitalized</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96,103</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118,762</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165,474</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Cost of real estate sold</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(102,070)</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(65,151)</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(82,610)</w:t>
            </w:r>
          </w:p>
        </w:tc>
      </w:tr>
      <w:tr>
        <w:trPr/>
        <w:tc>
          <w:tcPr>
            <w:tcW w:w="23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Amounts retired or adjusted </w:t>
            </w:r>
            <w:r>
              <w:rPr>
                <w:rFonts w:ascii="Times New Roman;Times;serif" w:hAnsi="Times New Roman;Times;serif"/>
                <w:sz w:val="12"/>
              </w:rPr>
              <w:t>(a)</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(4,874)</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(7,987)</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(38,001)</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the end of the year</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1,171,875</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1,182,716</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4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1,137,092</w:t>
            </w:r>
          </w:p>
        </w:tc>
      </w:tr>
    </w:tbl>
    <w:tbl>
      <w:tblPr>
        <w:tblW w:w="5477" w:type="dxa"/>
        <w:jc w:val="left"/>
        <w:tblInd w:w="0" w:type="dxa"/>
        <w:tblLayout w:type="fixed"/>
        <w:tblCellMar>
          <w:top w:w="0" w:type="dxa"/>
          <w:left w:w="0" w:type="dxa"/>
          <w:bottom w:w="0" w:type="dxa"/>
          <w:right w:w="0" w:type="dxa"/>
        </w:tblCellMar>
      </w:tblPr>
      <w:tblGrid>
        <w:gridCol w:w="316"/>
        <w:gridCol w:w="5161"/>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5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transfers of operating property to property and equipment, net.</w:t>
            </w:r>
          </w:p>
        </w:tc>
      </w:tr>
    </w:tbl>
    <w:p>
      <w:pPr>
        <w:pStyle w:val="TextBody"/>
        <w:bidi w:val="0"/>
        <w:spacing w:before="0" w:after="240"/>
        <w:ind w:left="0" w:right="0" w:hanging="0"/>
        <w:jc w:val="left"/>
        <w:rPr/>
      </w:pPr>
      <w:r>
        <w:rPr/>
        <w:t>​</w:t>
      </w:r>
    </w:p>
    <w:tbl>
      <w:tblPr>
        <w:tblW w:w="5282" w:type="dxa"/>
        <w:jc w:val="left"/>
        <w:tblInd w:w="0" w:type="dxa"/>
        <w:tblLayout w:type="fixed"/>
        <w:tblCellMar>
          <w:top w:w="0" w:type="dxa"/>
          <w:left w:w="0" w:type="dxa"/>
          <w:bottom w:w="0" w:type="dxa"/>
          <w:right w:w="0" w:type="dxa"/>
        </w:tblCellMar>
      </w:tblPr>
      <w:tblGrid>
        <w:gridCol w:w="346"/>
        <w:gridCol w:w="4936"/>
      </w:tblGrid>
      <w:tr>
        <w:trPr/>
        <w:tc>
          <w:tcPr>
            <w:tcW w:w="34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w:t>
            </w:r>
          </w:p>
        </w:tc>
        <w:tc>
          <w:tcPr>
            <w:tcW w:w="4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Reconciliation of accumulated depreciation (in thousands of dollars):</w:t>
            </w:r>
          </w:p>
        </w:tc>
      </w:tr>
    </w:tbl>
    <w:p>
      <w:pPr>
        <w:pStyle w:val="TextBody"/>
        <w:bidi w:val="0"/>
        <w:spacing w:before="0" w:after="0"/>
        <w:ind w:left="0" w:right="0" w:hanging="0"/>
        <w:jc w:val="left"/>
        <w:rPr/>
      </w:pPr>
      <w:r>
        <w:rPr/>
        <w:t>​</w:t>
      </w:r>
    </w:p>
    <w:tbl>
      <w:tblPr>
        <w:tblW w:w="7082" w:type="dxa"/>
        <w:jc w:val="left"/>
        <w:tblInd w:w="0" w:type="dxa"/>
        <w:tblLayout w:type="fixed"/>
        <w:tblCellMar>
          <w:top w:w="0" w:type="dxa"/>
          <w:left w:w="0" w:type="dxa"/>
          <w:bottom w:w="0" w:type="dxa"/>
          <w:right w:w="0" w:type="dxa"/>
        </w:tblCellMar>
      </w:tblPr>
      <w:tblGrid>
        <w:gridCol w:w="2371"/>
        <w:gridCol w:w="346"/>
        <w:gridCol w:w="268"/>
        <w:gridCol w:w="948"/>
        <w:gridCol w:w="326"/>
        <w:gridCol w:w="268"/>
        <w:gridCol w:w="948"/>
        <w:gridCol w:w="346"/>
        <w:gridCol w:w="249"/>
        <w:gridCol w:w="1012"/>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1505585" cy="175260"/>
                      <wp:effectExtent l="0" t="0" r="0" b="0"/>
                      <wp:wrapNone/>
                      <wp:docPr id="765" name="Frame764"/>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19710" cy="175260"/>
                      <wp:effectExtent l="0" t="0" r="0" b="0"/>
                      <wp:wrapNone/>
                      <wp:docPr id="766" name="Frame7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70180" cy="175260"/>
                      <wp:effectExtent l="0" t="0" r="0" b="0"/>
                      <wp:wrapNone/>
                      <wp:docPr id="767" name="Frame76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601980" cy="175260"/>
                      <wp:effectExtent l="0" t="0" r="0" b="0"/>
                      <wp:wrapNone/>
                      <wp:docPr id="768" name="Frame767"/>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07010" cy="175260"/>
                      <wp:effectExtent l="0" t="0" r="0" b="0"/>
                      <wp:wrapNone/>
                      <wp:docPr id="769" name="Frame7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170180" cy="175260"/>
                      <wp:effectExtent l="0" t="0" r="0" b="0"/>
                      <wp:wrapNone/>
                      <wp:docPr id="770" name="Frame76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601980" cy="175260"/>
                      <wp:effectExtent l="0" t="0" r="0" b="0"/>
                      <wp:wrapNone/>
                      <wp:docPr id="771" name="Frame770"/>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19710" cy="175260"/>
                      <wp:effectExtent l="0" t="0" r="0" b="0"/>
                      <wp:wrapNone/>
                      <wp:docPr id="772" name="Frame7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158115" cy="175260"/>
                      <wp:effectExtent l="0" t="0" r="0" b="0"/>
                      <wp:wrapNone/>
                      <wp:docPr id="773" name="Frame77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642620" cy="175260"/>
                      <wp:effectExtent l="0" t="0" r="0" b="0"/>
                      <wp:wrapNone/>
                      <wp:docPr id="774" name="Frame773"/>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2025</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2024</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2023</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beginning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142,288</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118,474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95,968</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expense</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28,539</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27,092</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22,734</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retired or adjusted</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(3,810)</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the end of the year</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167,017</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142,288</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118,474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57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31" w:name="Tc_w3vmD1DYNkCipapq0rZ-Mw_9_9"/>
      <w:bookmarkStart w:id="2932" w:name="Tc_P2jBvjmSQEav5_oPhUjnzA_9_8"/>
      <w:bookmarkStart w:id="2933" w:name="Tc_48HeuTf7M0uw_KaMzR5n8Q_9_6"/>
      <w:bookmarkStart w:id="2934" w:name="Tc_nCXzRkdmAkKxmLIVH8gIvw_9_5"/>
      <w:bookmarkStart w:id="2935" w:name="Tc_141-Uh5vtECqFVmYq_b27w_9_3"/>
      <w:bookmarkStart w:id="2936" w:name="Tc_9iogPp5SCEGm3FVDiIlObQ_9_2"/>
      <w:bookmarkStart w:id="2937" w:name="Tc_rlrs6muyG0yyqLkW5maNRg_9_0"/>
      <w:bookmarkStart w:id="2938" w:name="Tc_8O1VlgjoVk-cM1cI4vABXA_8_9"/>
      <w:bookmarkStart w:id="2939" w:name="Tc_mqrbmhxcTUaEpVNBYnrPeA_8_6"/>
      <w:bookmarkStart w:id="2940" w:name="Tc_0MQYH_P0xEyA2ycp0m2_AA_8_3"/>
      <w:bookmarkStart w:id="2941" w:name="Tc_9ygfgUqOrEmceZ6ObrOhvg_8_0"/>
      <w:bookmarkStart w:id="2942" w:name="Tc_ltMY74hYlUmQ2FJ-K1gYyw_7_0"/>
      <w:bookmarkStart w:id="2943" w:name="Tc_j5gwD2z1Lk-wMNwSs6iobA_6_6"/>
      <w:bookmarkStart w:id="2944" w:name="Tc_pUZVX8OZgUGdQr_rYPgHeA_6_3"/>
      <w:bookmarkStart w:id="2945" w:name="Tc_iRRQUIn5KUuaT2amiX920g_6_0"/>
      <w:bookmarkStart w:id="2946" w:name="Tc_9p2Rq1oanUi-tfv0U9VGaA_5_0"/>
      <w:bookmarkStart w:id="2947" w:name="Tc_qoksjPJ7zEOAed1EgpNyOg_4_0"/>
      <w:bookmarkStart w:id="2948" w:name="Tc_bA8RDzrEb0yz9RtauwR1jw_3_8"/>
      <w:bookmarkStart w:id="2949" w:name="Tc_4OkwutkkaUGIIOMMY81gHQ_3_6"/>
      <w:bookmarkStart w:id="2950" w:name="Tc_I9xd6y2SiUSKFRhwfrFPdw_3_5"/>
      <w:bookmarkStart w:id="2951" w:name="Tc_yZ-FLm4COUe6eKm6Uqd4nQ_3_3"/>
      <w:bookmarkStart w:id="2952" w:name="Tc_JHNAIibhMEObjG6tomOJnA_3_2"/>
      <w:bookmarkStart w:id="2953" w:name="Tc_DnoTAfrOIkyxhmRPBTNvOA_3_0"/>
      <w:bookmarkStart w:id="2954" w:name="Tc_mY0eofynG0mfmbIgLxXYmQ_2_8"/>
      <w:bookmarkStart w:id="2955" w:name="Tc_j6FweQXJFE6sJgSrbmKUhg_2_5"/>
      <w:bookmarkStart w:id="2956" w:name="Tc_gRfgVzCqe0arWfKfvPGTZg_2_2"/>
      <w:bookmarkStart w:id="2957" w:name="Tc_u1qpZlP6KE6TCaFEf9JlIg_1_8"/>
      <w:bookmarkStart w:id="2958" w:name="Tc_sbkEuTXcA0SvHxsmAVkhLg_1_5"/>
      <w:bookmarkStart w:id="2959" w:name="Tc_7zKq_moqU0aUU-IMwfHmlw_1_2"/>
      <w:bookmarkStart w:id="2960" w:name="_a93b4ad9_8696_436c_b0ab_34c04ee6035e"/>
      <w:bookmarkStart w:id="2961" w:name="SCHEDULEIVCONSOLIDATEDMORTGAGELOANS_8613"/>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IV (CONSOLIDATED) - MORTGAGE LOANS ON REAL ESTATE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(Dollars in thousands)</w:t>
      </w:r>
    </w:p>
    <w:tbl>
      <w:tblPr>
        <w:tblW w:w="10205" w:type="dxa"/>
        <w:jc w:val="left"/>
        <w:tblInd w:w="0" w:type="dxa"/>
        <w:tblLayout w:type="fixed"/>
        <w:tblCellMar>
          <w:top w:w="0" w:type="dxa"/>
          <w:left w:w="0" w:type="dxa"/>
          <w:bottom w:w="0" w:type="dxa"/>
          <w:right w:w="0" w:type="dxa"/>
        </w:tblCellMar>
      </w:tblPr>
      <w:tblGrid>
        <w:gridCol w:w="1339"/>
        <w:gridCol w:w="346"/>
        <w:gridCol w:w="673"/>
        <w:gridCol w:w="346"/>
        <w:gridCol w:w="1576"/>
        <w:gridCol w:w="346"/>
        <w:gridCol w:w="751"/>
        <w:gridCol w:w="109"/>
        <w:gridCol w:w="109"/>
        <w:gridCol w:w="396"/>
        <w:gridCol w:w="109"/>
        <w:gridCol w:w="225"/>
        <w:gridCol w:w="706"/>
        <w:gridCol w:w="346"/>
        <w:gridCol w:w="256"/>
        <w:gridCol w:w="675"/>
        <w:gridCol w:w="346"/>
        <w:gridCol w:w="385"/>
        <w:gridCol w:w="1011"/>
        <w:gridCol w:w="155"/>
      </w:tblGrid>
      <w:tr>
        <w:trPr/>
        <w:tc>
          <w:tcPr>
            <w:tcW w:w="1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850265" cy="175260"/>
                      <wp:effectExtent l="0" t="0" r="0" b="0"/>
                      <wp:wrapNone/>
                      <wp:docPr id="775" name="Frame774"/>
                      <a:graphic xmlns:a="http://schemas.openxmlformats.org/drawingml/2006/main">
                        <a:graphicData uri="http://schemas.microsoft.com/office/word/2010/wordprocessingShape">
                          <wps:wsp>
                            <wps:cNvSpPr txBox="1"/>
                            <wps:spPr>
                              <a:xfrm>
                                <a:off x="0" y="0"/>
                                <a:ext cx="850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219710" cy="175260"/>
                      <wp:effectExtent l="0" t="0" r="0" b="0"/>
                      <wp:wrapNone/>
                      <wp:docPr id="776" name="Frame7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427355" cy="175260"/>
                      <wp:effectExtent l="0" t="0" r="0" b="0"/>
                      <wp:wrapNone/>
                      <wp:docPr id="777" name="Frame776"/>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219710" cy="175260"/>
                      <wp:effectExtent l="0" t="0" r="0" b="0"/>
                      <wp:wrapNone/>
                      <wp:docPr id="778" name="Frame7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1000760" cy="175260"/>
                      <wp:effectExtent l="0" t="0" r="0" b="0"/>
                      <wp:wrapNone/>
                      <wp:docPr id="779" name="Frame778"/>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219710" cy="175260"/>
                      <wp:effectExtent l="0" t="0" r="0" b="0"/>
                      <wp:wrapNone/>
                      <wp:docPr id="780" name="Frame7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476885" cy="175260"/>
                      <wp:effectExtent l="0" t="0" r="0" b="0"/>
                      <wp:wrapNone/>
                      <wp:docPr id="781" name="Frame78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69215" cy="175260"/>
                      <wp:effectExtent l="0" t="0" r="0" b="0"/>
                      <wp:wrapNone/>
                      <wp:docPr id="782" name="Frame7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69215" cy="175260"/>
                      <wp:effectExtent l="0" t="0" r="0" b="0"/>
                      <wp:wrapNone/>
                      <wp:docPr id="783" name="Frame7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251460" cy="175260"/>
                      <wp:effectExtent l="0" t="0" r="0" b="0"/>
                      <wp:wrapNone/>
                      <wp:docPr id="784" name="Frame783"/>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69215" cy="175260"/>
                      <wp:effectExtent l="0" t="0" r="0" b="0"/>
                      <wp:wrapNone/>
                      <wp:docPr id="785" name="Frame7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142875" cy="175260"/>
                      <wp:effectExtent l="0" t="0" r="0" b="0"/>
                      <wp:wrapNone/>
                      <wp:docPr id="786" name="Frame78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448310" cy="175260"/>
                      <wp:effectExtent l="0" t="0" r="0" b="0"/>
                      <wp:wrapNone/>
                      <wp:docPr id="787" name="Frame78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219710" cy="175260"/>
                      <wp:effectExtent l="0" t="0" r="0" b="0"/>
                      <wp:wrapNone/>
                      <wp:docPr id="788" name="Frame7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162560" cy="175260"/>
                      <wp:effectExtent l="0" t="0" r="0" b="0"/>
                      <wp:wrapNone/>
                      <wp:docPr id="789" name="Frame78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428625" cy="175260"/>
                      <wp:effectExtent l="0" t="0" r="0" b="0"/>
                      <wp:wrapNone/>
                      <wp:docPr id="790" name="Frame789"/>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641985" cy="175260"/>
                      <wp:effectExtent l="0" t="0" r="0" b="0"/>
                      <wp:wrapNone/>
                      <wp:docPr id="791" name="Frame790"/>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1"/>
              <w:ind w:left="0" w:right="0" w:hanging="0"/>
              <w:jc w:val="left"/>
              <w:rPr/>
            </w:pPr>
            <w:r>
              <w:rPr/>
              <w:t>​</w:t>
            </w:r>
          </w:p>
        </w:tc>
      </w:tr>
      <w:tr>
        <w:trPr/>
        <w:tc>
          <w:tcPr>
            <w:tcW w:w="13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7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6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Amount</w:t>
            </w:r>
          </w:p>
        </w:tc>
        <w:tc>
          <w:tcPr>
            <w:tcW w:w="155" w:type="dxa"/>
            <w:tcBorders/>
            <w:vAlign w:val="center"/>
          </w:tcPr>
          <w:p>
            <w:pPr>
              <w:pStyle w:val="TableContents"/>
              <w:bidi w:val="0"/>
              <w:spacing w:before="0" w:after="1"/>
              <w:ind w:left="0" w:right="0" w:hanging="0"/>
              <w:jc w:val="center"/>
              <w:rPr/>
            </w:pPr>
            <w:r>
              <w:rPr/>
              <w:t>​</w:t>
            </w:r>
          </w:p>
        </w:tc>
      </w:tr>
      <w:tr>
        <w:trPr/>
        <w:tc>
          <w:tcPr>
            <w:tcW w:w="13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7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6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Loans Subject</w:t>
            </w:r>
          </w:p>
        </w:tc>
        <w:tc>
          <w:tcPr>
            <w:tcW w:w="155" w:type="dxa"/>
            <w:tcBorders/>
            <w:vAlign w:val="center"/>
          </w:tcPr>
          <w:p>
            <w:pPr>
              <w:pStyle w:val="TableContents"/>
              <w:bidi w:val="0"/>
              <w:spacing w:before="0" w:after="1"/>
              <w:ind w:left="0" w:right="0" w:hanging="0"/>
              <w:jc w:val="center"/>
              <w:rPr/>
            </w:pPr>
            <w:r>
              <w:rPr/>
              <w:t>​</w:t>
            </w:r>
          </w:p>
        </w:tc>
      </w:tr>
      <w:tr>
        <w:trPr/>
        <w:tc>
          <w:tcPr>
            <w:tcW w:w="13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7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Periodic</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Face</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center"/>
              <w:rPr/>
            </w:pPr>
            <w:r>
              <w:rPr/>
              <w:t>​</w:t>
            </w:r>
          </w:p>
        </w:tc>
        <w:tc>
          <w:tcPr>
            <w:tcW w:w="139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to Delinquent</w:t>
            </w:r>
          </w:p>
        </w:tc>
        <w:tc>
          <w:tcPr>
            <w:tcW w:w="155" w:type="dxa"/>
            <w:tcBorders/>
            <w:vAlign w:val="center"/>
          </w:tcPr>
          <w:p>
            <w:pPr>
              <w:pStyle w:val="TableContents"/>
              <w:bidi w:val="0"/>
              <w:spacing w:before="0" w:after="1"/>
              <w:ind w:left="0" w:right="0" w:hanging="0"/>
              <w:jc w:val="center"/>
              <w:rPr/>
            </w:pPr>
            <w:r>
              <w:rPr/>
              <w:t>​</w:t>
            </w:r>
          </w:p>
        </w:tc>
      </w:tr>
      <w:tr>
        <w:trPr/>
        <w:tc>
          <w:tcPr>
            <w:tcW w:w="13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Interest </w:t>
            </w:r>
          </w:p>
        </w:tc>
        <w:tc>
          <w:tcPr>
            <w:tcW w:w="34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w:t>
            </w:r>
          </w:p>
        </w:tc>
        <w:tc>
          <w:tcPr>
            <w:tcW w:w="109" w:type="dxa"/>
            <w:tcBorders/>
            <w:vAlign w:val="center"/>
          </w:tcPr>
          <w:p>
            <w:pPr>
              <w:pStyle w:val="TableContents"/>
              <w:bidi w:val="0"/>
              <w:spacing w:before="0" w:after="1"/>
              <w:ind w:left="0" w:right="0" w:hanging="0"/>
              <w:jc w:val="center"/>
              <w:rPr/>
            </w:pPr>
            <w:r>
              <w:rPr/>
              <w:t>​</w:t>
            </w:r>
          </w:p>
        </w:tc>
        <w:tc>
          <w:tcPr>
            <w:tcW w:w="5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w:t>
            </w:r>
          </w:p>
        </w:tc>
        <w:tc>
          <w:tcPr>
            <w:tcW w:w="346" w:type="dxa"/>
            <w:tcBorders/>
            <w:vAlign w:val="center"/>
          </w:tcPr>
          <w:p>
            <w:pPr>
              <w:pStyle w:val="TableContents"/>
              <w:bidi w:val="0"/>
              <w:spacing w:before="0" w:after="1"/>
              <w:ind w:left="0" w:right="0" w:hanging="0"/>
              <w:jc w:val="center"/>
              <w:rPr/>
            </w:pPr>
            <w:r>
              <w:rPr/>
              <w:t>​</w:t>
            </w:r>
          </w:p>
        </w:tc>
        <w:tc>
          <w:tcPr>
            <w:tcW w:w="13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155" w:type="dxa"/>
            <w:tcBorders/>
            <w:vAlign w:val="center"/>
          </w:tcPr>
          <w:p>
            <w:pPr>
              <w:pStyle w:val="TableContents"/>
              <w:bidi w:val="0"/>
              <w:spacing w:before="0" w:after="1"/>
              <w:ind w:left="0" w:right="0" w:hanging="0"/>
              <w:jc w:val="center"/>
              <w:rPr/>
            </w:pPr>
            <w:r>
              <w:rPr/>
              <w:t>​</w:t>
            </w:r>
          </w:p>
        </w:tc>
      </w:tr>
      <w:tr>
        <w:trPr/>
        <w:tc>
          <w:tcPr>
            <w:tcW w:w="1339"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Description of Note Receivable</w:t>
            </w:r>
            <w:r>
              <w:rPr>
                <w:rFonts w:ascii="Times New Roman;Times;serif" w:hAnsi="Times New Roman;Times;serif"/>
                <w:sz w:val="16"/>
              </w:rPr>
              <w:t xml:space="preserve"> </w:t>
            </w:r>
          </w:p>
        </w:tc>
        <w:tc>
          <w:tcPr>
            <w:tcW w:w="346" w:type="dxa"/>
            <w:tcBorders/>
            <w:vAlign w:val="center"/>
          </w:tcPr>
          <w:p>
            <w:pPr>
              <w:pStyle w:val="TableContents"/>
              <w:bidi w:val="0"/>
              <w:spacing w:before="0" w:after="1"/>
              <w:ind w:left="0" w:right="0" w:hanging="0"/>
              <w:jc w:val="center"/>
              <w:rPr/>
            </w:pPr>
            <w:r>
              <w:rPr/>
              <w:t>  ​ ​ ​</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center"/>
              <w:rPr/>
            </w:pPr>
            <w:r>
              <w:rPr/>
              <w:t>  ​ ​ ​</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Final Maturity Date</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Terms</w:t>
            </w:r>
          </w:p>
        </w:tc>
        <w:tc>
          <w:tcPr>
            <w:tcW w:w="109" w:type="dxa"/>
            <w:tcBorders/>
            <w:vAlign w:val="center"/>
          </w:tcPr>
          <w:p>
            <w:pPr>
              <w:pStyle w:val="TableContents"/>
              <w:bidi w:val="0"/>
              <w:spacing w:before="0" w:after="1"/>
              <w:ind w:left="0" w:right="0" w:hanging="0"/>
              <w:jc w:val="center"/>
              <w:rPr/>
            </w:pPr>
            <w:r>
              <w:rPr/>
              <w:t>​</w:t>
            </w:r>
          </w:p>
        </w:tc>
        <w:tc>
          <w:tcPr>
            <w:tcW w:w="5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Liens</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Mortgages</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Mortgages</w:t>
            </w:r>
          </w:p>
        </w:tc>
        <w:tc>
          <w:tcPr>
            <w:tcW w:w="346" w:type="dxa"/>
            <w:tcBorders/>
            <w:vAlign w:val="center"/>
          </w:tcPr>
          <w:p>
            <w:pPr>
              <w:pStyle w:val="TableContents"/>
              <w:bidi w:val="0"/>
              <w:spacing w:before="0" w:after="1"/>
              <w:ind w:left="0" w:right="0" w:hanging="0"/>
              <w:jc w:val="center"/>
              <w:rPr/>
            </w:pPr>
            <w:r>
              <w:rPr/>
              <w:t>  ​ ​ ​</w:t>
            </w:r>
          </w:p>
        </w:tc>
        <w:tc>
          <w:tcPr>
            <w:tcW w:w="13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Interest</w:t>
            </w:r>
          </w:p>
        </w:tc>
        <w:tc>
          <w:tcPr>
            <w:tcW w:w="155" w:type="dxa"/>
            <w:tcBorders/>
            <w:vAlign w:val="center"/>
          </w:tcPr>
          <w:p>
            <w:pPr>
              <w:pStyle w:val="TableContents"/>
              <w:bidi w:val="0"/>
              <w:spacing w:before="0" w:after="1"/>
              <w:ind w:left="0" w:right="0" w:hanging="0"/>
              <w:jc w:val="center"/>
              <w:rPr/>
            </w:pPr>
            <w:r>
              <w:rPr/>
              <w:t>​</w:t>
            </w:r>
          </w:p>
        </w:tc>
      </w:tr>
      <w:tr>
        <w:trPr/>
        <w:tc>
          <w:tcPr>
            <w:tcW w:w="13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None</w:t>
            </w:r>
          </w:p>
        </w:tc>
        <w:tc>
          <w:tcPr>
            <w:tcW w:w="346"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346" w:type="dxa"/>
            <w:tcBorders/>
            <w:shd w:fill="CCEEFF" w:val="clear"/>
            <w:vAlign w:val="center"/>
          </w:tcPr>
          <w:p>
            <w:pPr>
              <w:pStyle w:val="TableContents"/>
              <w:bidi w:val="0"/>
              <w:spacing w:before="0" w:after="1"/>
              <w:ind w:left="0" w:right="0" w:hanging="0"/>
              <w:jc w:val="center"/>
              <w:rPr/>
            </w:pPr>
            <w:r>
              <w:rPr/>
              <w:t>​</w:t>
            </w:r>
          </w:p>
        </w:tc>
        <w:tc>
          <w:tcPr>
            <w:tcW w:w="157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346" w:type="dxa"/>
            <w:tcBorders/>
            <w:shd w:fill="CCEEFF" w:val="clear"/>
            <w:vAlign w:val="center"/>
          </w:tcPr>
          <w:p>
            <w:pPr>
              <w:pStyle w:val="TableContents"/>
              <w:bidi w:val="0"/>
              <w:spacing w:before="0" w:after="1"/>
              <w:ind w:left="0" w:right="0" w:hanging="0"/>
              <w:jc w:val="center"/>
              <w:rPr/>
            </w:pPr>
            <w:r>
              <w:rPr/>
              <w:t>​</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0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09" w:type="dxa"/>
            <w:tcBorders/>
            <w:shd w:fill="CCEEFF" w:val="clear"/>
            <w:vAlign w:val="center"/>
          </w:tcPr>
          <w:p>
            <w:pPr>
              <w:pStyle w:val="TableContents"/>
              <w:bidi w:val="0"/>
              <w:spacing w:before="0" w:after="1"/>
              <w:ind w:left="0" w:right="0" w:hanging="0"/>
              <w:jc w:val="center"/>
              <w:rPr/>
            </w:pPr>
            <w:r>
              <w:rPr/>
              <w:t>​</w:t>
            </w:r>
          </w:p>
        </w:tc>
        <w:tc>
          <w:tcPr>
            <w:tcW w:w="225"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346" w:type="dxa"/>
            <w:tcBorders/>
            <w:shd w:fill="CCEEFF" w:val="clear"/>
            <w:vAlign w:val="center"/>
          </w:tcPr>
          <w:p>
            <w:pPr>
              <w:pStyle w:val="TableContents"/>
              <w:bidi w:val="0"/>
              <w:spacing w:before="0" w:after="1"/>
              <w:ind w:left="0" w:right="0" w:hanging="0"/>
              <w:jc w:val="center"/>
              <w:rPr/>
            </w:pPr>
            <w:r>
              <w:rPr/>
              <w:t>​</w:t>
            </w:r>
          </w:p>
        </w:tc>
        <w:tc>
          <w:tcPr>
            <w:tcW w:w="256" w:type="dxa"/>
            <w:tcBorders/>
            <w:shd w:fill="CCEEFF" w:val="clear"/>
            <w:vAlign w:val="center"/>
          </w:tcPr>
          <w:p>
            <w:pPr>
              <w:pStyle w:val="TableContents"/>
              <w:bidi w:val="0"/>
              <w:spacing w:before="0" w:after="1"/>
              <w:ind w:left="0" w:right="0" w:hanging="0"/>
              <w:jc w:val="center"/>
              <w:rPr/>
            </w:pPr>
            <w:r>
              <w:rPr/>
              <w:t>​</w:t>
            </w:r>
          </w:p>
        </w:tc>
        <w:tc>
          <w:tcPr>
            <w:tcW w:w="675"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346" w:type="dxa"/>
            <w:tcBorders/>
            <w:shd w:fill="CCEEFF" w:val="clear"/>
            <w:vAlign w:val="center"/>
          </w:tcPr>
          <w:p>
            <w:pPr>
              <w:pStyle w:val="TableContents"/>
              <w:bidi w:val="0"/>
              <w:spacing w:before="0" w:after="1"/>
              <w:ind w:left="0" w:right="0" w:hanging="0"/>
              <w:jc w:val="center"/>
              <w:rPr/>
            </w:pPr>
            <w:r>
              <w:rPr/>
              <w:t>​</w:t>
            </w:r>
          </w:p>
        </w:tc>
        <w:tc>
          <w:tcPr>
            <w:tcW w:w="385" w:type="dxa"/>
            <w:tcBorders/>
            <w:shd w:fill="CCEEFF" w:val="clear"/>
            <w:vAlign w:val="center"/>
          </w:tcPr>
          <w:p>
            <w:pPr>
              <w:pStyle w:val="TableContents"/>
              <w:bidi w:val="0"/>
              <w:spacing w:before="0" w:after="1"/>
              <w:ind w:left="0" w:right="0" w:hanging="0"/>
              <w:jc w:val="center"/>
              <w:rPr/>
            </w:pPr>
            <w:r>
              <w:rPr/>
              <w:t>​</w:t>
            </w:r>
          </w:p>
        </w:tc>
        <w:tc>
          <w:tcPr>
            <w:tcW w:w="101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N/A</w:t>
            </w:r>
          </w:p>
        </w:tc>
        <w:tc>
          <w:tcPr>
            <w:tcW w:w="155"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summarized changes in the carrying amount of mortgage loans are as follows:</w:t>
      </w:r>
    </w:p>
    <w:tbl>
      <w:tblPr>
        <w:tblW w:w="8479" w:type="dxa"/>
        <w:jc w:val="left"/>
        <w:tblInd w:w="0" w:type="dxa"/>
        <w:tblLayout w:type="fixed"/>
        <w:tblCellMar>
          <w:top w:w="0" w:type="dxa"/>
          <w:left w:w="0" w:type="dxa"/>
          <w:bottom w:w="0" w:type="dxa"/>
          <w:right w:w="0" w:type="dxa"/>
        </w:tblCellMar>
      </w:tblPr>
      <w:tblGrid>
        <w:gridCol w:w="3976"/>
        <w:gridCol w:w="346"/>
        <w:gridCol w:w="432"/>
        <w:gridCol w:w="708"/>
        <w:gridCol w:w="346"/>
        <w:gridCol w:w="432"/>
        <w:gridCol w:w="708"/>
        <w:gridCol w:w="346"/>
        <w:gridCol w:w="301"/>
        <w:gridCol w:w="88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2524760" cy="175260"/>
                      <wp:effectExtent l="0" t="0" r="0" b="0"/>
                      <wp:wrapNone/>
                      <wp:docPr id="792" name="Frame791"/>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219710" cy="175260"/>
                      <wp:effectExtent l="0" t="0" r="0" b="0"/>
                      <wp:wrapNone/>
                      <wp:docPr id="793" name="Frame7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274320" cy="175260"/>
                      <wp:effectExtent l="0" t="0" r="0" b="0"/>
                      <wp:wrapNone/>
                      <wp:docPr id="794" name="Frame793"/>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449580" cy="175260"/>
                      <wp:effectExtent l="0" t="0" r="0" b="0"/>
                      <wp:wrapNone/>
                      <wp:docPr id="795" name="Frame794"/>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19710" cy="175260"/>
                      <wp:effectExtent l="0" t="0" r="0" b="0"/>
                      <wp:wrapNone/>
                      <wp:docPr id="796" name="Frame7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274320" cy="175260"/>
                      <wp:effectExtent l="0" t="0" r="0" b="0"/>
                      <wp:wrapNone/>
                      <wp:docPr id="797" name="Frame796"/>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449580" cy="175260"/>
                      <wp:effectExtent l="0" t="0" r="0" b="0"/>
                      <wp:wrapNone/>
                      <wp:docPr id="798" name="Frame797"/>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219710" cy="175260"/>
                      <wp:effectExtent l="0" t="0" r="0" b="0"/>
                      <wp:wrapNone/>
                      <wp:docPr id="799" name="Frame7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191135" cy="175260"/>
                      <wp:effectExtent l="0" t="0" r="0" b="0"/>
                      <wp:wrapNone/>
                      <wp:docPr id="800" name="Frame79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561340" cy="175260"/>
                      <wp:effectExtent l="0" t="0" r="0" b="0"/>
                      <wp:wrapNone/>
                      <wp:docPr id="801" name="Frame800"/>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during the year - new mortgage loans</w:t>
            </w:r>
          </w:p>
        </w:tc>
        <w:tc>
          <w:tcPr>
            <w:tcW w:w="346" w:type="dxa"/>
            <w:tcBorders/>
            <w:vAlign w:val="center"/>
          </w:tcPr>
          <w:p>
            <w:pPr>
              <w:pStyle w:val="TableContents"/>
              <w:bidi w:val="0"/>
              <w:spacing w:before="0" w:after="0"/>
              <w:ind w:left="0" w:right="0" w:hanging="0"/>
              <w:jc w:val="left"/>
              <w:rPr/>
            </w:pPr>
            <w:r>
              <w:rPr/>
              <w:t>​</w:t>
            </w:r>
          </w:p>
        </w:tc>
        <w:tc>
          <w:tcPr>
            <w:tcW w:w="432"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432"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Deductions during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 of principal</w:t>
            </w:r>
          </w:p>
        </w:tc>
        <w:tc>
          <w:tcPr>
            <w:tcW w:w="346" w:type="dxa"/>
            <w:tcBorders/>
            <w:vAlign w:val="center"/>
          </w:tcPr>
          <w:p>
            <w:pPr>
              <w:pStyle w:val="TableContents"/>
              <w:bidi w:val="0"/>
              <w:spacing w:before="0" w:after="0"/>
              <w:ind w:left="0" w:right="0" w:hanging="0"/>
              <w:jc w:val="left"/>
              <w:rPr/>
            </w:pPr>
            <w:r>
              <w:rPr/>
              <w:t>​</w:t>
            </w:r>
          </w:p>
        </w:tc>
        <w:tc>
          <w:tcPr>
            <w:tcW w:w="432"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2"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Foreclosures</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the end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 58</w:t>
      </w:r>
    </w:p>
    <w:p>
      <w:pPr>
        <w:pStyle w:val="TextBody"/>
        <w:bidi w:val="0"/>
        <w:spacing w:lineRule="auto" w:line="285" w:before="0" w:after="0"/>
        <w:ind w:left="0" w:right="0" w:hanging="0"/>
        <w:jc w:val="right"/>
        <w:rPr>
          <w:rFonts w:ascii="Times New Roman;Times;serif" w:hAnsi="Times New Roman;Times;serif"/>
          <w:b/>
          <w:sz w:val="20"/>
        </w:rPr>
      </w:pPr>
      <w:bookmarkStart w:id="2962" w:name="joe-20251231xex19d1.htm"/>
      <w:bookmarkStart w:id="2963" w:name="ksjoe20251231xex19d1"/>
      <w:bookmarkEnd w:id="2962"/>
      <w:bookmarkEnd w:id="2963"/>
      <w:r>
        <w:rPr>
          <w:rFonts w:ascii="Times New Roman;Times;serif" w:hAnsi="Times New Roman;Times;serif"/>
          <w:b/>
          <w:sz w:val="20"/>
        </w:rPr>
        <w:t>Exhibit 19.1</w:t>
      </w:r>
      <w:r>
        <w:br w:type="page"/>
      </w:r>
    </w:p>
    <w:p>
      <w:pPr>
        <w:pStyle w:val="TextBody"/>
        <w:bidi w:val="0"/>
        <w:spacing w:lineRule="auto" w:line="285" w:before="0" w:after="840"/>
        <w:ind w:left="0" w:right="0" w:hanging="0"/>
        <w:jc w:val="left"/>
        <w:rPr/>
      </w:pPr>
      <w:r>
        <w:rPr/>
        <w:drawing>
          <wp:inline distT="0" distB="0" distL="0" distR="0">
            <wp:extent cx="2112010" cy="737870"/>
            <wp:effectExtent l="0" t="0" r="0" b="0"/>
            <wp:docPr id="8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Image2" descr=""/>
                    <pic:cNvPicPr>
                      <a:picLocks noChangeAspect="1" noChangeArrowheads="1"/>
                    </pic:cNvPicPr>
                  </pic:nvPicPr>
                  <pic:blipFill>
                    <a:blip r:embed="rId17"/>
                    <a:stretch>
                      <a:fillRect/>
                    </a:stretch>
                  </pic:blipFill>
                  <pic:spPr bwMode="auto">
                    <a:xfrm>
                      <a:off x="0" y="0"/>
                      <a:ext cx="2112010" cy="737870"/>
                    </a:xfrm>
                    <a:prstGeom prst="rect">
                      <a:avLst/>
                    </a:prstGeom>
                  </pic:spPr>
                </pic:pic>
              </a:graphicData>
            </a:graphic>
          </wp:inline>
        </w:drawing>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 xml:space="preserve">THE ST. JOE COMPANY </w:t>
        <w:br/>
        <w:t>INSIDER TRADING POLICY</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Purpose</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Preventing insider trading is necessary to comply with securities laws and to preserve the reputation and integrity of The St. Joe Company and its subsidiaries (collectively, the “</w:t>
      </w:r>
      <w:r>
        <w:rPr>
          <w:rFonts w:ascii="Times New Roman;Times;serif" w:hAnsi="Times New Roman;Times;serif"/>
          <w:sz w:val="24"/>
          <w:u w:val="single"/>
        </w:rPr>
        <w:t>Company</w:t>
      </w:r>
      <w:r>
        <w:rPr>
          <w:rFonts w:ascii="Times New Roman;Times;serif" w:hAnsi="Times New Roman;Times;serif"/>
          <w:sz w:val="24"/>
        </w:rPr>
        <w:t>”) as well as that of all persons affiliated with the Company. “Insider trading” occurs when any person purchases or sells a security while in possession of material inside information relating to the security. The Company’s Board of Directors (the “</w:t>
      </w:r>
      <w:r>
        <w:rPr>
          <w:rFonts w:ascii="Times New Roman;Times;serif" w:hAnsi="Times New Roman;Times;serif"/>
          <w:sz w:val="24"/>
          <w:u w:val="single"/>
        </w:rPr>
        <w:t>Board</w:t>
      </w:r>
      <w:r>
        <w:rPr>
          <w:rFonts w:ascii="Times New Roman;Times;serif" w:hAnsi="Times New Roman;Times;serif"/>
          <w:sz w:val="24"/>
        </w:rPr>
        <w:t>”) has adopted this Insider Trading Policy (this “</w:t>
      </w:r>
      <w:r>
        <w:rPr>
          <w:rFonts w:ascii="Times New Roman;Times;serif" w:hAnsi="Times New Roman;Times;serif"/>
          <w:sz w:val="24"/>
          <w:u w:val="single"/>
        </w:rPr>
        <w:t>Policy</w:t>
      </w:r>
      <w:r>
        <w:rPr>
          <w:rFonts w:ascii="Times New Roman;Times;serif" w:hAnsi="Times New Roman;Times;serif"/>
          <w:sz w:val="24"/>
        </w:rPr>
        <w:t>”)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Insider trading is a crime and the penalties are severe. In addition, persons violating this Policy may be subject to immediate dismissal from the Company.</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This Policy applies to all employees of the Company, including all officers, all members of the Board and any other persons that the Board determines should be subject to this Policy, such as contractors or consultants who have access to material nonpublic information (“</w:t>
      </w:r>
      <w:r>
        <w:rPr>
          <w:rFonts w:ascii="Times New Roman;Times;serif" w:hAnsi="Times New Roman;Times;serif"/>
          <w:sz w:val="24"/>
          <w:u w:val="single"/>
        </w:rPr>
        <w:t>Insider</w:t>
      </w:r>
      <w:r>
        <w:rPr>
          <w:rFonts w:ascii="Times New Roman;Times;serif" w:hAnsi="Times New Roman;Times;serif"/>
          <w:sz w:val="24"/>
        </w:rPr>
        <w:t>”). In addition, this Policy also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 rely principally on you for financial support (collectively referred to as “</w:t>
      </w:r>
      <w:r>
        <w:rPr>
          <w:rFonts w:ascii="Times New Roman;Times;serif" w:hAnsi="Times New Roman;Times;serif"/>
          <w:sz w:val="24"/>
          <w:u w:val="single"/>
        </w:rPr>
        <w:t>Family Members</w:t>
      </w:r>
      <w:r>
        <w:rPr>
          <w:rFonts w:ascii="Times New Roman;Times;serif" w:hAnsi="Times New Roman;Times;serif"/>
          <w:sz w:val="24"/>
        </w:rPr>
        <w:t>”). Finally, this Policy applies to any entities that you influence or control, including any corporations, partnerships or trusts (collectively referred to as “</w:t>
      </w:r>
      <w:r>
        <w:rPr>
          <w:rFonts w:ascii="Times New Roman;Times;serif" w:hAnsi="Times New Roman;Times;serif"/>
          <w:sz w:val="24"/>
          <w:u w:val="single"/>
        </w:rPr>
        <w:t>Controlled Entities</w:t>
      </w:r>
      <w:r>
        <w:rPr>
          <w:rFonts w:ascii="Times New Roman;Times;serif" w:hAnsi="Times New Roman;Times;serif"/>
          <w:sz w:val="24"/>
        </w:rPr>
        <w:t>”), and transactions by these Controlled Entities should be treated for the purposes of this Policy and applicable securities laws as if they were for your own account. Collectively, this Policy refers to Insiders, their respective Family Members and their respective Controlled Entities, as “</w:t>
      </w:r>
      <w:r>
        <w:rPr>
          <w:rFonts w:ascii="Times New Roman;Times;serif" w:hAnsi="Times New Roman;Times;serif"/>
          <w:sz w:val="24"/>
          <w:u w:val="single"/>
        </w:rPr>
        <w:t>Covered Persons</w:t>
      </w:r>
      <w:r>
        <w:rPr>
          <w:rFonts w:ascii="Times New Roman;Times;serif" w:hAnsi="Times New Roman;Times;serif"/>
          <w:sz w:val="24"/>
        </w:rPr>
        <w:t>.”</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This Policy is designed to promote compliance with insider trading laws, rules and regulations, as well as listing standards applicable to the Company. In addition, it is the Company’s policy not to engage in transactions involving the Company’s securities in violation of applicable laws or this Policy.</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Statement of Policies Prohibiting Insider Trading</w:t>
      </w:r>
    </w:p>
    <w:p>
      <w:pPr>
        <w:pStyle w:val="TextBody"/>
        <w:bidi w:val="0"/>
        <w:spacing w:lineRule="auto" w:line="285" w:before="0" w:after="240"/>
        <w:ind w:left="0" w:right="0" w:hanging="0"/>
        <w:jc w:val="both"/>
        <w:rPr>
          <w:rFonts w:ascii="Times New Roman;Times;serif" w:hAnsi="Times New Roman;Times;serif"/>
          <w:b/>
          <w:i/>
          <w:sz w:val="24"/>
        </w:rPr>
      </w:pPr>
      <w:r>
        <w:rPr>
          <w:rFonts w:ascii="Times New Roman;Times;serif" w:hAnsi="Times New Roman;Times;serif"/>
          <w:b/>
          <w:i/>
          <w:sz w:val="24"/>
        </w:rPr>
        <w:t>Prohibited Activities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It is the policy of the Company that no director, officer or other employee of the Company (or any other Covered Person subject to this Policy) who is aware of material nonpublic information relating to the Company may directly or indirectly through family members or other persons or entities:</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Engage in transactions in Company securities, except as otherwise specified in this Policy under the headings “Transactions Under Company Plans,” “Transactions in Mutual Funds” and “Rule 10b5-1 Plans;”</w:t>
            </w:r>
          </w:p>
        </w:tc>
      </w:tr>
    </w:tbl>
    <w:tbl>
      <w:tblPr>
        <w:tblW w:w="7383" w:type="dxa"/>
        <w:jc w:val="left"/>
        <w:tblInd w:w="0" w:type="dxa"/>
        <w:tblLayout w:type="fixed"/>
        <w:tblCellMar>
          <w:top w:w="0" w:type="dxa"/>
          <w:left w:w="0" w:type="dxa"/>
          <w:bottom w:w="0" w:type="dxa"/>
          <w:right w:w="0" w:type="dxa"/>
        </w:tblCellMar>
      </w:tblPr>
      <w:tblGrid>
        <w:gridCol w:w="23"/>
        <w:gridCol w:w="20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Recommend the purchase, sale or bona fide gift of any Company securities;</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10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Disclose material nonpublic information to persons within the Company whose jobs do not require them to have that information, or to persons outside of the Company, including, but not limited to, family, friends, business associates, investors and expert consulting firms, other than with the prior written consent of the Company; or</w:t>
            </w:r>
          </w:p>
        </w:tc>
      </w:tr>
    </w:tbl>
    <w:tbl>
      <w:tblPr>
        <w:tblW w:w="4578" w:type="dxa"/>
        <w:jc w:val="left"/>
        <w:tblInd w:w="0" w:type="dxa"/>
        <w:tblLayout w:type="fixed"/>
        <w:tblCellMar>
          <w:top w:w="0" w:type="dxa"/>
          <w:left w:w="0" w:type="dxa"/>
          <w:bottom w:w="0" w:type="dxa"/>
          <w:right w:w="0" w:type="dxa"/>
        </w:tblCellMar>
      </w:tblPr>
      <w:tblGrid>
        <w:gridCol w:w="23"/>
        <w:gridCol w:w="200"/>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Assist anyone engaged in the above activities.</w:t>
            </w:r>
          </w:p>
        </w:tc>
      </w:tr>
    </w:tbl>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In addition, it is the policy of the Company that no director, officer or other employee of the Company (or any other Covered Person designated as subject to this Policy) who, in the course of working for the Company, learns of material nonpublic information about a company with which the Company does or proposes to do business, including a buyer or seller of property or a venture partner customer or supplier of the Company, or a company with which the Company is involved in a potential transaction or other business relationship, may trade in that company’s securities until the information becomes public or is no longer material.</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Unauthorized Disclosure of Material, Nonpublic Information Prohibited</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No employee, officer or director may disclose material, nonpublic information about the Company or any company with which the Company deals to anyone outside the Company, unless authorized to do so. This prohibition on the unauthorized disclosure of material nonpublic information shall:</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apply to all employees, officers and directors of the Company and its subsidiaries, and also to Family Members;</w:t>
            </w:r>
          </w:p>
        </w:tc>
      </w:tr>
    </w:tbl>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9078" w:type="dxa"/>
        <w:jc w:val="left"/>
        <w:tblInd w:w="0" w:type="dxa"/>
        <w:tblLayout w:type="fixed"/>
        <w:tblCellMar>
          <w:top w:w="0" w:type="dxa"/>
          <w:left w:w="0" w:type="dxa"/>
          <w:bottom w:w="0" w:type="dxa"/>
          <w:right w:w="0" w:type="dxa"/>
        </w:tblCellMar>
      </w:tblPr>
      <w:tblGrid>
        <w:gridCol w:w="23"/>
        <w:gridCol w:w="170"/>
        <w:gridCol w:w="8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apply equally to any statements that are made on the Internet and through social media outlets;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apply to discussions made with other Company employees; therefore, employees should seriously consider the consequences of disclosing nonpublic information to co-workers;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apply to all Company employees, officers or directors authorized to communicate information regarding the Company with securities market professionals, shareholders or members of the media;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apply to all Company employees, officers or directors authorized to disclose material and non-public information with parties outside of the Company.</w:t>
            </w:r>
          </w:p>
        </w:tc>
      </w:tr>
    </w:tbl>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Employees, officers and directors involved in transactions or other negotiations that require disclosure of material, nonpublic information with parties outside the Company should generally have those to whom such information is being disclosed sign a non-disclosure agreement in a form approved by the Compliance Officer. The non-disclosure agreement will require that the recipient of information not disclose the information to others and require the recipient not to trade in Company securities while in possession of such information. You should confer with the Compliance Officer whenever a non-disclosure agreement may be needed.</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Explanation of Insider Trading</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As noted above, “insider trading” refers to the purchase, sale or making of a bona fide gift of a security while in possession of “material” “nonpublic” information relating to the security. “Securities” include not only stocks, bonds, notes and debentures, but also options, warrants and similar instruments. “Purchase” and “sale” are defined broadly under the federal securities law. “Purchase” includes not only the actual purchase of a security, but any contract or instruction to purchase or otherwise acquire a security. “Sale” includes not only the actual sale of a security, but any contract or instruction to sell or otherwise dispose of a security. These definitions extend to a broad range of transactions including conventional cash-for-stock transactions, conversions, a sale of a security upon a cashless exercise of an option and acquisitions and exercises of warrants or puts, calls or other options related to a security. However, there are certain limited exemptions in the securities laws to this broad prohibition, for which Elizabeth J. (“Lisa”) Walters, our Compliance Officer, can provide additional details. It is generally understood that insider trading includes the following:</w:t>
      </w:r>
    </w:p>
    <w:tbl>
      <w:tblPr>
        <w:tblW w:w="7293" w:type="dxa"/>
        <w:jc w:val="left"/>
        <w:tblInd w:w="0" w:type="dxa"/>
        <w:tblLayout w:type="fixed"/>
        <w:tblCellMar>
          <w:top w:w="0" w:type="dxa"/>
          <w:left w:w="0" w:type="dxa"/>
          <w:bottom w:w="0" w:type="dxa"/>
          <w:right w:w="0" w:type="dxa"/>
        </w:tblCellMar>
      </w:tblPr>
      <w:tblGrid>
        <w:gridCol w:w="23"/>
        <w:gridCol w:w="170"/>
        <w:gridCol w:w="71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Trading by insiders while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Trading by persons other than insiders while in possession of material non-public information where the information either was given in breach of an insider’s fiduciary duty to keep it confidential or was misappropriated;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Communicating or tipping material non-public information to others, including recommending the purchase, sale or bona fide gift of a security while in possession of such information.</w:t>
            </w:r>
          </w:p>
        </w:tc>
      </w:tr>
    </w:tbl>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b/>
          <w:i/>
          <w:sz w:val="24"/>
        </w:rPr>
        <w:t>Information</w:t>
      </w:r>
      <w:r>
        <w:rPr>
          <w:rFonts w:ascii="Times New Roman;Times;serif" w:hAnsi="Times New Roman;Times;serif"/>
          <w:sz w:val="24"/>
        </w:rPr>
        <w:t xml:space="preserve">. Information is considered “material” if a reasonable investor would consider that information important in making a decision to buy, hold or sell securities or would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view as significantly altering the total mix of information in the marketplace about the Company.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may, under the particular circumstances, be regarded as material are set forth on Attachment A of this Policy.</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i/>
          <w:sz w:val="24"/>
        </w:rPr>
        <w:t>When Information is Considered Public</w:t>
      </w:r>
      <w:r>
        <w:rPr>
          <w:rFonts w:ascii="Times New Roman;Times;serif" w:hAnsi="Times New Roman;Times;serif"/>
          <w:sz w:val="24"/>
        </w:rPr>
        <w:t>. Information that has not been disclosed to the public is generally considered to be nonpublic information. In order to establish that the information has been disclosed to the public, it may be necessary to demonstrate that the information has been widely disseminated to the public for a sufficient period of time. Information generally would be considered widely disseminated if it has been disclosed by the Company through a press release, through a webcast or telephone conference call that was accessible to the member of the public through the Dow Jones “broad tape,” newswire services,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directors, or if it is only available to a select group of analysts, brokers and institutional investors under a confidentiality agreement.</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Once information is widely disseminated, it is still necessary to afford the investing public sufficient time to absorb the information. As a general rule, information should not be considered fully absorbed by the marketplace until one full business day after the day on which the information is released. If, for example, the Company were to make an announcement before open of the Market on a Monday, you should not trade in Company securities until Tuesday. However, if the Company were to make an announcement after close of the Market on a Monday, you should not trade in Company securities until Wednesday. Depending on the particular circumstances, the Company may determine that a longer or shorter period should apply to the release of specific material nonpublic information.</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Excluded Transactions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Except as specifically noted below under the headings “Transactions Under Company Plans,” and “Transactions in Mutual Funds,” there are no exceptions to this Policy.</w:t>
      </w:r>
    </w:p>
    <w:p>
      <w:pPr>
        <w:pStyle w:val="TextBody"/>
        <w:bidi w:val="0"/>
        <w:spacing w:lineRule="auto" w:line="285" w:before="0" w:after="240"/>
        <w:ind w:left="0" w:right="0" w:hanging="0"/>
        <w:jc w:val="left"/>
        <w:rPr>
          <w:rFonts w:ascii="Times New Roman;Times;serif" w:hAnsi="Times New Roman;Times;serif"/>
          <w:b/>
          <w:i/>
          <w:sz w:val="24"/>
        </w:rPr>
      </w:pPr>
      <w:r>
        <w:rPr>
          <w:rFonts w:ascii="Times New Roman;Times;serif" w:hAnsi="Times New Roman;Times;serif"/>
          <w:b/>
          <w:i/>
          <w:sz w:val="24"/>
        </w:rPr>
        <w:t>Transactions Under Company Plans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i/>
          <w:sz w:val="24"/>
        </w:rPr>
        <w:t xml:space="preserve">Stock Option Exercises. </w:t>
      </w:r>
      <w:r>
        <w:rPr>
          <w:rFonts w:ascii="Times New Roman;Times;serif" w:hAnsi="Times New Roman;Times;serif"/>
          <w:sz w:val="24"/>
        </w:rPr>
        <w:t>This Policy does not apply to the exercise of an employee stock option acquired pursuant to the Company’s plans or to the exercise of a tax withholding right pursuant to which you elect to have the Company withhold shares issuable upon exercise of the option to satisfy tax withholding requirements. This Policy does apply, however, to any sale of stock as part of a broker-assisted cashless exercise of an option, or any other market sale of the stock, including a sale for the purpose of generating the cash needed to pay the exercise price of an option or the tax withholding requirements.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i/>
          <w:sz w:val="24"/>
        </w:rPr>
        <w:t>Restricted Stock Awards</w:t>
      </w:r>
      <w:r>
        <w:rPr>
          <w:rFonts w:ascii="Times New Roman;Times;serif" w:hAnsi="Times New Roman;Times;serif"/>
          <w:sz w:val="24"/>
        </w:rPr>
        <w:t>. This Policy does not apply to the vesting of restricted stock or the exercise of a tax withholding right pursuant to which you elect to have the Company withhold shares of stock to satisfy tax withholding requirements. This Policy does apply, however, to any market sale of restricted stock, including a sale for the purpose of generating the cash needed to pay the exercise price of an option or the tax withholding requirements.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i/>
          <w:sz w:val="24"/>
        </w:rPr>
        <w:t>401(k) Plan</w:t>
      </w:r>
      <w:r>
        <w:rPr>
          <w:rFonts w:ascii="Times New Roman;Times;serif" w:hAnsi="Times New Roman;Times;serif"/>
          <w:sz w:val="24"/>
        </w:rPr>
        <w:t xml:space="preserve">. 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 </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i/>
          <w:sz w:val="24"/>
        </w:rPr>
        <w:t>Other Similar Transactions</w:t>
      </w:r>
      <w:r>
        <w:rPr>
          <w:rFonts w:ascii="Times New Roman;Times;serif" w:hAnsi="Times New Roman;Times;serif"/>
          <w:sz w:val="24"/>
        </w:rPr>
        <w:t>. Any other purchase of Company securities directly from the Company or sales of Company securities directly to the Company are not subject to this Policy.</w:t>
      </w:r>
    </w:p>
    <w:p>
      <w:pPr>
        <w:pStyle w:val="TextBody"/>
        <w:bidi w:val="0"/>
        <w:spacing w:lineRule="auto" w:line="285" w:before="0" w:after="240"/>
        <w:ind w:left="0" w:right="0" w:hanging="0"/>
        <w:jc w:val="both"/>
        <w:rPr>
          <w:rFonts w:ascii="Times New Roman;Times;serif" w:hAnsi="Times New Roman;Times;serif"/>
          <w:b/>
          <w:i/>
          <w:sz w:val="24"/>
        </w:rPr>
      </w:pPr>
      <w:r>
        <w:rPr>
          <w:rFonts w:ascii="Times New Roman;Times;serif" w:hAnsi="Times New Roman;Times;serif"/>
          <w:b/>
          <w:i/>
          <w:sz w:val="24"/>
        </w:rPr>
        <w:t>Transactions in Mutual Funds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Transactions in mutual funds that are invested in Company securities are not transactions subject to this Policy; provided, that any such funds are broad-based and not primarily focused on the Company’s sector or industry.</w:t>
      </w:r>
    </w:p>
    <w:p>
      <w:pPr>
        <w:pStyle w:val="TextBody"/>
        <w:bidi w:val="0"/>
        <w:spacing w:lineRule="auto" w:line="285" w:before="0" w:after="240"/>
        <w:ind w:left="0" w:right="0" w:hanging="0"/>
        <w:jc w:val="left"/>
        <w:rPr>
          <w:rFonts w:ascii="Times New Roman;Times;serif" w:hAnsi="Times New Roman;Times;serif"/>
          <w:b/>
          <w:i/>
          <w:sz w:val="24"/>
        </w:rPr>
      </w:pPr>
      <w:r>
        <w:rPr>
          <w:rFonts w:ascii="Times New Roman;Times;serif" w:hAnsi="Times New Roman;Times;serif"/>
          <w:b/>
          <w:i/>
          <w:sz w:val="24"/>
        </w:rPr>
        <w:t>Gifts Subject to Same Restrictions and Pre-Clearance Procedures as All Other Securities Trades</w:t>
      </w:r>
      <w:r>
        <w:rPr>
          <w:rFonts w:ascii="Times New Roman;Times;serif" w:hAnsi="Times New Roman;Times;serif"/>
          <w:b w:val="false"/>
          <w:i/>
          <w:sz w:val="24"/>
        </w:rPr>
        <w:t>.</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No Insider or Covered Person may give or make any other transfer of Company securities without consideration (e.g., a gift) during the period when such Insider or Covered Person is prohibiting from trading in such securities under this Policy.</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Pre-Clearance Procedures and Trading Restrictions for Officers, Directors and Designated Employees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In order to assist our officers, directors or other employees who the Compliance Officer has determined may regularly have access to material nonpublic information (“</w:t>
      </w:r>
      <w:r>
        <w:rPr>
          <w:rFonts w:ascii="Times New Roman;Times;serif" w:hAnsi="Times New Roman;Times;serif"/>
          <w:sz w:val="24"/>
          <w:u w:val="single"/>
        </w:rPr>
        <w:t>Designated</w:t>
      </w:r>
      <w:r>
        <w:rPr>
          <w:rFonts w:ascii="Times New Roman;Times;serif" w:hAnsi="Times New Roman;Times;serif"/>
          <w:sz w:val="24"/>
        </w:rPr>
        <w:t xml:space="preserve"> </w:t>
      </w:r>
      <w:r>
        <w:rPr>
          <w:rFonts w:ascii="Times New Roman;Times;serif" w:hAnsi="Times New Roman;Times;serif"/>
          <w:sz w:val="24"/>
          <w:u w:val="single"/>
        </w:rPr>
        <w:t>Employees</w:t>
      </w:r>
      <w:r>
        <w:rPr>
          <w:rFonts w:ascii="Times New Roman;Times;serif" w:hAnsi="Times New Roman;Times;serif"/>
          <w:sz w:val="24"/>
        </w:rPr>
        <w:t>”) in maintaining compliance with their securities law obligations and to avoid the appearance of any impropriety, the Company has adopted a pre-clearance procedure for transactions by such persons and established certain periods during which such individuals will be therefore restricted from trading absent a finding to the contrary by the Audit Committee of the Board.</w:t>
      </w:r>
    </w:p>
    <w:p>
      <w:pPr>
        <w:pStyle w:val="TextBody"/>
        <w:bidi w:val="0"/>
        <w:spacing w:lineRule="auto" w:line="285" w:before="0" w:after="240"/>
        <w:ind w:left="0" w:right="0" w:hanging="0"/>
        <w:jc w:val="both"/>
        <w:rPr>
          <w:rFonts w:ascii="Times New Roman;Times;serif" w:hAnsi="Times New Roman;Times;serif"/>
          <w:b/>
          <w:i/>
          <w:sz w:val="24"/>
        </w:rPr>
      </w:pPr>
      <w:r>
        <w:rPr>
          <w:rFonts w:ascii="Times New Roman;Times;serif" w:hAnsi="Times New Roman;Times;serif"/>
          <w:b/>
          <w:i/>
          <w:sz w:val="24"/>
        </w:rPr>
        <w:t>Pre-Clearance Procedures</w:t>
      </w:r>
      <w:r>
        <w:rPr>
          <w:rFonts w:ascii="Times New Roman;Times;serif" w:hAnsi="Times New Roman;Times;serif"/>
          <w:b w:val="false"/>
          <w:i/>
          <w:sz w:val="24"/>
        </w:rPr>
        <w:t>.</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 xml:space="preserve">Prior to conducting any transactions in Company securities (other than transactions that are Excluded Transactions or transactions pursuant to a Rule 10b5-1 Plan), an officer, director or Designated Employee must request, and obtain, in each case in writing, pre-clearance of such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transaction from the Compliance Officer. In the case of the Compliance Officer, pre-clearance of such transaction must be requested and obtained, in each case in writing, from the Principal Executive Officer or the Principal Financial Officer of the Company.</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This pre-clearance procedure has been established:</w:t>
      </w:r>
    </w:p>
    <w:tbl>
      <w:tblPr>
        <w:tblW w:w="8313" w:type="dxa"/>
        <w:jc w:val="left"/>
        <w:tblInd w:w="0" w:type="dxa"/>
        <w:tblLayout w:type="fixed"/>
        <w:tblCellMar>
          <w:top w:w="0" w:type="dxa"/>
          <w:left w:w="0" w:type="dxa"/>
          <w:bottom w:w="0" w:type="dxa"/>
          <w:right w:w="0" w:type="dxa"/>
        </w:tblCellMar>
      </w:tblPr>
      <w:tblGrid>
        <w:gridCol w:w="23"/>
        <w:gridCol w:w="170"/>
        <w:gridCol w:w="8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provide assistance in preventing inadvertent violations of applicable securities laws;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avoid the appearance of impropriety in connection with the purchase, sale or bona fide gift of the Company securities;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ensure timely compliance by all Company Insiders with the strict time requirements for the filings of Form 4 reports.</w:t>
            </w:r>
          </w:p>
        </w:tc>
      </w:tr>
    </w:tbl>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A request for pre-clearance should be submitted to the Compliance Officer at least one business day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When a request for pre-clearance is made, the requestor should carefully consider and disclose to the Compliance Officer:</w:t>
      </w:r>
    </w:p>
    <w:tbl>
      <w:tblPr>
        <w:tblW w:w="8883" w:type="dxa"/>
        <w:jc w:val="left"/>
        <w:tblInd w:w="0" w:type="dxa"/>
        <w:tblLayout w:type="fixed"/>
        <w:tblCellMar>
          <w:top w:w="0" w:type="dxa"/>
          <w:left w:w="0" w:type="dxa"/>
          <w:bottom w:w="0" w:type="dxa"/>
          <w:right w:w="0" w:type="dxa"/>
        </w:tblCellMar>
      </w:tblPr>
      <w:tblGrid>
        <w:gridCol w:w="23"/>
        <w:gridCol w:w="170"/>
        <w:gridCol w:w="8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whether he or she may be aware of any material nonpublic information about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whether he or she has effected any non-exempt “opposite-way” transaction within the past six months; and</w:t>
            </w:r>
          </w:p>
        </w:tc>
      </w:tr>
    </w:tbl>
    <w:tbl>
      <w:tblPr>
        <w:tblW w:w="9183" w:type="dxa"/>
        <w:jc w:val="left"/>
        <w:tblInd w:w="0" w:type="dxa"/>
        <w:tblLayout w:type="fixed"/>
        <w:tblCellMar>
          <w:top w:w="0" w:type="dxa"/>
          <w:left w:w="0" w:type="dxa"/>
          <w:bottom w:w="0" w:type="dxa"/>
          <w:right w:w="0" w:type="dxa"/>
        </w:tblCellMar>
      </w:tblPr>
      <w:tblGrid>
        <w:gridCol w:w="23"/>
        <w:gridCol w:w="170"/>
        <w:gridCol w:w="8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whether he or she must comply with SEC Rule 144 and file a Form 144 at the time of any sale.</w:t>
            </w:r>
          </w:p>
        </w:tc>
      </w:tr>
    </w:tbl>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Pre-cleared trades must be effected within the period set forth in the pre-clearance approval (typically, before the end of the fifth business day after the pre-clearance is granted). Transactions not effected within the time limit are subject to pre-clearance again.</w:t>
      </w:r>
    </w:p>
    <w:p>
      <w:pPr>
        <w:pStyle w:val="TextBody"/>
        <w:bidi w:val="0"/>
        <w:spacing w:lineRule="auto" w:line="285" w:before="0" w:after="240"/>
        <w:ind w:left="0" w:right="0" w:hanging="0"/>
        <w:jc w:val="both"/>
        <w:rPr>
          <w:rFonts w:ascii="Times New Roman;Times;serif" w:hAnsi="Times New Roman;Times;serif"/>
          <w:b/>
          <w:i/>
          <w:sz w:val="24"/>
        </w:rPr>
      </w:pPr>
      <w:r>
        <w:rPr>
          <w:rFonts w:ascii="Times New Roman;Times;serif" w:hAnsi="Times New Roman;Times;serif"/>
          <w:b/>
          <w:i/>
          <w:sz w:val="24"/>
        </w:rPr>
        <w:t>Quarterly Trading Restriction Periods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In order to ensure that our officers, directors or Designated Employees do not unintentionally engage in transactions during a time when they may have, or may have access to, material nonpublic information, the Company has established a “</w:t>
      </w:r>
      <w:r>
        <w:rPr>
          <w:rFonts w:ascii="Times New Roman;Times;serif" w:hAnsi="Times New Roman;Times;serif"/>
          <w:sz w:val="24"/>
          <w:u w:val="single"/>
        </w:rPr>
        <w:t>Blackout Period</w:t>
      </w:r>
      <w:r>
        <w:rPr>
          <w:rFonts w:ascii="Times New Roman;Times;serif" w:hAnsi="Times New Roman;Times;serif"/>
          <w:sz w:val="24"/>
        </w:rPr>
        <w:t>” beginning fourteen days prior to the end of each fiscal quarter and ending one full business day following the date of the public release of the Company’s earnings results for that quarter. Due to the possibility that officers, directors or Designated Employees may have, or may have access to, material nonpublic information during a Blackout Period, such persons may not conduct any transactions involving the Company’s Securities during a Blackout Period.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 xml:space="preserve">Under certain very limited circumstances, a person subject to this restriction may be permitted to trade during a Blackout Period, but only if the Audit Committee of the Board concludes that the person does </w:t>
      </w:r>
      <w:r>
        <w:rPr>
          <w:rFonts w:ascii="Times New Roman;Times;serif" w:hAnsi="Times New Roman;Times;serif"/>
          <w:b/>
          <w:sz w:val="24"/>
        </w:rPr>
        <w:t>not</w:t>
      </w:r>
      <w:r>
        <w:rPr>
          <w:rFonts w:ascii="Times New Roman;Times;serif" w:hAnsi="Times New Roman;Times;serif"/>
          <w:sz w:val="24"/>
        </w:rPr>
        <w:t xml:space="preserve"> in fact possess material nonpublic information. Persons wishing to trade during a Blackout Period must contact the Compliance Officer to request Audit Committee approval at least five business days in advance of any proposed transaction involving Company securities.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i/>
          <w:sz w:val="24"/>
        </w:rPr>
        <w:t>Safest Time for Transactions</w:t>
      </w:r>
      <w:r>
        <w:rPr>
          <w:rFonts w:ascii="Times New Roman;Times;serif" w:hAnsi="Times New Roman;Times;serif"/>
          <w:sz w:val="24"/>
        </w:rPr>
        <w:t>. All employees, whether or not subject to the trading windows or pre-clearance procedures described in this Policy, are reminded that the safest time for transactions in Company securities will generally be just after the trading window opens after the release by the Company of financial information relating to a completed quarter. The appearance of improper trading may increase as the Company approaches the end of the next fiscal quarter.</w:t>
      </w:r>
    </w:p>
    <w:p>
      <w:pPr>
        <w:pStyle w:val="TextBody"/>
        <w:bidi w:val="0"/>
        <w:spacing w:lineRule="auto" w:line="285" w:before="0" w:after="240"/>
        <w:ind w:left="0" w:right="0" w:hanging="0"/>
        <w:jc w:val="both"/>
        <w:rPr>
          <w:rFonts w:ascii="Times New Roman;Times;serif" w:hAnsi="Times New Roman;Times;serif"/>
          <w:b/>
          <w:i/>
          <w:sz w:val="24"/>
        </w:rPr>
      </w:pPr>
      <w:r>
        <w:rPr>
          <w:rFonts w:ascii="Times New Roman;Times;serif" w:hAnsi="Times New Roman;Times;serif"/>
          <w:b/>
          <w:i/>
          <w:sz w:val="24"/>
        </w:rPr>
        <w:t>Event-Specific Trading Restriction Periods</w:t>
      </w:r>
      <w:r>
        <w:rPr>
          <w:rFonts w:ascii="Times New Roman;Times;serif" w:hAnsi="Times New Roman;Times;serif"/>
          <w:b w:val="false"/>
          <w:i/>
          <w:sz w:val="24"/>
        </w:rPr>
        <w:t>.</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From time to time, an event may occur that is material to the Company and is known by only a few directors, officers and/or employees. So long as the event remains material and nonpublic, the persons designated by the Compliance Officer may not conduct any transactions involving the Company securities. In addition, in a particular fiscal quarter, material information about the Company’s financial results may be known to the Company prior to the scheduled Blackout Period, so that, in the judgment of the Compliance Officer, designated persons should refrain from trading in Company securities even sooner than the typical Blackout Period described above. In that situation, the Compliance Officer may without disclosing the reason for the restriction notify these persons that they should not conduct any transactions involving the Company securities.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 Exceptions will not be granted during an event-specific trading restriction period.</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i/>
          <w:sz w:val="24"/>
        </w:rPr>
        <w:t>Exceptions</w:t>
      </w:r>
      <w:r>
        <w:rPr>
          <w:rFonts w:ascii="Times New Roman;Times;serif" w:hAnsi="Times New Roman;Times;serif"/>
          <w:sz w:val="24"/>
        </w:rPr>
        <w:t>. The quarterly trading restrictions and event-specific trading restrictions do not apply to those Excluded Transactions described above nor to transactions pursuant to an approved Rule 10b5-1 Plan.</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Rule 10b5-1 Plans</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Rule 10b5-1 under the Exchange Act provides an affirmative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Times;serif" w:hAnsi="Times New Roman;Times;serif"/>
          <w:sz w:val="24"/>
          <w:u w:val="single"/>
        </w:rPr>
        <w:t>Rule 10b5-1 Plan</w:t>
      </w:r>
      <w:r>
        <w:rPr>
          <w:rFonts w:ascii="Times New Roman;Times;serif" w:hAnsi="Times New Roman;Times;serif"/>
          <w:sz w:val="24"/>
        </w:rPr>
        <w:t xml:space="preserve">”).The initiation of, and any modification to (including termination), any such Rule 10b5-1 Plan will be deemed to be a transaction in the Company’s securities, and such initiation or modification (including termination) is subject to all limitations and prohibitions relating to transactions in the Company’s securities. Each such Rule 10b5-1 Plan, and any modification (including termination) thereof, must be submitted to and pre-approved by the Compliance Officer, who may impose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such conditions on the implementation and operation of the Rule 10b5-1 Plan as the Compliance Officer deems necessary or advisable. However, compliance of the Rule 10b5-1 Plan to the terms of Rule 10b5-1 and the execution of transactions pursuant to the Rule 10b5-1 Plan are the sole responsibility of the person initiating the Rule 10b5-1 Plan, not the Company or the Compliance Officer. Any Rule 10b5-1 Plan must be submitted for approval three business days prior to the entry into the Rule 10b5-1 Plan.</w:t>
      </w:r>
    </w:p>
    <w:p>
      <w:pPr>
        <w:pStyle w:val="TextBody"/>
        <w:bidi w:val="0"/>
        <w:spacing w:lineRule="auto" w:line="285" w:before="0" w:after="240"/>
        <w:ind w:left="0" w:right="0" w:firstLine="720"/>
        <w:jc w:val="both"/>
        <w:rPr>
          <w:rFonts w:ascii="Times New Roman;Times;serif" w:hAnsi="Times New Roman;Times;serif"/>
          <w:b/>
          <w:sz w:val="24"/>
        </w:rPr>
      </w:pPr>
      <w:r>
        <w:rPr>
          <w:rFonts w:ascii="Times New Roman;Times;serif" w:hAnsi="Times New Roman;Times;serif"/>
          <w:b/>
          <w:sz w:val="24"/>
        </w:rPr>
        <w:t>Rule 10b5-1 Plans do not exempt individuals from complying with Section 16 short-swing profit rules or liability.</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Rule 10b5-1 presents an opportunity for insiders to establish arrangements to sell (or purchase) Company stock without the restrictions of Blackout Periods, even when there is undisclosed material information. A Rule 10b5-1 Plan may also help reduce negative publicity that may result when key executives sell the Company’s stock. Rule 10b5-1 only provides an “affirmative defense” in the event there is an insider trading lawsuit. It does not prevent someone from bringing a lawsuit.</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A director, officer or employee may enter into a Rule 10b5-1 Plan only when he or she is not in possession of material, non-public information, and only during a period outside of the Blackout Period. Although transactions effected under a Rule 10b5-1 Plan will not require further pre-clearance at the time of the trade, any transaction (including the quantity and price) made pursuant to a Rule 10b5-1 Plan of a Section 16 reporting person must be reported to the Company promptly on the day of each trade to permit the Company’s filing coordinator to assist in the preparation and filing of a required Form 4. Such reporting may be oral or in writing (including by e-mail) and should include the identity of the reporting person, the type of transaction, the date of the transaction, the number of shares involved and the purchase or sale price. However, the ultimate responsibility, and liability, for timely filing remains with the Section 16 reporting person.</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The Company reserves the right from time to time to suspend, discontinue or otherwise prohibit any transaction in the Company’s securities, even pursuant to a previously approved Rule 10b5-1 Plan, if the Compliance Officer, in its discretion, determines that such suspension, discontinuation or other prohibition is in the best interests of the Company. Any Rule 10b5-1 Plan submitted for approval hereunder should explicitly acknowledge the Company’s right to prohibit transactions in the Company’s securities. Failure to discontinue purchases and sales as directed shall constitute a violation of the terms of this Policy and result in a loss of the exemption set forth herein.</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Officers, directors and employees may adopt Rule 10b5-1 Plans with brokers that outline a pre-set plan for trading of the Company’s stock, including the exercise of options. Trades pursuant to a Rule 10b5-1 Plan generally may occur at any time. Rule 10b5-1 Plans must be reviewed, approved and counter-signed by the Company, and must comply in all respects with the requirements of Rule 10b5-1, which include the following: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 cooling-off period for insiders of the later of (1) 90 days following adoption of the Rule 10b5-1 Plan; or (2) two business days following the disclosure in certain periodic reports of the Company’s financial results for the fiscal quarter in which the </w:t>
            </w:r>
          </w:p>
        </w:tc>
      </w:tr>
    </w:tbl>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plan was adopted (but not to exceed 120 days following adoption of the Rule 10b5-1 Plan) before any trading can commence under the Rule 10b5-1 Plan;</w:t>
            </w:r>
          </w:p>
        </w:tc>
      </w:tr>
    </w:tbl>
    <w:tbl>
      <w:tblPr>
        <w:tblW w:w="4848" w:type="dxa"/>
        <w:jc w:val="left"/>
        <w:tblInd w:w="0" w:type="dxa"/>
        <w:tblLayout w:type="fixed"/>
        <w:tblCellMar>
          <w:top w:w="0" w:type="dxa"/>
          <w:left w:w="0" w:type="dxa"/>
          <w:bottom w:w="0" w:type="dxa"/>
          <w:right w:w="0" w:type="dxa"/>
        </w:tblCellMar>
      </w:tblPr>
      <w:tblGrid>
        <w:gridCol w:w="23"/>
        <w:gridCol w:w="17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cooling-off period of 30 days for other persons;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condition for insiders to include a representation in their Rule 10b5-1 Plan certifying, at the time of the adoption, that: (1) they are not aware of material nonpublic information about the Company or its securities; and (2) they are adopting the Rule 10b5-1 Plan in good faith and not as part of a plan or scheme to evade the prohibitions of Rule 10b-5;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limitation on using multiple overlapping Rule 10b5-1 Plans (except as otherwise permitted by Rule 10b5-1);</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limitation on the ability of anyone other than issuers to rely on the affirmative defense for a single trade plan to one such Rule 10b5-1 Plan during any consecutive 12-month period;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condition that all persons entering into a Rule 10b5-1 Plan must act in good faith with respect to that plan.</w:t>
            </w:r>
          </w:p>
        </w:tc>
      </w:tr>
    </w:tbl>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Please review the following description of how a Rule 10b5-1 Plan works.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Pursuant to Rule 10b5-1, an individual’s purchase or sale of securities will not be “on the basis of” material, non-public information if:</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First, before becoming aware of the information, the individual enters into a binding contract to purchase or sell the securities, provides instructions to another person to sell the securities or adopts a written plan for trading the securities (i.e., the Rule 10b5-1 Plan).</w:t>
            </w:r>
          </w:p>
        </w:tc>
      </w:tr>
    </w:tbl>
    <w:tbl>
      <w:tblPr>
        <w:tblW w:w="4203" w:type="dxa"/>
        <w:jc w:val="left"/>
        <w:tblInd w:w="0" w:type="dxa"/>
        <w:tblLayout w:type="fixed"/>
        <w:tblCellMar>
          <w:top w:w="0" w:type="dxa"/>
          <w:left w:w="0" w:type="dxa"/>
          <w:bottom w:w="0" w:type="dxa"/>
          <w:right w:w="0" w:type="dxa"/>
        </w:tblCellMar>
      </w:tblPr>
      <w:tblGrid>
        <w:gridCol w:w="23"/>
        <w:gridCol w:w="170"/>
        <w:gridCol w:w="4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Second, the Rule 10b5-1 Plan must either: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specify the amount of securities to be purchased or sold, the price at which the securities are to be purchased or sold and the date on which the securities are to be purchased or sold;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include a written formula or computer program for determining the amount, price and date of the transactions;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prohibit the individual from exercising any subsequent influence over the purchase or sale of the Company’s stock under the Rule 10b5-1 Plan in question.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Third, the purchase or sale must occur pursuant to the Rule 10b5-1 Plan and the individual must not enter into a corresponding hedging transaction or alter or deviate from the Rule 10b5-1 Plan.</w:t>
            </w:r>
          </w:p>
        </w:tc>
      </w:tr>
    </w:tbl>
    <w:tbl>
      <w:tblPr>
        <w:tblW w:w="7338" w:type="dxa"/>
        <w:jc w:val="left"/>
        <w:tblInd w:w="0" w:type="dxa"/>
        <w:tblLayout w:type="fixed"/>
        <w:tblCellMar>
          <w:top w:w="0" w:type="dxa"/>
          <w:left w:w="0" w:type="dxa"/>
          <w:bottom w:w="0" w:type="dxa"/>
          <w:right w:w="0" w:type="dxa"/>
        </w:tblCellMar>
      </w:tblPr>
      <w:tblGrid>
        <w:gridCol w:w="23"/>
        <w:gridCol w:w="170"/>
        <w:gridCol w:w="7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Fourth, the Rule 10b5-1 Plan must satisfy the requirements set forth above. </w:t>
            </w:r>
          </w:p>
        </w:tc>
      </w:tr>
    </w:tbl>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 xml:space="preserve">Revocation of Rule 10b5-1 Plans should occur only in unusual circumstances. Effectiveness of any revocation or amendment of a Rule 10b5-1 Plan will be subject to the prior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review and approval of the Compliance Officer. Revocation is effected upon written notice to the broker. Once a Rule 10b5-1 Plan has been revoked, the participant must wait until the applicable cooling-off period has expired as described above before trading outside of a Rule 10b5-1 Plan or establishing a new Rule 10b5-1 Plan. You should note that revocation of a Rule 10b5-1 Plan can result in the loss of an affirmative defense for past or future transactions under a Rule 10b5-1 Plan. You should consult with your own legal counsel before deciding to revoke a Rule 10b5-1 Plan. In any event, you should not assume that compliance with the aforementioned cooling-off period will protect you from possible adverse legal consequences of a Rule 10b5-1 Plan revocation.</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A person acting in good faith may amend a prior Rule 10b5-1 Plan so long as such amendments are made outside of a quarterly trading black-out period and at a time when the Rule 10b5-1 Plan participant does not possess material, non-public information. Plan amendments must not take effect for at least 30 days after the plan amendments are made.</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 xml:space="preserve">Under certain circumstances, a Rule 10b5-1 Plan </w:t>
      </w:r>
      <w:r>
        <w:rPr>
          <w:rFonts w:ascii="Times New Roman;Times;serif" w:hAnsi="Times New Roman;Times;serif"/>
          <w:i/>
          <w:sz w:val="24"/>
        </w:rPr>
        <w:t xml:space="preserve">must </w:t>
      </w:r>
      <w:r>
        <w:rPr>
          <w:rFonts w:ascii="Times New Roman;Times;serif" w:hAnsi="Times New Roman;Times;serif"/>
          <w:sz w:val="24"/>
        </w:rPr>
        <w:t>be revoked. This may include circumstances such as the announcement of a merger or the occurrence of an event that would cause the transaction either to violate the law or to have an adverse effect on the Company. The Compliance Officer or administrator of the Company’s stock plans is authorized to notify the broker in such circumstances, thereby insulating the insider in the event of revocation.</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Special and Prohibited Transactions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The Company has determined that there is a heightened legal risk and/or the appearance of improper or inappropriate conduct if its employees, officers and directors, and other Covered Persons engage in certain types of transactions. It therefore is the Company’s policy that all the persons covered by this Policy should be subject to heightened restrictions or considerations with respect to each of the following types of transactions: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i/>
          <w:sz w:val="24"/>
        </w:rPr>
        <w:t>Short Sales</w:t>
      </w:r>
      <w:r>
        <w:rPr>
          <w:rFonts w:ascii="Times New Roman;Times;serif" w:hAnsi="Times New Roman;Times;serif"/>
          <w:sz w:val="24"/>
        </w:rPr>
        <w:t>. Section 16(c) of the Securities Exchange Act of 1934, as amended (the “</w:t>
      </w:r>
      <w:r>
        <w:rPr>
          <w:rFonts w:ascii="Times New Roman;Times;serif" w:hAnsi="Times New Roman;Times;serif"/>
          <w:sz w:val="24"/>
          <w:u w:val="single"/>
        </w:rPr>
        <w:t>Exchange Act</w:t>
      </w:r>
      <w:r>
        <w:rPr>
          <w:rFonts w:ascii="Times New Roman;Times;serif" w:hAnsi="Times New Roman;Times;serif"/>
          <w:sz w:val="24"/>
        </w:rPr>
        <w:t>”), prohibits insiders absolutely from making short sales of Company securities, i.e., sales of shares which the insider does not own at the time of sale, or sales of stock against which the insider does not deliver the shares within 20 days after the sale, either directly or indirectly. Under certain circumstances, the purchase or sale of put or call options, or the writing of such options, can result in a violation of Section 16(c). Insiders violating Section 16(c) face criminal liability. Furthermore, short sales of Company securities may evidence an expectation on the part of the seller that the securities will decline in value, and therefore have the potential to signal to the market that the seller lacks confidence in the Company’s prospects. By operation of this Policy, the Company hereby prohibits any officer, director or employee, or other Covered Person, from making a short sale of Company securities which would be prohibited by Section 16(c) if such person were an insider. Sales “against the box” are also prohibited. A sale “against the box” is a sale of securities which are owned but are not delivered after the sale. A sale “against the box” has the same effect as a short sale. The Compliance Officer should be consulted if you have any questions regarding this prohibition on reporting obligations, short-swing profits or short sales.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i/>
          <w:sz w:val="24"/>
        </w:rPr>
        <w:t>Options and Derivative Securities</w:t>
      </w:r>
      <w:r>
        <w:rPr>
          <w:rFonts w:ascii="Times New Roman;Times;serif" w:hAnsi="Times New Roman;Times;serif"/>
          <w:sz w:val="24"/>
        </w:rPr>
        <w:t>. Derivative securities are securities contracts or arrangements whose value varies in relation to the price of Company securities. For example, derivative securities would include exchange-traded put or call options, as well as individually arranged derivative transactions, such as prepaid forwards. Many forms of derivatives are speculative in nature (meaning that their value fluctuated based on short-term changes in the price of Company shares), and the purchase or sale of such derivatives by Company employees could motivate them to take actions that are in conflict with the long-term interest of other shareholders and could also cause the appearance of misuse of inside information. Accordingly, our employees, officers and directors are prohibited from purchasing or selling derivative securities, or entering into derivatives contracts relating to Company shares. The prohibition on transactions in derivatives does not apply to stock options and other interests issued under Company employee benefit plans. If you have any question as to whether a particular type of arrangement or derivative transaction is permitted under this Policy, you should contact the Compliance Officer.</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i/>
          <w:sz w:val="24"/>
        </w:rPr>
        <w:t>Hedging Transactions</w:t>
      </w:r>
      <w:r>
        <w:rPr>
          <w:rFonts w:ascii="Times New Roman;Times;serif" w:hAnsi="Times New Roman;Times;serif"/>
          <w:sz w:val="24"/>
        </w:rPr>
        <w:t>. Certain forms of hedging or monetization transactions, such as zero-cost collars and forward-sale contracts, allow a person to lock in much of the value of his or her stock holdings, often in exchange for at least a part of the potential for upside appreciation in the stock. These transactions allow a person to continue to own the covered securities, but without the full risks and rewards of ownership. In that situation, the person may no longer have the same objectives as the Company’s other stockholders. Therefore, directors, officers, employees and consultants are prohibited from engaging in any such transactions with respect to Company shares.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i/>
          <w:sz w:val="24"/>
        </w:rPr>
        <w:t>Margin Account and Pledged Securities</w:t>
      </w:r>
      <w:r>
        <w:rPr>
          <w:rFonts w:ascii="Times New Roman;Times;serif" w:hAnsi="Times New Roman;Times;serif"/>
          <w:sz w:val="24"/>
        </w:rPr>
        <w:t>. Securities held in a margin account may be sold by a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Company securities, insiders should take special precautions when placing Company securities in a margin account or when pledging Company securities as collateral for a loan. In order for the Company to comply with its securities disclosure requirements and to ensure that margin accounts are structured in a manner to minimize inside trading concerns, any employee, officer or director who wishes to place Company securities in a margin account or pledge Company securities as collateral for a loan must provide the Compliance Officer written notice of his or her intent to margin or pledge Company securities, accompanied by a copy of the proposed documentation, at least two business days prior to the margin or pledge.</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b/>
          <w:i/>
          <w:sz w:val="24"/>
        </w:rPr>
        <w:t>Short-Term Trading</w:t>
      </w:r>
      <w:r>
        <w:rPr>
          <w:rFonts w:ascii="Times New Roman;Times;serif" w:hAnsi="Times New Roman;Times;serif"/>
          <w:sz w:val="24"/>
        </w:rPr>
        <w:t xml:space="preserve">. Employees, officers and directors are to avoid engaging in speculative transactions that are designed to result in profit based on short-term fluctuations in the price of the Company’s securities. Purchases of the Company’s securities should be made with the expectation of owning those securities for an extended period of time - at a minimum, for six months. Executive officers and directors of the Company are subject to Section 16 of the Exchange Act, which requires such persons to disgorge to the Company any profits made on open market or certain other purchases or sales of Company securities that are made within six months of an opposite way transaction. Section 16 can be extremely complicated, so any person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who is subject to Section 16 should ensure that all prior transactions are reported to the Compliance Officer in connection with the Pre-Clearance Approval Procedures set forth above.</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i/>
          <w:sz w:val="24"/>
        </w:rPr>
        <w:t>Shadow Trading</w:t>
      </w:r>
      <w:r>
        <w:rPr>
          <w:rFonts w:ascii="Times New Roman;Times;serif" w:hAnsi="Times New Roman;Times;serif"/>
          <w:sz w:val="24"/>
        </w:rPr>
        <w:t>. Recent SEC policy statements, enforcement actions, and related court decisions suggest that trading in securities of any company that is economically-linked to the Company (e.g., any competitor of the Company) or other company whose stock pricing may be influenced by the Company or subject to a market connection the Company (so-called “shadow trading”) might constitute a violation of the securities laws under certain circumstances. The SEC believes that confidential information about one company can be material to other companies, and insider trading liability might attach even when such information is not directly related to the individual’s employer. Accordingly, so called shadow trading is prohibited by this Policy.</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Post-Termination Transactions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This Policy continues to apply to transactions in Company securities even after termination of service to the Company. If an employee, officer or director is in possession of material nonpublic information when his or her service terminates, that individual and his or her family members may not trade in Company securities until that information has become public or is no longer material. The pre-clearance procedures for officers, directors and Designated Employees, however, will cease to apply to transactions in Company securities upon the expiration of any Blackout Period or other event-specific trading restriction period that is applicable to an officer, director or Designated Employee at the time of his or her termination of service.</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Consequences of Violations</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The purchase, sale or bona fide gift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and are also prohibited under as the laws of foreign jurisdictions. Penalties for violating the law include imprisonment, disgorgement of profits, civil fines of up to three times the profit gained or loss avoided, and criminal fines of up to $5,000,000 for individuals and $25,000,000 for entities.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Accordingly, all Company employees must comply with this policy and applicable securities laws and to ensure that those employees who they supervise also comply.</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In addition, an individual’s failure to comply with this Policy may subject the individual to Company-imposed sanctions, including dismissal for cause, whether or not the individual actually benefitted from a prohibited transaction or the individual’s failure to comply results in a violation of law. Needless to say, a violation of law, or even an SEC investigation that does not result in prosecution, can tarnish a person’s reputation and irreparably damage a career.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Company Assistance</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 xml:space="preserve">Any person who has a question about this Policy or its application to any proposed transaction may obtain additional guidance from the Compliance Officer, who can be reached by telephone at (850) 231-6575 or by e-mail at </w:t>
      </w:r>
      <w:r>
        <w:rPr>
          <w:rFonts w:ascii="Times New Roman;Times;serif" w:hAnsi="Times New Roman;Times;serif"/>
          <w:color w:val="0000FF"/>
          <w:sz w:val="24"/>
          <w:u w:val="single"/>
        </w:rPr>
        <w:t>lisa.walters@joe.com</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Individual Responsibility</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above,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above in more detail under the heading “Consequences of Violations.”</w:t>
      </w:r>
    </w:p>
    <w:p>
      <w:pPr>
        <w:pStyle w:val="TextBody"/>
        <w:bidi w:val="0"/>
        <w:spacing w:lineRule="auto" w:line="285" w:before="0" w:after="240"/>
        <w:ind w:left="0" w:right="0" w:hanging="0"/>
        <w:jc w:val="both"/>
        <w:rPr>
          <w:rFonts w:ascii="Times New Roman Bold" w:hAnsi="Times New Roman Bold"/>
          <w:b/>
          <w:sz w:val="24"/>
        </w:rPr>
      </w:pPr>
      <w:r>
        <w:rPr>
          <w:rFonts w:ascii="Times New Roman Bold" w:hAnsi="Times New Roman Bold"/>
          <w:b/>
          <w:sz w:val="24"/>
        </w:rPr>
        <w:t>Certification</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sz w:val="24"/>
        </w:rPr>
        <w:t>All persons subject to this Policy must certify their understanding of, and intent to comply with, this Policy, by annually executing and returning to the Compliance Officer the Certification of Compliance form attached hereto as Attachment B.</w:t>
      </w:r>
    </w:p>
    <w:p>
      <w:pPr>
        <w:pStyle w:val="TextBody"/>
        <w:bidi w:val="0"/>
        <w:spacing w:lineRule="auto" w:line="285" w:before="0" w:after="240"/>
        <w:ind w:left="0" w:right="0" w:firstLine="720"/>
        <w:jc w:val="both"/>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[Approved by the Board on 11-12-25.]</w:t>
      </w:r>
    </w:p>
    <w:p>
      <w:pPr>
        <w:pStyle w:val="TextBody"/>
        <w:bidi w:val="0"/>
        <w:spacing w:lineRule="auto" w:line="328" w:before="0" w:after="120"/>
        <w:ind w:left="0" w:right="0" w:hanging="0"/>
        <w:jc w:val="left"/>
        <w:rPr/>
      </w:pPr>
      <w:r>
        <w:rPr/>
        <w:t>​</w:t>
      </w:r>
    </w:p>
    <w:p>
      <w:pPr>
        <w:pStyle w:val="TextBody"/>
        <w:bidi w:val="0"/>
        <w:spacing w:lineRule="auto" w:line="328" w:before="0" w:after="120"/>
        <w:ind w:left="0" w:right="0" w:hanging="0"/>
        <w:jc w:val="left"/>
        <w:rPr/>
      </w:pPr>
      <w:r>
        <w:rPr/>
        <w:t>​</w:t>
      </w:r>
    </w:p>
    <w:p>
      <w:pPr>
        <w:pStyle w:val="TextBody"/>
        <w:bidi w:val="0"/>
        <w:spacing w:lineRule="auto" w:line="328" w:before="0" w:after="12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Attachment A​</w:t>
        <w:br/>
        <w:t>​</w:t>
        <w:br/>
        <w:t>TYPES OF MATERIAL INFORMATION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The following is a list of certain types of information that may, under the particular circumstances, be considered material. This list is not all-inclusive and is only intended as a guide. Please keep in mind that both positive and negative information may be material.</w:t>
      </w:r>
    </w:p>
    <w:tbl>
      <w:tblPr>
        <w:tblW w:w="6333" w:type="dxa"/>
        <w:jc w:val="left"/>
        <w:tblInd w:w="0" w:type="dxa"/>
        <w:tblLayout w:type="fixed"/>
        <w:tblCellMar>
          <w:top w:w="0" w:type="dxa"/>
          <w:left w:w="0" w:type="dxa"/>
          <w:bottom w:w="0" w:type="dxa"/>
          <w:right w:w="0" w:type="dxa"/>
        </w:tblCellMar>
      </w:tblPr>
      <w:tblGrid>
        <w:gridCol w:w="23"/>
        <w:gridCol w:w="170"/>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Fundamental Corporate Changes—What is the Company doing?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Information about current, proposed or contemplated transactions, such as acquisitions, tender offers, mergers, spin-offs, joint ventures, restructurings or changes in assets;</w:t>
            </w:r>
          </w:p>
        </w:tc>
      </w:tr>
    </w:tbl>
    <w:tbl>
      <w:tblPr>
        <w:tblW w:w="5163" w:type="dxa"/>
        <w:jc w:val="left"/>
        <w:tblInd w:w="0" w:type="dxa"/>
        <w:tblLayout w:type="fixed"/>
        <w:tblCellMar>
          <w:top w:w="0" w:type="dxa"/>
          <w:left w:w="0" w:type="dxa"/>
          <w:bottom w:w="0" w:type="dxa"/>
          <w:right w:w="0" w:type="dxa"/>
        </w:tblCellMar>
      </w:tblPr>
      <w:tblGrid>
        <w:gridCol w:w="23"/>
        <w:gridCol w:w="170"/>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directors, senior management or auditors;</w:t>
            </w:r>
          </w:p>
        </w:tc>
      </w:tr>
    </w:tbl>
    <w:tbl>
      <w:tblPr>
        <w:tblW w:w="3873" w:type="dxa"/>
        <w:jc w:val="left"/>
        <w:tblInd w:w="0" w:type="dxa"/>
        <w:tblLayout w:type="fixed"/>
        <w:tblCellMar>
          <w:top w:w="0" w:type="dxa"/>
          <w:left w:w="0" w:type="dxa"/>
          <w:bottom w:w="0" w:type="dxa"/>
          <w:right w:w="0" w:type="dxa"/>
        </w:tblCellMar>
      </w:tblPr>
      <w:tblGrid>
        <w:gridCol w:w="23"/>
        <w:gridCol w:w="170"/>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plans to go into a new line of business;</w:t>
            </w:r>
          </w:p>
        </w:tc>
      </w:tr>
    </w:tbl>
    <w:tbl>
      <w:tblPr>
        <w:tblW w:w="5028" w:type="dxa"/>
        <w:jc w:val="left"/>
        <w:tblInd w:w="0" w:type="dxa"/>
        <w:tblLayout w:type="fixed"/>
        <w:tblCellMar>
          <w:top w:w="0" w:type="dxa"/>
          <w:left w:w="0" w:type="dxa"/>
          <w:bottom w:w="0" w:type="dxa"/>
          <w:right w:w="0" w:type="dxa"/>
        </w:tblCellMar>
      </w:tblPr>
      <w:tblGrid>
        <w:gridCol w:w="23"/>
        <w:gridCol w:w="17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number of homes, land or other properties sold;</w:t>
            </w:r>
          </w:p>
        </w:tc>
      </w:tr>
    </w:tbl>
    <w:tbl>
      <w:tblPr>
        <w:tblW w:w="3513" w:type="dxa"/>
        <w:jc w:val="left"/>
        <w:tblInd w:w="0" w:type="dxa"/>
        <w:tblLayout w:type="fixed"/>
        <w:tblCellMar>
          <w:top w:w="0" w:type="dxa"/>
          <w:left w:w="0" w:type="dxa"/>
          <w:bottom w:w="0" w:type="dxa"/>
          <w:right w:w="0" w:type="dxa"/>
        </w:tblCellMar>
      </w:tblPr>
      <w:tblGrid>
        <w:gridCol w:w="23"/>
        <w:gridCol w:w="170"/>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number of tenant leases signed;</w:t>
            </w:r>
          </w:p>
        </w:tc>
      </w:tr>
    </w:tbl>
    <w:tbl>
      <w:tblPr>
        <w:tblW w:w="5178" w:type="dxa"/>
        <w:jc w:val="left"/>
        <w:tblInd w:w="0" w:type="dxa"/>
        <w:tblLayout w:type="fixed"/>
        <w:tblCellMar>
          <w:top w:w="0" w:type="dxa"/>
          <w:left w:w="0" w:type="dxa"/>
          <w:bottom w:w="0" w:type="dxa"/>
          <w:right w:w="0" w:type="dxa"/>
        </w:tblCellMar>
      </w:tblPr>
      <w:tblGrid>
        <w:gridCol w:w="23"/>
        <w:gridCol w:w="170"/>
        <w:gridCol w:w="49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awards of construction or site development business;</w:t>
            </w:r>
          </w:p>
        </w:tc>
      </w:tr>
    </w:tbl>
    <w:tbl>
      <w:tblPr>
        <w:tblW w:w="3453" w:type="dxa"/>
        <w:jc w:val="left"/>
        <w:tblInd w:w="0" w:type="dxa"/>
        <w:tblLayout w:type="fixed"/>
        <w:tblCellMar>
          <w:top w:w="0" w:type="dxa"/>
          <w:left w:w="0" w:type="dxa"/>
          <w:bottom w:w="0" w:type="dxa"/>
          <w:right w:w="0" w:type="dxa"/>
        </w:tblCellMar>
      </w:tblPr>
      <w:tblGrid>
        <w:gridCol w:w="23"/>
        <w:gridCol w:w="170"/>
        <w:gridCol w:w="32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information about major contracts;</w:t>
            </w:r>
          </w:p>
        </w:tc>
      </w:tr>
    </w:tbl>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labor negotiations; or</w:t>
            </w:r>
          </w:p>
        </w:tc>
      </w:tr>
    </w:tbl>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plans to engage in a new marketing strategy.</w:t>
            </w:r>
          </w:p>
        </w:tc>
      </w:tr>
    </w:tbl>
    <w:tbl>
      <w:tblPr>
        <w:tblW w:w="5058" w:type="dxa"/>
        <w:jc w:val="left"/>
        <w:tblInd w:w="0" w:type="dxa"/>
        <w:tblLayout w:type="fixed"/>
        <w:tblCellMar>
          <w:top w:w="0" w:type="dxa"/>
          <w:left w:w="0" w:type="dxa"/>
          <w:bottom w:w="0" w:type="dxa"/>
          <w:right w:w="0" w:type="dxa"/>
        </w:tblCellMar>
      </w:tblPr>
      <w:tblGrid>
        <w:gridCol w:w="23"/>
        <w:gridCol w:w="17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Financial Reporting—How is the Company doing?</w:t>
            </w:r>
          </w:p>
        </w:tc>
      </w:tr>
    </w:tbl>
    <w:tbl>
      <w:tblPr>
        <w:tblW w:w="2808" w:type="dxa"/>
        <w:jc w:val="left"/>
        <w:tblInd w:w="0" w:type="dxa"/>
        <w:tblLayout w:type="fixed"/>
        <w:tblCellMar>
          <w:top w:w="0" w:type="dxa"/>
          <w:left w:w="0" w:type="dxa"/>
          <w:bottom w:w="0" w:type="dxa"/>
          <w:right w:w="0" w:type="dxa"/>
        </w:tblCellMar>
      </w:tblPr>
      <w:tblGrid>
        <w:gridCol w:w="23"/>
        <w:gridCol w:w="170"/>
        <w:gridCol w:w="2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earnings, profits and losses;</w:t>
            </w:r>
          </w:p>
        </w:tc>
      </w:tr>
    </w:tbl>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unpublished financial reports or projections;</w:t>
            </w:r>
          </w:p>
        </w:tc>
      </w:tr>
    </w:tbl>
    <w:tbl>
      <w:tblPr>
        <w:tblW w:w="3333" w:type="dxa"/>
        <w:jc w:val="left"/>
        <w:tblInd w:w="0" w:type="dxa"/>
        <w:tblLayout w:type="fixed"/>
        <w:tblCellMar>
          <w:top w:w="0" w:type="dxa"/>
          <w:left w:w="0" w:type="dxa"/>
          <w:bottom w:w="0" w:type="dxa"/>
          <w:right w:w="0" w:type="dxa"/>
        </w:tblCellMar>
      </w:tblPr>
      <w:tblGrid>
        <w:gridCol w:w="23"/>
        <w:gridCol w:w="170"/>
        <w:gridCol w:w="3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adjustments of reported earnings;</w:t>
            </w:r>
          </w:p>
        </w:tc>
      </w:tr>
    </w:tbl>
    <w:tbl>
      <w:tblPr>
        <w:tblW w:w="5163" w:type="dxa"/>
        <w:jc w:val="left"/>
        <w:tblInd w:w="0" w:type="dxa"/>
        <w:tblLayout w:type="fixed"/>
        <w:tblCellMar>
          <w:top w:w="0" w:type="dxa"/>
          <w:left w:w="0" w:type="dxa"/>
          <w:bottom w:w="0" w:type="dxa"/>
          <w:right w:w="0" w:type="dxa"/>
        </w:tblCellMar>
      </w:tblPr>
      <w:tblGrid>
        <w:gridCol w:w="23"/>
        <w:gridCol w:w="170"/>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purchases, sales and revaluations of company assets;</w:t>
            </w:r>
          </w:p>
        </w:tc>
      </w:tr>
    </w:tbl>
    <w:tbl>
      <w:tblPr>
        <w:tblW w:w="3723" w:type="dxa"/>
        <w:jc w:val="left"/>
        <w:tblInd w:w="0" w:type="dxa"/>
        <w:tblLayout w:type="fixed"/>
        <w:tblCellMar>
          <w:top w:w="0" w:type="dxa"/>
          <w:left w:w="0" w:type="dxa"/>
          <w:bottom w:w="0" w:type="dxa"/>
          <w:right w:w="0" w:type="dxa"/>
        </w:tblCellMar>
      </w:tblPr>
      <w:tblGrid>
        <w:gridCol w:w="23"/>
        <w:gridCol w:w="17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gain or loss of a significant customer;</w:t>
            </w:r>
          </w:p>
        </w:tc>
      </w:tr>
    </w:tbl>
    <w:tbl>
      <w:tblPr>
        <w:tblW w:w="4653" w:type="dxa"/>
        <w:jc w:val="left"/>
        <w:tblInd w:w="0" w:type="dxa"/>
        <w:tblLayout w:type="fixed"/>
        <w:tblCellMar>
          <w:top w:w="0" w:type="dxa"/>
          <w:left w:w="0" w:type="dxa"/>
          <w:bottom w:w="0" w:type="dxa"/>
          <w:right w:w="0" w:type="dxa"/>
        </w:tblCellMar>
      </w:tblPr>
      <w:tblGrid>
        <w:gridCol w:w="23"/>
        <w:gridCol w:w="170"/>
        <w:gridCol w:w="4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environmental compliance and its related costs;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solvency problems that may arise from litigation, final judgments, loan defaults, and losses of major contracts;</w:t>
            </w:r>
          </w:p>
        </w:tc>
      </w:tr>
    </w:tbl>
    <w:tbl>
      <w:tblPr>
        <w:tblW w:w="9843" w:type="dxa"/>
        <w:jc w:val="left"/>
        <w:tblInd w:w="0" w:type="dxa"/>
        <w:tblLayout w:type="fixed"/>
        <w:tblCellMar>
          <w:top w:w="0" w:type="dxa"/>
          <w:left w:w="0" w:type="dxa"/>
          <w:bottom w:w="0" w:type="dxa"/>
          <w:right w:w="0" w:type="dxa"/>
        </w:tblCellMar>
      </w:tblPr>
      <w:tblGrid>
        <w:gridCol w:w="23"/>
        <w:gridCol w:w="170"/>
        <w:gridCol w:w="9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institution of, or developments in, major litigation, investigations, or regulatory actions or proceedings;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interruption of any aspect of a company’s business as a result of an accident, fire, natural disaster, or breakdown of labor negotiations or any major shutdown;</w:t>
            </w:r>
          </w:p>
        </w:tc>
      </w:tr>
    </w:tbl>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significant disruption in the Company’s operations or a loss, potential loss, breach or unauthorized access to the Company’s property, assets or systems, including its facilities and information technology infrastructure;</w:t>
            </w:r>
          </w:p>
        </w:tc>
      </w:tr>
    </w:tbl>
    <w:tbl>
      <w:tblPr>
        <w:tblW w:w="6318" w:type="dxa"/>
        <w:jc w:val="left"/>
        <w:tblInd w:w="0" w:type="dxa"/>
        <w:tblLayout w:type="fixed"/>
        <w:tblCellMar>
          <w:top w:w="0" w:type="dxa"/>
          <w:left w:w="0" w:type="dxa"/>
          <w:bottom w:w="0" w:type="dxa"/>
          <w:right w:w="0" w:type="dxa"/>
        </w:tblCellMar>
      </w:tblPr>
      <w:tblGrid>
        <w:gridCol w:w="23"/>
        <w:gridCol w:w="170"/>
        <w:gridCol w:w="6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dividend policies or the declaration of a stock split; or</w:t>
            </w:r>
          </w:p>
        </w:tc>
      </w:tr>
    </w:tbl>
    <w:tbl>
      <w:tblPr>
        <w:tblW w:w="6153" w:type="dxa"/>
        <w:jc w:val="left"/>
        <w:tblInd w:w="0" w:type="dxa"/>
        <w:tblLayout w:type="fixed"/>
        <w:tblCellMar>
          <w:top w:w="0" w:type="dxa"/>
          <w:left w:w="0" w:type="dxa"/>
          <w:bottom w:w="0" w:type="dxa"/>
          <w:right w:w="0" w:type="dxa"/>
        </w:tblCellMar>
      </w:tblPr>
      <w:tblGrid>
        <w:gridCol w:w="23"/>
        <w:gridCol w:w="170"/>
        <w:gridCol w:w="59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contemplated issuance, redemption, or repurchase of securities.</w:t>
            </w:r>
          </w:p>
        </w:tc>
      </w:tr>
    </w:tbl>
    <w:tbl>
      <w:tblPr>
        <w:tblW w:w="6168" w:type="dxa"/>
        <w:jc w:val="left"/>
        <w:tblInd w:w="0" w:type="dxa"/>
        <w:tblLayout w:type="fixed"/>
        <w:tblCellMar>
          <w:top w:w="0" w:type="dxa"/>
          <w:left w:w="0" w:type="dxa"/>
          <w:bottom w:w="0" w:type="dxa"/>
          <w:right w:w="0" w:type="dxa"/>
        </w:tblCellMar>
      </w:tblPr>
      <w:tblGrid>
        <w:gridCol w:w="23"/>
        <w:gridCol w:w="17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Management Integrity—How is the Company being managed?</w:t>
            </w:r>
          </w:p>
        </w:tc>
      </w:tr>
    </w:tbl>
    <w:tbl>
      <w:tblPr>
        <w:tblW w:w="5613" w:type="dxa"/>
        <w:jc w:val="left"/>
        <w:tblInd w:w="0" w:type="dxa"/>
        <w:tblLayout w:type="fixed"/>
        <w:tblCellMar>
          <w:top w:w="0" w:type="dxa"/>
          <w:left w:w="0" w:type="dxa"/>
          <w:bottom w:w="0" w:type="dxa"/>
          <w:right w:w="0" w:type="dxa"/>
        </w:tblCellMar>
      </w:tblPr>
      <w:tblGrid>
        <w:gridCol w:w="23"/>
        <w:gridCol w:w="170"/>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knowledge that management has engaged in self-dealing;</w:t>
            </w:r>
          </w:p>
        </w:tc>
      </w:tr>
    </w:tbl>
    <w:tbl>
      <w:tblPr>
        <w:tblW w:w="6423" w:type="dxa"/>
        <w:jc w:val="left"/>
        <w:tblInd w:w="0" w:type="dxa"/>
        <w:tblLayout w:type="fixed"/>
        <w:tblCellMar>
          <w:top w:w="0" w:type="dxa"/>
          <w:left w:w="0" w:type="dxa"/>
          <w:bottom w:w="0" w:type="dxa"/>
          <w:right w:w="0" w:type="dxa"/>
        </w:tblCellMar>
      </w:tblPr>
      <w:tblGrid>
        <w:gridCol w:w="23"/>
        <w:gridCol w:w="170"/>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knowledge that the Company has been engaged in illegal activity;</w:t>
            </w:r>
          </w:p>
        </w:tc>
      </w:tr>
    </w:tbl>
    <w:tbl>
      <w:tblPr>
        <w:tblW w:w="5388" w:type="dxa"/>
        <w:jc w:val="left"/>
        <w:tblInd w:w="0" w:type="dxa"/>
        <w:tblLayout w:type="fixed"/>
        <w:tblCellMar>
          <w:top w:w="0" w:type="dxa"/>
          <w:left w:w="0" w:type="dxa"/>
          <w:bottom w:w="0" w:type="dxa"/>
          <w:right w:w="0" w:type="dxa"/>
        </w:tblCellMar>
      </w:tblPr>
      <w:tblGrid>
        <w:gridCol w:w="23"/>
        <w:gridCol w:w="170"/>
        <w:gridCol w:w="51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knowledge that the Company is under investigation; or</w:t>
            </w:r>
          </w:p>
        </w:tc>
      </w:tr>
    </w:tbl>
    <w:tbl>
      <w:tblPr>
        <w:tblW w:w="9648" w:type="dxa"/>
        <w:jc w:val="left"/>
        <w:tblInd w:w="0" w:type="dxa"/>
        <w:tblLayout w:type="fixed"/>
        <w:tblCellMar>
          <w:top w:w="0" w:type="dxa"/>
          <w:left w:w="0" w:type="dxa"/>
          <w:bottom w:w="0" w:type="dxa"/>
          <w:right w:w="0" w:type="dxa"/>
        </w:tblCellMar>
      </w:tblPr>
      <w:tblGrid>
        <w:gridCol w:w="23"/>
        <w:gridCol w:w="170"/>
        <w:gridCol w:w="9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knowledge that a governmental body has begun or is about to begin an action against the Company.</w:t>
            </w:r>
          </w:p>
        </w:tc>
      </w:tr>
    </w:tbl>
    <w:p>
      <w:pPr>
        <w:pStyle w:val="TextBody"/>
        <w:bidi w:val="0"/>
        <w:spacing w:lineRule="auto" w:line="328" w:before="0" w:after="120"/>
        <w:ind w:left="0" w:right="0" w:hanging="0"/>
        <w:jc w:val="left"/>
        <w:rPr/>
      </w:pPr>
      <w:r>
        <w:rPr/>
        <w:t>​</w:t>
      </w:r>
    </w:p>
    <w:p>
      <w:pPr>
        <w:pStyle w:val="TextBody"/>
        <w:bidi w:val="0"/>
        <w:spacing w:lineRule="auto" w:line="328" w:before="0" w:after="12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Attachment B​</w:t>
        <w:br/>
        <w:t>​</w:t>
        <w:br/>
        <w:t>CERTIFICATION OF COMPLIANCE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I certify that: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I have read and understand The St. Joe Company’s Insider Trading Policy (the “</w:t>
            </w:r>
            <w:r>
              <w:rPr>
                <w:rFonts w:ascii="Times New Roman;Times;serif" w:hAnsi="Times New Roman;Times;serif"/>
                <w:b w:val="false"/>
                <w:i w:val="false"/>
                <w:caps w:val="false"/>
                <w:smallCaps w:val="false"/>
                <w:sz w:val="24"/>
                <w:u w:val="single"/>
              </w:rPr>
              <w:t>Policy</w:t>
            </w:r>
            <w:r>
              <w:rPr>
                <w:caps w:val="false"/>
                <w:smallCaps w:val="false"/>
              </w:rPr>
              <w:t>”</w:t>
            </w:r>
            <w:r>
              <w:rPr>
                <w:rFonts w:ascii="Times New Roman;Times;serif" w:hAnsi="Times New Roman;Times;serif"/>
                <w:b w:val="false"/>
                <w:i w:val="false"/>
                <w:caps w:val="false"/>
                <w:smallCaps w:val="false"/>
                <w:sz w:val="24"/>
              </w:rPr>
              <w:t>). I understand that the Compliance Officer is available to answer any questions I have regarding the Policy.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Since [], 20___, or such shorter period of time that I have been an employee of The St. Joe Company, I have complied with the Policy.</w:t>
            </w:r>
          </w:p>
        </w:tc>
      </w:tr>
    </w:tbl>
    <w:tbl>
      <w:tblPr>
        <w:tblW w:w="7923" w:type="dxa"/>
        <w:jc w:val="left"/>
        <w:tblInd w:w="0" w:type="dxa"/>
        <w:tblLayout w:type="fixed"/>
        <w:tblCellMar>
          <w:top w:w="0" w:type="dxa"/>
          <w:left w:w="0" w:type="dxa"/>
          <w:bottom w:w="0" w:type="dxa"/>
          <w:right w:w="0" w:type="dxa"/>
        </w:tblCellMar>
      </w:tblPr>
      <w:tblGrid>
        <w:gridCol w:w="23"/>
        <w:gridCol w:w="200"/>
        <w:gridCol w:w="77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7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 will continue to comply with the Policy for as long as I am subject to the Policy.</w:t>
            </w:r>
          </w:p>
        </w:tc>
      </w:tr>
    </w:tbl>
    <w:p>
      <w:pPr>
        <w:pStyle w:val="TextBody"/>
        <w:bidi w:val="0"/>
        <w:spacing w:lineRule="auto" w:line="285" w:before="0" w:after="240"/>
        <w:ind w:left="0" w:right="0" w:hanging="0"/>
        <w:jc w:val="both"/>
        <w:rPr/>
      </w:pPr>
      <w:r>
        <w:rPr/>
        <w:t>​</w:t>
      </w:r>
    </w:p>
    <w:p>
      <w:pPr>
        <w:pStyle w:val="TextBody"/>
        <w:bidi w:val="0"/>
        <w:spacing w:lineRule="auto" w:line="285" w:before="0" w:after="240"/>
        <w:ind w:left="4320" w:right="0" w:hanging="0"/>
        <w:jc w:val="both"/>
        <w:rPr>
          <w:rFonts w:ascii="Times New Roman;Times;serif" w:hAnsi="Times New Roman;Times;serif"/>
          <w:sz w:val="24"/>
        </w:rPr>
      </w:pPr>
      <w:r>
        <w:rPr>
          <w:rFonts w:ascii="Times New Roman;Times;serif" w:hAnsi="Times New Roman;Times;serif"/>
          <w:sz w:val="24"/>
        </w:rPr>
        <w:t xml:space="preserve">Signature: </w:t>
      </w:r>
      <w:r>
        <w:rPr>
          <w:rFonts w:ascii="Times New Roman;Times;serif" w:hAnsi="Times New Roman;Times;serif"/>
          <w:sz w:val="24"/>
          <w:u w:val="single"/>
        </w:rPr>
        <w:t>​ ​</w:t>
      </w:r>
      <w:r>
        <w:rPr>
          <w:rFonts w:ascii="Times New Roman;Times;serif" w:hAnsi="Times New Roman;Times;serif"/>
          <w:sz w:val="24"/>
        </w:rPr>
        <w:t xml:space="preserve"> </w:t>
      </w:r>
    </w:p>
    <w:p>
      <w:pPr>
        <w:pStyle w:val="TextBody"/>
        <w:bidi w:val="0"/>
        <w:spacing w:lineRule="auto" w:line="285" w:before="0" w:after="240"/>
        <w:ind w:left="4320" w:right="0" w:hanging="0"/>
        <w:jc w:val="both"/>
        <w:rPr>
          <w:rFonts w:ascii="Times New Roman;Times;serif" w:hAnsi="Times New Roman;Times;serif"/>
          <w:sz w:val="24"/>
        </w:rPr>
      </w:pPr>
      <w:r>
        <w:rPr>
          <w:rFonts w:ascii="Times New Roman;Times;serif" w:hAnsi="Times New Roman;Times;serif"/>
          <w:sz w:val="24"/>
        </w:rPr>
        <w:t xml:space="preserve">Print name: </w:t>
      </w:r>
      <w:r>
        <w:rPr>
          <w:rFonts w:ascii="Times New Roman;Times;serif" w:hAnsi="Times New Roman;Times;serif"/>
          <w:sz w:val="24"/>
          <w:u w:val="single"/>
        </w:rPr>
        <w:t>​ ​</w:t>
      </w:r>
      <w:r>
        <w:rPr>
          <w:rFonts w:ascii="Times New Roman;Times;serif" w:hAnsi="Times New Roman;Times;serif"/>
          <w:sz w:val="24"/>
        </w:rPr>
        <w:t xml:space="preserve"> </w:t>
      </w:r>
    </w:p>
    <w:p>
      <w:pPr>
        <w:pStyle w:val="TextBody"/>
        <w:bidi w:val="0"/>
        <w:spacing w:lineRule="auto" w:line="285" w:before="0" w:after="240"/>
        <w:ind w:left="4320" w:right="0" w:hanging="0"/>
        <w:jc w:val="both"/>
        <w:rPr>
          <w:rFonts w:ascii="Times New Roman;Times;serif" w:hAnsi="Times New Roman;Times;serif"/>
          <w:sz w:val="24"/>
        </w:rPr>
      </w:pPr>
      <w:r>
        <w:rPr>
          <w:rFonts w:ascii="Times New Roman;Times;serif" w:hAnsi="Times New Roman;Times;serif"/>
          <w:sz w:val="24"/>
        </w:rPr>
        <w:t xml:space="preserve">Date: </w:t>
      </w:r>
      <w:r>
        <w:rPr>
          <w:rFonts w:ascii="Times New Roman;Times;serif" w:hAnsi="Times New Roman;Times;serif"/>
          <w:sz w:val="24"/>
          <w:u w:val="single"/>
        </w:rPr>
        <w:t>​ ​</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right"/>
        <w:rPr>
          <w:rFonts w:ascii="Times New Roman;Times;serif" w:hAnsi="Times New Roman;Times;serif"/>
          <w:b/>
          <w:sz w:val="20"/>
        </w:rPr>
      </w:pPr>
      <w:bookmarkStart w:id="2964" w:name="joe-20251231xex21d1.htm"/>
      <w:bookmarkStart w:id="2965" w:name="ksjoe20251231xex21d1"/>
      <w:bookmarkEnd w:id="2964"/>
      <w:bookmarkEnd w:id="2965"/>
      <w:r>
        <w:rPr>
          <w:rFonts w:ascii="Times New Roman;Times;serif" w:hAnsi="Times New Roman;Times;serif"/>
          <w:b/>
          <w:sz w:val="20"/>
        </w:rPr>
        <w:t>Exhibit 21.1</w:t>
      </w:r>
      <w:bookmarkStart w:id="2966" w:name="Exhibit_21_1"/>
      <w:bookmarkEnd w:id="2966"/>
      <w:r>
        <w:br w:type="page"/>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LIST OF SUBSIDIARIES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(Includes 100% directly owned entities, indirectly owned entities and joint venture entities of which we may be a majority, equal or minority partner)</w:t>
      </w:r>
    </w:p>
    <w:tbl>
      <w:tblPr>
        <w:tblW w:w="6138" w:type="dxa"/>
        <w:jc w:val="center"/>
        <w:tblInd w:w="0" w:type="dxa"/>
        <w:tblLayout w:type="fixed"/>
        <w:tblCellMar>
          <w:top w:w="0" w:type="dxa"/>
          <w:left w:w="0" w:type="dxa"/>
          <w:bottom w:w="0" w:type="dxa"/>
          <w:right w:w="0" w:type="dxa"/>
        </w:tblCellMar>
      </w:tblPr>
      <w:tblGrid>
        <w:gridCol w:w="4306"/>
        <w:gridCol w:w="346"/>
        <w:gridCol w:w="1486"/>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2734310" cy="175260"/>
                      <wp:effectExtent l="0" t="0" r="0" b="0"/>
                      <wp:wrapNone/>
                      <wp:docPr id="803" name="Frame801"/>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944245" cy="175260"/>
                      <wp:effectExtent l="0" t="0" r="0" b="0"/>
                      <wp:wrapNone/>
                      <wp:docPr id="804" name="Frame802"/>
                      <a:graphic xmlns:a="http://schemas.openxmlformats.org/drawingml/2006/main">
                        <a:graphicData uri="http://schemas.microsoft.com/office/word/2010/wordprocessingShape">
                          <wps:wsp>
                            <wps:cNvSpPr txBox="1"/>
                            <wps:spPr>
                              <a:xfrm>
                                <a:off x="0" y="0"/>
                                <a:ext cx="944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b/>
                <w:sz w:val="17"/>
              </w:rPr>
            </w:pPr>
            <w:r>
              <w:rPr>
                <w:rFonts w:ascii="Times New Roman;Times;serif" w:hAnsi="Times New Roman;Times;serif"/>
                <w:b/>
                <w:sz w:val="17"/>
              </w:rPr>
              <w:t>COMPANY NAME</w:t>
            </w:r>
          </w:p>
        </w:tc>
        <w:tc>
          <w:tcPr>
            <w:tcW w:w="346" w:type="dxa"/>
            <w:tcBorders/>
            <w:vAlign w:val="center"/>
          </w:tcPr>
          <w:p>
            <w:pPr>
              <w:pStyle w:val="TableContents"/>
              <w:bidi w:val="0"/>
              <w:spacing w:before="20" w:after="20"/>
              <w:ind w:left="0" w:right="0" w:hanging="0"/>
              <w:jc w:val="center"/>
              <w:rPr/>
            </w:pPr>
            <w:r>
              <w:rPr/>
              <w:t>  ​ ​ ​</w:t>
            </w:r>
          </w:p>
        </w:tc>
        <w:tc>
          <w:tcPr>
            <w:tcW w:w="1486" w:type="dxa"/>
            <w:tcBorders>
              <w:bottom w:val="single" w:sz="8" w:space="0" w:color="000000"/>
            </w:tcBorders>
            <w:tcMar>
              <w:bottom w:w="28" w:type="dxa"/>
            </w:tcMar>
            <w:vAlign w:val="center"/>
          </w:tcPr>
          <w:p>
            <w:pPr>
              <w:pStyle w:val="TableContents"/>
              <w:bidi w:val="0"/>
              <w:spacing w:before="20" w:after="20"/>
              <w:ind w:left="0" w:right="0" w:hanging="0"/>
              <w:jc w:val="center"/>
              <w:rPr>
                <w:rFonts w:ascii="Times New Roman;Times;serif" w:hAnsi="Times New Roman;Times;serif"/>
                <w:b/>
                <w:sz w:val="17"/>
              </w:rPr>
            </w:pPr>
            <w:r>
              <w:rPr>
                <w:rFonts w:ascii="Times New Roman;Times;serif" w:hAnsi="Times New Roman;Times;serif"/>
                <w:b/>
                <w:sz w:val="17"/>
              </w:rPr>
              <w:t>STATE OF</w:t>
              <w:br/>
              <w:t>ORGANIZATION</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30A Greenway Hotel,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Bay Parkway Multi-Family,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Bay Parkway Multi-Family II,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Bay Point Marina,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Breakfast Point,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Breakfast Point Commercial,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Camp Creek Golf Club,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Camp Creek Residential Development,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Commercial Real Estate Acquisitions,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Commercial Real Estate Development,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Commercial Real Estate Holdings,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Crooked Creek Utility Company</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JOE PCOZ,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JOE QOZ Fund, Inc.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JOE RI,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LMWS,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MB Multi-Family,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Mexico Beach Crossings,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N850J,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NatureWalk Office,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Northwest Florida Timber Finance,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OC Multi-Family,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Origins Crossings,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Origins Senior Living,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Panama City Beach Venture II,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Panama City Beach Venture III,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Paradise Pointe,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Park Point Land,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PCIQOZ,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Peach Creek Aggregate Storage and Transport,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Pier Park Crossings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Pier Park Crossings Phase II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Pier Park Resort Hotel,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Pier Park RI,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Pier Park TPS,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Port St. Joe Marina,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PPCC Development,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PSJ Commercial,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PSJ Residential,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Resort Real Estate Holdings,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RiverCamps Development,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Salt Creek Development,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Scratch Biscuit Company,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30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SJ30AH, LLC</w:t>
            </w:r>
          </w:p>
        </w:tc>
        <w:tc>
          <w:tcPr>
            <w:tcW w:w="346" w:type="dxa"/>
            <w:tcBorders/>
            <w:vAlign w:val="center"/>
          </w:tcPr>
          <w:p>
            <w:pPr>
              <w:pStyle w:val="TableContents"/>
              <w:bidi w:val="0"/>
              <w:spacing w:before="20" w:after="20"/>
              <w:ind w:left="0" w:right="0" w:hanging="0"/>
              <w:jc w:val="center"/>
              <w:rPr/>
            </w:pPr>
            <w:r>
              <w:rPr/>
              <w:t>​</w:t>
            </w:r>
          </w:p>
        </w:tc>
        <w:tc>
          <w:tcPr>
            <w:tcW w:w="148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bl>
    <w:p>
      <w:pPr>
        <w:pStyle w:val="HorizontalLine"/>
        <w:pBdr>
          <w:bottom w:val="double" w:sz="2" w:space="0" w:color="808080"/>
        </w:pBdr>
        <w:bidi w:val="0"/>
        <w:spacing w:before="0" w:after="283"/>
        <w:jc w:val="left"/>
        <w:rPr/>
      </w:pPr>
      <w:r>
        <w:rPr/>
      </w:r>
    </w:p>
    <w:tbl>
      <w:tblPr>
        <w:tblW w:w="4641" w:type="dxa"/>
        <w:jc w:val="center"/>
        <w:tblInd w:w="0" w:type="dxa"/>
        <w:tblLayout w:type="fixed"/>
        <w:tblCellMar>
          <w:top w:w="0" w:type="dxa"/>
          <w:left w:w="0" w:type="dxa"/>
          <w:bottom w:w="0" w:type="dxa"/>
          <w:right w:w="0" w:type="dxa"/>
        </w:tblCellMar>
      </w:tblPr>
      <w:tblGrid>
        <w:gridCol w:w="4126"/>
        <w:gridCol w:w="109"/>
        <w:gridCol w:w="406"/>
      </w:tblGrid>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 Carts,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 College Station,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 Education Leasing Services,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 Park Place,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 Pigeon Creek,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SJAH,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SJAP,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SJBB,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SJBB Investor,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SJBPWA,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SJCS,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SJECC,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SJFS,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SJIMTPS Investor,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SJK Investor,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SJLMWS,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SJMC,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SJOSL,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SJPPN,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SJPR,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SJRBH,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SJSA,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SJSCH,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SJSP,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SJSS,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SJTC,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SJTSH,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SJWC,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SJWCSL,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SJWM,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South Walton Commerce Park,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Southeastern Land Ventures,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SouthWood Tallahassee,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STGC of PCB,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St. James Island Utility Company</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St. Joe Club &amp; Resorts Vacation Rentals,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St. Joe Corporate Services,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St. Joe Development,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St. Joe Resort Operations,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St. Joe-Southwood Properties, Inc.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2620010" cy="175260"/>
                      <wp:effectExtent l="0" t="0" r="0" b="0"/>
                      <wp:wrapNone/>
                      <wp:docPr id="805" name="Frame803"/>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257810" cy="175260"/>
                      <wp:effectExtent l="0" t="0" r="0" b="0"/>
                      <wp:wrapNone/>
                      <wp:docPr id="806" name="Frame80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St. Joe Timberland Company of Delaware,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St. Joe VentureCrossings Leasing,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SummerCamp Beach,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The WaterSound Company,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Titus Road Station,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Topsail Commercial Development,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VentureCrossings,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Ward Creek,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WaterColor Development,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WaterColor Inn,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Watercrest Santa Rosa Beach RE,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Watercrest Santa Rosa Beach SL,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412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Watersound Aggregate Storage &amp; Transport, LLC</w:t>
            </w:r>
          </w:p>
        </w:tc>
        <w:tc>
          <w:tcPr>
            <w:tcW w:w="109" w:type="dxa"/>
            <w:tcBorders/>
            <w:vAlign w:val="center"/>
          </w:tcPr>
          <w:p>
            <w:pPr>
              <w:pStyle w:val="TableContents"/>
              <w:bidi w:val="0"/>
              <w:spacing w:before="20" w:after="20"/>
              <w:ind w:left="0" w:right="0" w:hanging="0"/>
              <w:jc w:val="center"/>
              <w:rPr/>
            </w:pPr>
            <w:r>
              <w:rPr/>
              <w:t>​</w:t>
            </w:r>
          </w:p>
        </w:tc>
        <w:tc>
          <w:tcPr>
            <w:tcW w:w="40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bl>
    <w:p>
      <w:pPr>
        <w:pStyle w:val="HorizontalLine"/>
        <w:pBdr>
          <w:bottom w:val="double" w:sz="2" w:space="0" w:color="808080"/>
        </w:pBdr>
        <w:bidi w:val="0"/>
        <w:spacing w:before="0" w:after="283"/>
        <w:jc w:val="left"/>
        <w:rPr/>
      </w:pPr>
      <w:r>
        <w:rPr/>
      </w:r>
    </w:p>
    <w:tbl>
      <w:tblPr>
        <w:tblW w:w="3951" w:type="dxa"/>
        <w:jc w:val="center"/>
        <w:tblInd w:w="0" w:type="dxa"/>
        <w:tblLayout w:type="fixed"/>
        <w:tblCellMar>
          <w:top w:w="0" w:type="dxa"/>
          <w:left w:w="0" w:type="dxa"/>
          <w:bottom w:w="0" w:type="dxa"/>
          <w:right w:w="0" w:type="dxa"/>
        </w:tblCellMar>
      </w:tblPr>
      <w:tblGrid>
        <w:gridCol w:w="3466"/>
        <w:gridCol w:w="109"/>
        <w:gridCol w:w="376"/>
      </w:tblGrid>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Watersound Beach and West Beach,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WaterSound Beach Club,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Closings &amp; Escrow,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Club,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Community Sales, Inc.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Insurance Company,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Management,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Watersound Parkway,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Watersound Title Agency,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Watersound Town Center,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WaterSound Trail,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West Bay Center,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Wild Heron PCB,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WindMark Beach,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WindMark JV,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WMOZ,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WOSL,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WOTH,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WSECC Operations,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WSECC Property,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rFonts w:ascii="Times New Roman;Times;serif" w:hAnsi="Times New Roman;Times;serif"/>
                <w:sz w:val="20"/>
              </w:rPr>
            </w:pPr>
            <w:r>
              <w:rPr>
                <w:rFonts w:ascii="Times New Roman;Times;serif" w:hAnsi="Times New Roman;Times;serif"/>
                <w:sz w:val="20"/>
              </w:rPr>
              <w:t>WSER, LLC</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rFonts w:ascii="Times New Roman;Times;serif" w:hAnsi="Times New Roman;Times;serif"/>
                <w:sz w:val="20"/>
              </w:rPr>
            </w:pPr>
            <w:r>
              <w:rPr>
                <w:rFonts w:ascii="Times New Roman;Times;serif" w:hAnsi="Times New Roman;Times;serif"/>
                <w:sz w:val="20"/>
              </w:rPr>
              <w:t>FL</w:t>
            </w:r>
          </w:p>
        </w:tc>
      </w:tr>
      <w:tr>
        <w:trPr/>
        <w:tc>
          <w:tcPr>
            <w:tcW w:w="3466" w:type="dxa"/>
            <w:tcBorders/>
            <w:vAlign w:val="center"/>
          </w:tcPr>
          <w:p>
            <w:pPr>
              <w:pStyle w:val="TableContents"/>
              <w:bidi w:val="0"/>
              <w:spacing w:before="20" w:after="20"/>
              <w:ind w:left="0" w:right="0" w:hanging="0"/>
              <w:jc w:val="left"/>
              <w:rPr/>
            </w:pPr>
            <w:r>
              <w:rPr/>
              <w:t>​</w:t>
            </w:r>
          </w:p>
        </w:tc>
        <w:tc>
          <w:tcPr>
            <w:tcW w:w="109" w:type="dxa"/>
            <w:tcBorders/>
            <w:vAlign w:val="center"/>
          </w:tcPr>
          <w:p>
            <w:pPr>
              <w:pStyle w:val="TableContents"/>
              <w:bidi w:val="0"/>
              <w:spacing w:before="20" w:after="20"/>
              <w:ind w:left="0" w:right="0" w:hanging="0"/>
              <w:jc w:val="center"/>
              <w:rPr/>
            </w:pPr>
            <w:r>
              <w:rPr/>
              <w:t>​</w:t>
            </w:r>
          </w:p>
        </w:tc>
        <w:tc>
          <w:tcPr>
            <w:tcW w:w="376" w:type="dxa"/>
            <w:tcBorders/>
            <w:vAlign w:val="center"/>
          </w:tcPr>
          <w:p>
            <w:pPr>
              <w:pStyle w:val="TableContents"/>
              <w:bidi w:val="0"/>
              <w:spacing w:before="20" w:after="2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right"/>
        <w:rPr>
          <w:rFonts w:ascii="Times New Roman;Times;serif" w:hAnsi="Times New Roman;Times;serif"/>
          <w:b/>
          <w:sz w:val="20"/>
        </w:rPr>
      </w:pPr>
      <w:bookmarkStart w:id="2967" w:name="joe-20251231xex23d1.htm"/>
      <w:bookmarkStart w:id="2968" w:name="ksjoe20251231xex23d1"/>
      <w:bookmarkEnd w:id="2967"/>
      <w:bookmarkEnd w:id="2968"/>
      <w:r>
        <w:rPr>
          <w:rFonts w:ascii="Times New Roman;Times;serif" w:hAnsi="Times New Roman;Times;serif"/>
          <w:b/>
          <w:sz w:val="20"/>
        </w:rPr>
        <w:t>Exhibit 23.1</w:t>
      </w:r>
      <w:bookmarkStart w:id="2969" w:name="Exhibit_23_1"/>
      <w:bookmarkEnd w:id="2969"/>
      <w:r>
        <w:br w:type="page"/>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issued our reports dated February 25, 2026, with respect to the consolidated financial statements and internal control over financial reporting included in the Annual Report of The St. Joe Company on Form 10-K for the year ended December 31, 2025. We consent to the incorporation by reference of said reports in the Registration Statements of The St. Joe Company on Form S-3 (File No. 333-209264) and on Form S-8 (File No. 333-289883).</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Jacksonville, Florida</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 xml:space="preserve">February 25, 2026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2970" w:name="joe-20251231xex23d2.htm"/>
      <w:bookmarkStart w:id="2971" w:name="ksjoe20251231xex23d2"/>
      <w:bookmarkEnd w:id="2970"/>
      <w:bookmarkEnd w:id="2971"/>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23.2</w:t>
      </w:r>
    </w:p>
    <w:p>
      <w:pPr>
        <w:pStyle w:val="TextBody"/>
        <w:bidi w:val="0"/>
        <w:spacing w:lineRule="auto" w:line="285" w:before="100" w:after="10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Auditors</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w:t>
        <w:noBreakHyphen/>
        <w:t>3 (File No. 333-209264) and Form S</w:t>
        <w:noBreakHyphen/>
        <w:t>8 (File No. 333-289883) of The St. Joe Company of our report dated January 30, 2026 relating to the financial statements of LMWS, LLC, appearing in the Annual Report on Form 10-K of The St. Joe Company for the year ended December 31, 2025.</w:t>
      </w:r>
    </w:p>
    <w:p>
      <w:pPr>
        <w:pStyle w:val="TextBody"/>
        <w:bidi w:val="0"/>
        <w:spacing w:lineRule="auto" w:line="285" w:before="100" w:after="100"/>
        <w:ind w:left="0" w:right="0" w:hanging="0"/>
        <w:jc w:val="left"/>
        <w:rPr/>
      </w:pPr>
      <w:r>
        <w:rPr/>
        <w:t>​</w:t>
      </w:r>
    </w:p>
    <w:p>
      <w:pPr>
        <w:pStyle w:val="TextBody"/>
        <w:bidi w:val="0"/>
        <w:spacing w:lineRule="auto" w:line="285" w:before="0" w:after="60"/>
        <w:ind w:left="0" w:right="0" w:hanging="0"/>
        <w:jc w:val="left"/>
        <w:rPr>
          <w:rFonts w:ascii="Times New Roman;Times;serif" w:hAnsi="Times New Roman;Times;serif"/>
          <w:sz w:val="20"/>
        </w:rPr>
      </w:pPr>
      <w:r>
        <w:rPr>
          <w:rFonts w:ascii="Times New Roman;Times;serif" w:hAnsi="Times New Roman;Times;serif"/>
          <w:sz w:val="20"/>
        </w:rPr>
        <w:t>/s/ Gerson, Preston, Klein, Lips, Eisenberg &amp; Gelber, PLLC</w:t>
      </w:r>
    </w:p>
    <w:p>
      <w:pPr>
        <w:pStyle w:val="TextBody"/>
        <w:bidi w:val="0"/>
        <w:spacing w:lineRule="auto" w:line="285" w:before="0" w:after="60"/>
        <w:ind w:left="0" w:right="0" w:hanging="0"/>
        <w:jc w:val="left"/>
        <w:rPr>
          <w:rFonts w:ascii="Times New Roman;Times;serif" w:hAnsi="Times New Roman;Times;serif"/>
          <w:sz w:val="20"/>
        </w:rPr>
      </w:pPr>
      <w:r>
        <w:rPr>
          <w:rFonts w:ascii="Times New Roman;Times;serif" w:hAnsi="Times New Roman;Times;serif"/>
          <w:sz w:val="20"/>
        </w:rPr>
        <w:t>Miami, Florida</w:t>
      </w:r>
    </w:p>
    <w:p>
      <w:pPr>
        <w:pStyle w:val="TextBody"/>
        <w:bidi w:val="0"/>
        <w:spacing w:lineRule="auto" w:line="285" w:before="0" w:after="60"/>
        <w:ind w:left="0" w:right="0" w:hanging="0"/>
        <w:jc w:val="left"/>
        <w:rPr>
          <w:rFonts w:ascii="Times New Roman;Times;serif" w:hAnsi="Times New Roman;Times;serif"/>
          <w:sz w:val="20"/>
        </w:rPr>
      </w:pPr>
      <w:r>
        <w:rPr>
          <w:rFonts w:ascii="Times New Roman;Times;serif" w:hAnsi="Times New Roman;Times;serif"/>
          <w:sz w:val="20"/>
        </w:rPr>
        <w:t>February 10, 2026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972" w:name="joe-20251231xex31d1.htm"/>
      <w:bookmarkStart w:id="2973" w:name="ksjoe20251231xex31d1"/>
      <w:bookmarkEnd w:id="2972"/>
      <w:bookmarkEnd w:id="2973"/>
      <w:r>
        <w:rPr/>
        <w:t>​</w:t>
      </w:r>
      <w:r>
        <w:br w:type="page"/>
      </w:r>
    </w:p>
    <w:p>
      <w:pPr>
        <w:pStyle w:val="TextBody"/>
        <w:bidi w:val="0"/>
        <w:spacing w:lineRule="auto" w:line="343" w:before="0" w:after="200"/>
        <w:ind w:left="0" w:right="0" w:hanging="0"/>
        <w:jc w:val="right"/>
        <w:rPr>
          <w:rFonts w:ascii="Times New Roman;Times;serif" w:hAnsi="Times New Roman;Times;serif"/>
          <w:b/>
          <w:sz w:val="20"/>
        </w:rPr>
      </w:pPr>
      <w:r>
        <w:rPr>
          <w:rFonts w:ascii="Times New Roman;Times;serif" w:hAnsi="Times New Roman;Times;serif"/>
          <w:b/>
          <w:sz w:val="20"/>
        </w:rPr>
        <w:t>Exhibit 31.1</w:t>
      </w:r>
      <w:bookmarkStart w:id="2974" w:name="New_Section"/>
      <w:bookmarkEnd w:id="2974"/>
    </w:p>
    <w:p>
      <w:pPr>
        <w:pStyle w:val="TextBody"/>
        <w:bidi w:val="0"/>
        <w:spacing w:lineRule="auto" w:line="343"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343" w:before="0" w:after="200"/>
        <w:ind w:left="0" w:right="0" w:hanging="0"/>
        <w:jc w:val="left"/>
        <w:rPr>
          <w:rFonts w:ascii="Times New Roman;Times;serif" w:hAnsi="Times New Roman;Times;serif"/>
          <w:sz w:val="20"/>
        </w:rPr>
      </w:pPr>
      <w:r>
        <w:rPr>
          <w:rFonts w:ascii="Times New Roman;Times;serif" w:hAnsi="Times New Roman;Times;serif"/>
          <w:sz w:val="20"/>
        </w:rPr>
        <w:t>I, Jorge L. Gonzalez, certify that:</w:t>
      </w:r>
    </w:p>
    <w:tbl>
      <w:tblPr>
        <w:tblW w:w="9265" w:type="dxa"/>
        <w:jc w:val="left"/>
        <w:tblInd w:w="0" w:type="dxa"/>
        <w:tblLayout w:type="fixed"/>
        <w:tblCellMar>
          <w:top w:w="0" w:type="dxa"/>
          <w:left w:w="0" w:type="dxa"/>
          <w:bottom w:w="0" w:type="dxa"/>
          <w:right w:w="0" w:type="dxa"/>
        </w:tblCellMar>
      </w:tblPr>
      <w:tblGrid>
        <w:gridCol w:w="170"/>
        <w:gridCol w:w="909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for the year ended December 31, 2025 of The St. Joe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Date: February 25, 2026 </w:t>
      </w:r>
    </w:p>
    <w:tbl>
      <w:tblPr>
        <w:tblW w:w="7670" w:type="dxa"/>
        <w:jc w:val="center"/>
        <w:tblInd w:w="0" w:type="dxa"/>
        <w:tblLayout w:type="fixed"/>
        <w:tblCellMar>
          <w:top w:w="0" w:type="dxa"/>
          <w:left w:w="0" w:type="dxa"/>
          <w:bottom w:w="0" w:type="dxa"/>
          <w:right w:w="0" w:type="dxa"/>
        </w:tblCellMar>
      </w:tblPr>
      <w:tblGrid>
        <w:gridCol w:w="124"/>
        <w:gridCol w:w="7546"/>
      </w:tblGrid>
      <w:tr>
        <w:trPr/>
        <w:tc>
          <w:tcPr>
            <w:tcW w:w="124" w:type="dxa"/>
            <w:tcBorders/>
            <w:vAlign w:val="center"/>
          </w:tcPr>
          <w:p>
            <w:pPr>
              <w:pStyle w:val="TableContents"/>
              <w:bidi w:val="0"/>
              <w:spacing w:before="0" w:after="0"/>
              <w:ind w:left="0" w:right="0" w:hanging="0"/>
              <w:jc w:val="left"/>
              <w:rPr/>
            </w:pPr>
            <w:r>
              <w:rPr/>
              <w:t>​</w:t>
            </w:r>
          </w:p>
        </w:tc>
        <w:tc>
          <w:tcPr>
            <w:tcW w:w="75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Jorge L. Gonzalez</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Jorge L. Gonzalez</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Chairman of the Board and 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240"/>
        <w:ind w:left="0" w:right="0" w:hanging="0"/>
        <w:jc w:val="right"/>
        <w:rPr>
          <w:rFonts w:ascii="Times New Roman;Times;serif" w:hAnsi="Times New Roman;Times;serif"/>
          <w:b/>
          <w:sz w:val="20"/>
        </w:rPr>
      </w:pPr>
      <w:bookmarkStart w:id="2975" w:name="joe-20251231xex31d2.htm"/>
      <w:bookmarkStart w:id="2976" w:name="ksjoe20251231xex31d2"/>
      <w:bookmarkEnd w:id="2975"/>
      <w:bookmarkEnd w:id="2976"/>
      <w:r>
        <w:rPr>
          <w:rFonts w:ascii="Times New Roman;Times;serif" w:hAnsi="Times New Roman;Times;serif"/>
          <w:b/>
          <w:sz w:val="20"/>
        </w:rPr>
        <w:t>Exhibit 31.2</w:t>
      </w:r>
      <w:bookmarkStart w:id="2977" w:name="Exhibit_31_2"/>
      <w:bookmarkEnd w:id="2977"/>
      <w:r>
        <w:br w:type="page"/>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343" w:before="0" w:after="240"/>
        <w:ind w:left="0" w:right="0" w:hanging="0"/>
        <w:jc w:val="left"/>
        <w:rPr>
          <w:rFonts w:ascii="Times New Roman;Times;serif" w:hAnsi="Times New Roman;Times;serif"/>
          <w:sz w:val="20"/>
        </w:rPr>
      </w:pPr>
      <w:r>
        <w:rPr>
          <w:rFonts w:ascii="Times New Roman;Times;serif" w:hAnsi="Times New Roman;Times;serif"/>
          <w:sz w:val="20"/>
        </w:rPr>
        <w:t>I, Marek Bakun, certify that:</w:t>
      </w:r>
    </w:p>
    <w:p>
      <w:pPr>
        <w:pStyle w:val="TextBody"/>
        <w:pBdr/>
        <w:bidi w:val="0"/>
        <w:spacing w:lineRule="auto" w:line="343" w:before="0" w:after="240"/>
        <w:ind w:left="0" w:right="0" w:hanging="720"/>
        <w:jc w:val="left"/>
        <w:rPr>
          <w:rFonts w:ascii="Times New Roman;Times;serif" w:hAnsi="Times New Roman;Times;serif"/>
          <w:sz w:val="20"/>
        </w:rPr>
      </w:pPr>
      <w:r>
        <w:rPr>
          <w:rFonts w:ascii="Times New Roman;Times;serif" w:hAnsi="Times New Roman;Times;serif"/>
          <w:sz w:val="20"/>
        </w:rPr>
        <w:t>1.           I have reviewed this annual report on Form 10-K for the year ended December 31, 2025 of The St. Joe Company;</w:t>
      </w:r>
    </w:p>
    <w:p>
      <w:pPr>
        <w:pStyle w:val="TextBody"/>
        <w:pBdr/>
        <w:bidi w:val="0"/>
        <w:spacing w:lineRule="auto" w:line="343" w:before="0" w:after="24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343" w:before="0" w:after="24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343" w:before="0" w:after="24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343" w:before="0" w:after="24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343" w:before="0" w:after="24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343" w:before="0" w:after="24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343" w:before="0" w:after="24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343" w:before="0" w:after="24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343" w:before="0" w:after="24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343" w:before="0" w:after="24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Date: February 25, 2026 </w:t>
      </w:r>
    </w:p>
    <w:tbl>
      <w:tblPr>
        <w:tblW w:w="7100" w:type="dxa"/>
        <w:jc w:val="center"/>
        <w:tblInd w:w="0" w:type="dxa"/>
        <w:tblLayout w:type="fixed"/>
        <w:tblCellMar>
          <w:top w:w="0" w:type="dxa"/>
          <w:left w:w="0" w:type="dxa"/>
          <w:bottom w:w="0" w:type="dxa"/>
          <w:right w:w="0" w:type="dxa"/>
        </w:tblCellMar>
      </w:tblPr>
      <w:tblGrid>
        <w:gridCol w:w="124"/>
        <w:gridCol w:w="6976"/>
      </w:tblGrid>
      <w:tr>
        <w:trPr/>
        <w:tc>
          <w:tcPr>
            <w:tcW w:w="124"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7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Marek Bakun</w:t>
            </w:r>
          </w:p>
        </w:tc>
      </w:tr>
      <w:tr>
        <w:trPr/>
        <w:tc>
          <w:tcPr>
            <w:tcW w:w="124"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Marek Bakun</w:t>
            </w:r>
          </w:p>
        </w:tc>
      </w:tr>
      <w:tr>
        <w:trPr/>
        <w:tc>
          <w:tcPr>
            <w:tcW w:w="124"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Chief Financial Officer and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240"/>
        <w:ind w:left="0" w:right="0" w:hanging="0"/>
        <w:jc w:val="right"/>
        <w:rPr>
          <w:rFonts w:ascii="Times New Roman;Times;serif" w:hAnsi="Times New Roman;Times;serif"/>
          <w:b/>
          <w:sz w:val="20"/>
        </w:rPr>
      </w:pPr>
      <w:bookmarkStart w:id="2978" w:name="joe-20251231xex32d1.htm"/>
      <w:bookmarkStart w:id="2979" w:name="ksjoe20251231xex32d1"/>
      <w:bookmarkEnd w:id="2978"/>
      <w:bookmarkEnd w:id="2979"/>
      <w:r>
        <w:rPr>
          <w:rFonts w:ascii="Times New Roman;Times;serif" w:hAnsi="Times New Roman;Times;serif"/>
          <w:b/>
          <w:sz w:val="20"/>
        </w:rPr>
        <w:t>Exhibit 32.1</w:t>
      </w:r>
      <w:bookmarkStart w:id="2980" w:name="Exhibit_32_1"/>
      <w:bookmarkEnd w:id="2980"/>
      <w:r>
        <w:br w:type="page"/>
      </w:r>
    </w:p>
    <w:p>
      <w:pPr>
        <w:pStyle w:val="TextBody"/>
        <w:bidi w:val="0"/>
        <w:spacing w:lineRule="auto" w:line="343" w:before="0" w:after="240"/>
        <w:ind w:left="0" w:right="0" w:hanging="0"/>
        <w:jc w:val="left"/>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343" w:before="0" w:after="240"/>
        <w:ind w:left="0" w:right="0" w:firstLine="480"/>
        <w:jc w:val="left"/>
        <w:rPr>
          <w:rFonts w:ascii="Times New Roman;Times;serif" w:hAnsi="Times New Roman;Times;serif"/>
          <w:sz w:val="20"/>
        </w:rPr>
      </w:pPr>
      <w:r>
        <w:rPr>
          <w:rFonts w:ascii="Times New Roman;Times;serif" w:hAnsi="Times New Roman;Times;serif"/>
          <w:sz w:val="20"/>
        </w:rPr>
        <w:t>Pursuant to 18 USC §1350, the undersigned officer of The St. Joe Company (the “Company”) hereby certifies that the Company’s Annual Report on Form 10-K for the year ended December 31, 2025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tbl>
      <w:tblPr>
        <w:tblW w:w="7670" w:type="dxa"/>
        <w:jc w:val="center"/>
        <w:tblInd w:w="0" w:type="dxa"/>
        <w:tblLayout w:type="fixed"/>
        <w:tblCellMar>
          <w:top w:w="0" w:type="dxa"/>
          <w:left w:w="0" w:type="dxa"/>
          <w:bottom w:w="0" w:type="dxa"/>
          <w:right w:w="0" w:type="dxa"/>
        </w:tblCellMar>
      </w:tblPr>
      <w:tblGrid>
        <w:gridCol w:w="124"/>
        <w:gridCol w:w="7546"/>
      </w:tblGrid>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Jorge L. Gonzalez</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Jorge L. Gonzalez</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Chairman of the Board and Principal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Dated: February 25, 2026</w:t>
      </w:r>
    </w:p>
    <w:p>
      <w:pPr>
        <w:pStyle w:val="HorizontalLine"/>
        <w:pBdr>
          <w:bottom w:val="double" w:sz="2" w:space="0" w:color="808080"/>
        </w:pBdr>
        <w:bidi w:val="0"/>
        <w:spacing w:before="0" w:after="283"/>
        <w:jc w:val="left"/>
        <w:rPr/>
      </w:pPr>
      <w:r>
        <w:rPr/>
      </w:r>
    </w:p>
    <w:p>
      <w:pPr>
        <w:pStyle w:val="TextBody"/>
        <w:bidi w:val="0"/>
        <w:spacing w:lineRule="auto" w:line="343" w:before="0" w:after="240"/>
        <w:ind w:left="0" w:right="0" w:hanging="0"/>
        <w:jc w:val="right"/>
        <w:rPr>
          <w:rFonts w:ascii="Times New Roman;Times;serif" w:hAnsi="Times New Roman;Times;serif"/>
          <w:b/>
          <w:sz w:val="20"/>
        </w:rPr>
      </w:pPr>
      <w:bookmarkStart w:id="2981" w:name="joe-20251231xex32d2.htm"/>
      <w:bookmarkStart w:id="2982" w:name="ksjoe20251231xex32d2"/>
      <w:bookmarkEnd w:id="2981"/>
      <w:bookmarkEnd w:id="2982"/>
      <w:r>
        <w:rPr>
          <w:rFonts w:ascii="Times New Roman;Times;serif" w:hAnsi="Times New Roman;Times;serif"/>
          <w:b/>
          <w:sz w:val="20"/>
        </w:rPr>
        <w:t>Exhibit 32.2</w:t>
      </w:r>
      <w:bookmarkStart w:id="2983" w:name="New_Section1"/>
      <w:bookmarkEnd w:id="2983"/>
      <w:r>
        <w:br w:type="page"/>
      </w:r>
    </w:p>
    <w:p>
      <w:pPr>
        <w:pStyle w:val="TextBody"/>
        <w:bidi w:val="0"/>
        <w:spacing w:lineRule="auto" w:line="343" w:before="0" w:after="240"/>
        <w:ind w:left="0" w:right="0" w:hanging="0"/>
        <w:jc w:val="left"/>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343" w:before="0" w:after="240"/>
        <w:ind w:left="0" w:right="0" w:firstLine="480"/>
        <w:jc w:val="left"/>
        <w:rPr>
          <w:rFonts w:ascii="Times New Roman;Times;serif" w:hAnsi="Times New Roman;Times;serif"/>
          <w:sz w:val="20"/>
        </w:rPr>
      </w:pPr>
      <w:r>
        <w:rPr>
          <w:rFonts w:ascii="Times New Roman;Times;serif" w:hAnsi="Times New Roman;Times;serif"/>
          <w:sz w:val="20"/>
        </w:rPr>
        <w:t>Pursuant to 18 USC §1350, the undersigned officer of The St. Joe Company (the “Company”) hereby certifies that the Company’s Annual Report on Form 10-K for the year ended December 31, 2025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tbl>
      <w:tblPr>
        <w:tblW w:w="9167" w:type="dxa"/>
        <w:jc w:val="center"/>
        <w:tblInd w:w="0" w:type="dxa"/>
        <w:tblLayout w:type="fixed"/>
        <w:tblCellMar>
          <w:top w:w="0" w:type="dxa"/>
          <w:left w:w="0" w:type="dxa"/>
          <w:bottom w:w="0" w:type="dxa"/>
          <w:right w:w="0" w:type="dxa"/>
        </w:tblCellMar>
      </w:tblPr>
      <w:tblGrid>
        <w:gridCol w:w="2191"/>
        <w:gridCol w:w="6976"/>
      </w:tblGrid>
      <w:tr>
        <w:trPr/>
        <w:tc>
          <w:tcPr>
            <w:tcW w:w="2191" w:type="dxa"/>
            <w:tcBorders/>
            <w:vAlign w:val="center"/>
          </w:tcPr>
          <w:p>
            <w:pPr>
              <w:pStyle w:val="TableContents"/>
              <w:bidi w:val="0"/>
              <w:spacing w:before="0" w:after="0"/>
              <w:ind w:left="0" w:right="0" w:hanging="0"/>
              <w:jc w:val="left"/>
              <w:rPr/>
            </w:pPr>
            <w:r>
              <w:rPr/>
              <w:t>​</w:t>
            </w:r>
          </w:p>
        </w:tc>
        <w:tc>
          <w:tcPr>
            <w:tcW w:w="697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Marek Bakun</w:t>
            </w:r>
          </w:p>
        </w:tc>
      </w:tr>
      <w:tr>
        <w:trPr/>
        <w:tc>
          <w:tcPr>
            <w:tcW w:w="2191"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Marek Bakun</w:t>
            </w:r>
          </w:p>
        </w:tc>
      </w:tr>
      <w:tr>
        <w:trPr/>
        <w:tc>
          <w:tcPr>
            <w:tcW w:w="2191"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Chief Financial Officer and Principal Accounting Officer</w:t>
            </w:r>
          </w:p>
        </w:tc>
      </w:tr>
      <w:tr>
        <w:trPr/>
        <w:tc>
          <w:tcPr>
            <w:tcW w:w="2191"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25, 2026</w:t>
            </w:r>
          </w:p>
        </w:tc>
        <w:tc>
          <w:tcPr>
            <w:tcW w:w="697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bookmarkStart w:id="2984" w:name="joe-20251231xex99d1.htm"/>
      <w:bookmarkStart w:id="2985" w:name="ksjoe20251231xex99d1"/>
      <w:bookmarkEnd w:id="2984"/>
      <w:bookmarkEnd w:id="2985"/>
      <w:r>
        <w:rPr/>
        <w:t>​</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0" w:after="0"/>
        <w:ind w:left="0" w:right="0" w:hanging="0"/>
        <w:jc w:val="left"/>
        <w:rPr/>
      </w:pPr>
      <w:r>
        <w:rPr/>
        <w:t>​</w:t>
      </w:r>
    </w:p>
    <w:p>
      <w:pPr>
        <w:pStyle w:val="TextBody"/>
        <w:bidi w:val="0"/>
        <w:spacing w:before="0" w:after="0"/>
        <w:ind w:left="2062" w:right="2156" w:hanging="0"/>
        <w:jc w:val="center"/>
        <w:rPr>
          <w:rFonts w:ascii="Times New Roman;Times;serif" w:hAnsi="Times New Roman;Times;serif"/>
          <w:sz w:val="16"/>
        </w:rPr>
      </w:pPr>
      <w:r>
        <w:rPr>
          <w:rFonts w:ascii="Times New Roman;Times;serif" w:hAnsi="Times New Roman;Times;serif"/>
          <w:b/>
          <w:color w:val="000080"/>
          <w:sz w:val="20"/>
        </w:rPr>
        <w:t>F</w:t>
      </w:r>
      <w:r>
        <w:rPr>
          <w:rFonts w:ascii="Times New Roman;Times;serif" w:hAnsi="Times New Roman;Times;serif"/>
          <w:b/>
          <w:color w:val="000080"/>
          <w:sz w:val="16"/>
        </w:rPr>
        <w:t xml:space="preserve">INANCIAL </w:t>
      </w:r>
      <w:r>
        <w:rPr>
          <w:rFonts w:ascii="Times New Roman;Times;serif" w:hAnsi="Times New Roman;Times;serif"/>
          <w:b/>
          <w:color w:val="000080"/>
          <w:sz w:val="20"/>
        </w:rPr>
        <w:t>S</w:t>
      </w:r>
      <w:r>
        <w:rPr>
          <w:rFonts w:ascii="Times New Roman;Times;serif" w:hAnsi="Times New Roman;Times;serif"/>
          <w:b/>
          <w:color w:val="000080"/>
          <w:sz w:val="16"/>
        </w:rPr>
        <w:t>TATEMENTS</w:t>
      </w:r>
    </w:p>
    <w:p>
      <w:pPr>
        <w:pStyle w:val="TextBody"/>
        <w:bidi w:val="0"/>
        <w:spacing w:before="5" w:after="0"/>
        <w:ind w:left="0" w:right="0" w:hanging="0"/>
        <w:jc w:val="left"/>
        <w:rPr>
          <w:color w:val="000080"/>
        </w:rPr>
      </w:pPr>
      <w:r>
        <w:rPr>
          <w:color w:val="000080"/>
        </w:rPr>
        <w:t>​</w:t>
      </w:r>
    </w:p>
    <w:p>
      <w:pPr>
        <w:pStyle w:val="TextBody"/>
        <w:bidi w:val="0"/>
        <w:spacing w:lineRule="atLeast" w:line="322" w:before="1" w:after="0"/>
        <w:ind w:left="2062" w:right="2158" w:hanging="0"/>
        <w:jc w:val="center"/>
        <w:rPr>
          <w:rFonts w:ascii="Times New Roman;Times;serif" w:hAnsi="Times New Roman;Times;serif"/>
          <w:b/>
          <w:color w:val="000080"/>
          <w:sz w:val="28"/>
        </w:rPr>
      </w:pPr>
      <w:r>
        <w:rPr>
          <w:rFonts w:ascii="Times New Roman;Times;serif" w:hAnsi="Times New Roman;Times;serif"/>
          <w:b/>
          <w:color w:val="000080"/>
          <w:sz w:val="28"/>
        </w:rPr>
        <w:t>LMWS, LLC</w:t>
      </w:r>
    </w:p>
    <w:p>
      <w:pPr>
        <w:pStyle w:val="TextBody"/>
        <w:bidi w:val="0"/>
        <w:spacing w:lineRule="atLeast" w:line="207" w:before="0" w:after="0"/>
        <w:ind w:left="2062" w:right="2157" w:hanging="0"/>
        <w:jc w:val="center"/>
        <w:rPr>
          <w:rFonts w:ascii="Times New Roman;Times;serif" w:hAnsi="Times New Roman;Times;serif"/>
          <w:sz w:val="14"/>
        </w:rPr>
      </w:pPr>
      <w:r>
        <w:rPr>
          <w:rFonts w:ascii="Times New Roman;Times;serif" w:hAnsi="Times New Roman;Times;serif"/>
          <w:b/>
          <w:color w:val="000080"/>
          <w:sz w:val="18"/>
        </w:rPr>
        <w:t>(A D</w:t>
      </w:r>
      <w:r>
        <w:rPr>
          <w:rFonts w:ascii="Times New Roman;Times;serif" w:hAnsi="Times New Roman;Times;serif"/>
          <w:b/>
          <w:color w:val="000080"/>
          <w:sz w:val="14"/>
        </w:rPr>
        <w:t xml:space="preserve">ELAWARE </w:t>
      </w:r>
      <w:r>
        <w:rPr>
          <w:rFonts w:ascii="Times New Roman;Times;serif" w:hAnsi="Times New Roman;Times;serif"/>
          <w:b/>
          <w:color w:val="000080"/>
          <w:sz w:val="18"/>
        </w:rPr>
        <w:t>L</w:t>
      </w:r>
      <w:r>
        <w:rPr>
          <w:rFonts w:ascii="Times New Roman;Times;serif" w:hAnsi="Times New Roman;Times;serif"/>
          <w:b/>
          <w:color w:val="000080"/>
          <w:sz w:val="14"/>
        </w:rPr>
        <w:t xml:space="preserve">IMITED </w:t>
      </w:r>
      <w:r>
        <w:rPr>
          <w:rFonts w:ascii="Times New Roman;Times;serif" w:hAnsi="Times New Roman;Times;serif"/>
          <w:b/>
          <w:color w:val="000080"/>
          <w:sz w:val="18"/>
        </w:rPr>
        <w:t>L</w:t>
      </w:r>
      <w:r>
        <w:rPr>
          <w:rFonts w:ascii="Times New Roman;Times;serif" w:hAnsi="Times New Roman;Times;serif"/>
          <w:b/>
          <w:color w:val="000080"/>
          <w:sz w:val="14"/>
        </w:rPr>
        <w:t xml:space="preserve">IABILITY </w:t>
      </w:r>
      <w:r>
        <w:rPr>
          <w:rFonts w:ascii="Times New Roman;Times;serif" w:hAnsi="Times New Roman;Times;serif"/>
          <w:b/>
          <w:color w:val="000080"/>
          <w:sz w:val="18"/>
        </w:rPr>
        <w:t>C</w:t>
      </w:r>
      <w:r>
        <w:rPr>
          <w:rFonts w:ascii="Times New Roman;Times;serif" w:hAnsi="Times New Roman;Times;serif"/>
          <w:b/>
          <w:color w:val="000080"/>
          <w:sz w:val="14"/>
        </w:rPr>
        <w:t>OMPANY</w:t>
      </w:r>
      <w:r>
        <w:rPr>
          <w:rFonts w:ascii="Times New Roman;Times;serif" w:hAnsi="Times New Roman;Times;serif"/>
          <w:b/>
          <w:color w:val="000080"/>
          <w:sz w:val="18"/>
        </w:rPr>
        <w:t>)</w:t>
      </w:r>
    </w:p>
    <w:p>
      <w:pPr>
        <w:pStyle w:val="TextBody"/>
        <w:bidi w:val="0"/>
        <w:spacing w:before="5" w:after="0"/>
        <w:ind w:left="0" w:right="0" w:hanging="0"/>
        <w:jc w:val="left"/>
        <w:rPr>
          <w:color w:val="000080"/>
        </w:rPr>
      </w:pPr>
      <w:r>
        <w:rPr>
          <w:color w:val="000080"/>
        </w:rPr>
        <w:t>​</w:t>
      </w:r>
    </w:p>
    <w:p>
      <w:pPr>
        <w:pStyle w:val="TextBody"/>
        <w:bidi w:val="0"/>
        <w:spacing w:before="0" w:after="0"/>
        <w:ind w:left="2062" w:right="2158" w:hanging="0"/>
        <w:jc w:val="center"/>
        <w:rPr>
          <w:rFonts w:ascii="Times New Roman;Times;serif" w:hAnsi="Times New Roman;Times;serif"/>
          <w:sz w:val="16"/>
        </w:rPr>
      </w:pPr>
      <w:r>
        <w:rPr>
          <w:rFonts w:ascii="Times New Roman;Times;serif" w:hAnsi="Times New Roman;Times;serif"/>
          <w:b/>
          <w:color w:val="000080"/>
          <w:sz w:val="20"/>
        </w:rPr>
        <w:t>F</w:t>
      </w:r>
      <w:r>
        <w:rPr>
          <w:rFonts w:ascii="Times New Roman;Times;serif" w:hAnsi="Times New Roman;Times;serif"/>
          <w:b/>
          <w:color w:val="000080"/>
          <w:sz w:val="16"/>
        </w:rPr>
        <w:t xml:space="preserve">OR </w:t>
      </w:r>
      <w:r>
        <w:rPr>
          <w:rFonts w:ascii="Times New Roman;Times;serif" w:hAnsi="Times New Roman;Times;serif"/>
          <w:b/>
          <w:color w:val="000080"/>
          <w:sz w:val="20"/>
        </w:rPr>
        <w:t>T</w:t>
      </w:r>
      <w:r>
        <w:rPr>
          <w:rFonts w:ascii="Times New Roman;Times;serif" w:hAnsi="Times New Roman;Times;serif"/>
          <w:b/>
          <w:color w:val="000080"/>
          <w:sz w:val="16"/>
        </w:rPr>
        <w:t xml:space="preserve">HE </w:t>
      </w:r>
      <w:r>
        <w:rPr>
          <w:rFonts w:ascii="Times New Roman;Times;serif" w:hAnsi="Times New Roman;Times;serif"/>
          <w:b/>
          <w:color w:val="000080"/>
          <w:sz w:val="20"/>
        </w:rPr>
        <w:t>Y</w:t>
      </w:r>
      <w:r>
        <w:rPr>
          <w:rFonts w:ascii="Times New Roman;Times;serif" w:hAnsi="Times New Roman;Times;serif"/>
          <w:b/>
          <w:color w:val="000080"/>
          <w:sz w:val="16"/>
        </w:rPr>
        <w:t xml:space="preserve">EARS </w:t>
      </w:r>
      <w:r>
        <w:rPr>
          <w:rFonts w:ascii="Times New Roman;Times;serif" w:hAnsi="Times New Roman;Times;serif"/>
          <w:b/>
          <w:color w:val="000080"/>
          <w:sz w:val="20"/>
        </w:rPr>
        <w:t>E</w:t>
      </w:r>
      <w:r>
        <w:rPr>
          <w:rFonts w:ascii="Times New Roman;Times;serif" w:hAnsi="Times New Roman;Times;serif"/>
          <w:b/>
          <w:color w:val="000080"/>
          <w:sz w:val="16"/>
        </w:rPr>
        <w:t xml:space="preserve">NDED </w:t>
      </w:r>
      <w:r>
        <w:rPr>
          <w:rFonts w:ascii="Times New Roman;Times;serif" w:hAnsi="Times New Roman;Times;serif"/>
          <w:b/>
          <w:color w:val="000080"/>
          <w:sz w:val="20"/>
        </w:rPr>
        <w:t>D</w:t>
      </w:r>
      <w:r>
        <w:rPr>
          <w:rFonts w:ascii="Times New Roman;Times;serif" w:hAnsi="Times New Roman;Times;serif"/>
          <w:b/>
          <w:color w:val="000080"/>
          <w:sz w:val="16"/>
        </w:rPr>
        <w:t xml:space="preserve">ECEMBER </w:t>
      </w:r>
      <w:r>
        <w:rPr>
          <w:rFonts w:ascii="Times New Roman;Times;serif" w:hAnsi="Times New Roman;Times;serif"/>
          <w:b/>
          <w:color w:val="000080"/>
          <w:sz w:val="20"/>
        </w:rPr>
        <w:t xml:space="preserve">31, 2025, 2024 </w:t>
      </w:r>
      <w:r>
        <w:rPr>
          <w:rFonts w:ascii="Times New Roman;Times;serif" w:hAnsi="Times New Roman;Times;serif"/>
          <w:b/>
          <w:color w:val="000080"/>
          <w:sz w:val="16"/>
        </w:rPr>
        <w:t xml:space="preserve">AND </w:t>
      </w:r>
      <w:r>
        <w:rPr>
          <w:rFonts w:ascii="Times New Roman;Times;serif" w:hAnsi="Times New Roman;Times;serif"/>
          <w:b/>
          <w:color w:val="000080"/>
          <w:sz w:val="20"/>
        </w:rPr>
        <w:t>2023</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34" w:after="0"/>
        <w:ind w:left="2062" w:right="2158" w:hanging="0"/>
        <w:jc w:val="center"/>
        <w:rPr>
          <w:rFonts w:ascii="Arial;Helvetica;sans-serif" w:hAnsi="Arial;Helvetica;sans-serif"/>
          <w:b/>
          <w:sz w:val="40"/>
        </w:rPr>
      </w:pPr>
      <w:r>
        <w:rPr>
          <w:rFonts w:ascii="Arial;Helvetica;sans-serif" w:hAnsi="Arial;Helvetica;sans-serif"/>
          <w:b/>
          <w:sz w:val="40"/>
        </w:rPr>
        <w:t>Contents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891" w:type="dxa"/>
        <w:jc w:val="left"/>
        <w:tblInd w:w="0" w:type="dxa"/>
        <w:tblLayout w:type="fixed"/>
        <w:tblCellMar>
          <w:top w:w="0" w:type="dxa"/>
          <w:left w:w="0" w:type="dxa"/>
          <w:bottom w:w="0" w:type="dxa"/>
          <w:right w:w="0" w:type="dxa"/>
        </w:tblCellMar>
      </w:tblPr>
      <w:tblGrid>
        <w:gridCol w:w="2986"/>
        <w:gridCol w:w="109"/>
        <w:gridCol w:w="796"/>
      </w:tblGrid>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PAGE</w:t>
            </w:r>
          </w:p>
        </w:tc>
      </w:tr>
      <w:tr>
        <w:trPr/>
        <w:tc>
          <w:tcPr>
            <w:tcW w:w="2986" w:type="dxa"/>
            <w:tcBorders>
              <w:top w:val="single" w:sz="2" w:space="0" w:color="000000"/>
            </w:tcBorders>
            <w:tcMar>
              <w:top w:w="28" w:type="dxa"/>
            </w:tcMar>
            <w:vAlign w:val="center"/>
          </w:tcPr>
          <w:p>
            <w:pPr>
              <w:pStyle w:val="TableContents"/>
              <w:bidi w:val="0"/>
              <w:spacing w:before="91" w:after="283"/>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3"/>
              </w:rPr>
            </w:pPr>
            <w:r>
              <w:rPr>
                <w:rFonts w:ascii="Times New Roman;Times;serif" w:hAnsi="Times New Roman;Times;serif"/>
                <w:sz w:val="23"/>
              </w:rPr>
              <w:t>Independent Auditor’s Report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3"/>
              </w:rPr>
            </w:pPr>
            <w:r>
              <w:rPr>
                <w:rFonts w:ascii="Times New Roman;Times;serif" w:hAnsi="Times New Roman;Times;serif"/>
                <w:sz w:val="23"/>
              </w:rPr>
              <w:t>Financial Statements: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Balance</w:t>
            </w:r>
            <w:r>
              <w:rPr>
                <w:rFonts w:ascii="Times New Roman;Times;serif" w:hAnsi="Times New Roman;Times;serif"/>
                <w:spacing w:val="-1"/>
                <w:sz w:val="22"/>
              </w:rPr>
              <w:t xml:space="preserve"> </w:t>
            </w:r>
            <w:r>
              <w:rPr>
                <w:rFonts w:ascii="Times New Roman;Times;serif" w:hAnsi="Times New Roman;Times;serif"/>
                <w:sz w:val="22"/>
              </w:rPr>
              <w:t>Sheets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Statements</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Income</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Statements of</w:t>
            </w:r>
            <w:r>
              <w:rPr>
                <w:rFonts w:ascii="Times New Roman;Times;serif" w:hAnsi="Times New Roman;Times;serif"/>
                <w:spacing w:val="-3"/>
                <w:sz w:val="22"/>
              </w:rPr>
              <w:t xml:space="preserve"> </w:t>
            </w:r>
            <w:r>
              <w:rPr>
                <w:rFonts w:ascii="Times New Roman;Times;serif" w:hAnsi="Times New Roman;Times;serif"/>
                <w:sz w:val="22"/>
              </w:rPr>
              <w:t>Members</w:t>
            </w:r>
            <w:r>
              <w:rPr>
                <w:rFonts w:ascii="Times New Roman;Times;serif" w:hAnsi="Times New Roman;Times;serif"/>
                <w:spacing w:val="-1"/>
                <w:sz w:val="22"/>
              </w:rPr>
              <w:t xml:space="preserve"> </w:t>
            </w:r>
            <w:r>
              <w:rPr>
                <w:rFonts w:ascii="Times New Roman;Times;serif" w:hAnsi="Times New Roman;Times;serif"/>
                <w:sz w:val="22"/>
              </w:rPr>
              <w:t>Equity</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Statements of</w:t>
            </w:r>
            <w:r>
              <w:rPr>
                <w:rFonts w:ascii="Times New Roman;Times;serif" w:hAnsi="Times New Roman;Times;serif"/>
                <w:spacing w:val="-3"/>
                <w:sz w:val="22"/>
              </w:rPr>
              <w:t xml:space="preserve"> </w:t>
            </w:r>
            <w:r>
              <w:rPr>
                <w:rFonts w:ascii="Times New Roman;Times;serif" w:hAnsi="Times New Roman;Times;serif"/>
                <w:sz w:val="22"/>
              </w:rPr>
              <w:t>Cash</w:t>
            </w:r>
            <w:r>
              <w:rPr>
                <w:rFonts w:ascii="Times New Roman;Times;serif" w:hAnsi="Times New Roman;Times;serif"/>
                <w:spacing w:val="-1"/>
                <w:sz w:val="22"/>
              </w:rPr>
              <w:t xml:space="preserve"> </w:t>
            </w:r>
            <w:r>
              <w:rPr>
                <w:rFonts w:ascii="Times New Roman;Times;serif" w:hAnsi="Times New Roman;Times;serif"/>
                <w:sz w:val="22"/>
              </w:rPr>
              <w:t>Flows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w: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Notes to</w:t>
            </w:r>
            <w:r>
              <w:rPr>
                <w:rFonts w:ascii="Times New Roman;Times;serif" w:hAnsi="Times New Roman;Times;serif"/>
                <w:spacing w:val="-2"/>
                <w:sz w:val="22"/>
              </w:rPr>
              <w:t xml:space="preserve"> </w:t>
            </w:r>
            <w:r>
              <w:rPr>
                <w:rFonts w:ascii="Times New Roman;Times;serif" w:hAnsi="Times New Roman;Times;serif"/>
                <w:sz w:val="22"/>
              </w:rPr>
              <w:t>Financial</w:t>
            </w:r>
            <w:r>
              <w:rPr>
                <w:rFonts w:ascii="Times New Roman;Times;serif" w:hAnsi="Times New Roman;Times;serif"/>
                <w:spacing w:val="-1"/>
                <w:sz w:val="22"/>
              </w:rPr>
              <w:t xml:space="preserve"> </w:t>
            </w:r>
            <w:r>
              <w:rPr>
                <w:rFonts w:ascii="Times New Roman;Times;serif" w:hAnsi="Times New Roman;Times;serif"/>
                <w:sz w:val="22"/>
              </w:rPr>
              <w:t>Statements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103" w:after="0"/>
        <w:ind w:left="142" w:right="43" w:hanging="0"/>
        <w:jc w:val="center"/>
        <w:rPr>
          <w:color w:val="3F3F3F"/>
        </w:rPr>
      </w:pPr>
      <w:r>
        <w:rPr>
          <w:color w:val="3F3F3F"/>
        </w:rPr>
        <w:t>​</w:t>
      </w:r>
    </w:p>
    <w:p>
      <w:pPr>
        <w:pStyle w:val="TextBody"/>
        <w:bidi w:val="0"/>
        <w:spacing w:before="0" w:after="0"/>
        <w:ind w:left="0" w:right="0" w:hanging="0"/>
        <w:jc w:val="left"/>
        <w:rPr/>
      </w:pPr>
      <w:bookmarkStart w:id="2986" w:name="_Hlk190955081"/>
      <w:bookmarkEnd w:id="2986"/>
      <w:r>
        <w:rPr/>
        <w:drawing>
          <wp:inline distT="0" distB="0" distL="0" distR="0">
            <wp:extent cx="2392045" cy="618490"/>
            <wp:effectExtent l="0" t="0" r="0" b="0"/>
            <wp:docPr id="80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Image3" descr=""/>
                    <pic:cNvPicPr>
                      <a:picLocks noChangeAspect="1" noChangeArrowheads="1"/>
                    </pic:cNvPicPr>
                  </pic:nvPicPr>
                  <pic:blipFill>
                    <a:blip r:embed="rId18"/>
                    <a:stretch>
                      <a:fillRect/>
                    </a:stretch>
                  </pic:blipFill>
                  <pic:spPr bwMode="auto">
                    <a:xfrm>
                      <a:off x="0" y="0"/>
                      <a:ext cx="2392045" cy="618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71" w:after="0"/>
        <w:ind w:left="161" w:right="0" w:hanging="0"/>
        <w:jc w:val="left"/>
        <w:rPr>
          <w:color w:val="205767"/>
          <w:spacing w:val="-2"/>
        </w:rPr>
      </w:pPr>
      <w:r>
        <w:rPr>
          <w:color w:val="205767"/>
          <w:spacing w:val="-2"/>
        </w:rPr>
        <w:t>​</w:t>
      </w:r>
    </w:p>
    <w:p>
      <w:pPr>
        <w:pStyle w:val="TextBody"/>
        <w:bidi w:val="0"/>
        <w:spacing w:before="0" w:after="0"/>
        <w:ind w:left="161" w:right="0" w:hanging="0"/>
        <w:jc w:val="left"/>
        <w:rPr>
          <w:color w:val="205767"/>
          <w:spacing w:val="-2"/>
        </w:rPr>
      </w:pPr>
      <w:r>
        <w:rPr>
          <w:color w:val="205767"/>
          <w:spacing w:val="-2"/>
        </w:rPr>
        <w:t>​</w:t>
      </w:r>
    </w:p>
    <w:p>
      <w:pPr>
        <w:pStyle w:val="TextBody"/>
        <w:bidi w:val="0"/>
        <w:spacing w:before="0" w:after="0"/>
        <w:ind w:left="0" w:right="0" w:hanging="0"/>
        <w:jc w:val="center"/>
        <w:rPr/>
      </w:pPr>
      <w:r>
        <w:rPr/>
        <w:t>​</w:t>
      </w:r>
    </w:p>
    <w:p>
      <w:pPr>
        <w:pStyle w:val="TextBody"/>
        <w:bidi w:val="0"/>
        <w:spacing w:before="0" w:after="0"/>
        <w:ind w:left="609" w:right="552" w:hanging="0"/>
        <w:jc w:val="center"/>
        <w:rPr>
          <w:rFonts w:ascii="Times New Roman;Times;serif" w:hAnsi="Times New Roman;Times;serif"/>
          <w:sz w:val="22"/>
        </w:rPr>
      </w:pPr>
      <w:r>
        <w:rPr>
          <w:rFonts w:ascii="Arial;Helvetica;sans-serif" w:hAnsi="Arial;Helvetica;sans-serif"/>
          <w:b/>
          <w:smallCaps/>
          <w:color w:val="002060"/>
          <w:sz w:val="24"/>
        </w:rPr>
        <w:t>Independent</w:t>
      </w:r>
      <w:r>
        <w:rPr>
          <w:rFonts w:ascii="Times New Roman;Times;serif" w:hAnsi="Times New Roman;Times;serif"/>
          <w:smallCaps/>
          <w:color w:val="002060"/>
          <w:spacing w:val="-9"/>
          <w:sz w:val="22"/>
        </w:rPr>
        <w:t xml:space="preserve"> </w:t>
      </w:r>
      <w:r>
        <w:rPr>
          <w:rFonts w:ascii="Arial;Helvetica;sans-serif" w:hAnsi="Arial;Helvetica;sans-serif"/>
          <w:b/>
          <w:smallCaps/>
          <w:color w:val="002060"/>
          <w:sz w:val="24"/>
        </w:rPr>
        <w:t>Auditor’s</w:t>
      </w:r>
      <w:r>
        <w:rPr>
          <w:rFonts w:ascii="Times New Roman;Times;serif" w:hAnsi="Times New Roman;Times;serif"/>
          <w:smallCaps/>
          <w:color w:val="002060"/>
          <w:spacing w:val="-11"/>
          <w:sz w:val="22"/>
        </w:rPr>
        <w:t xml:space="preserve"> </w:t>
      </w:r>
      <w:r>
        <w:rPr>
          <w:rFonts w:ascii="Arial;Helvetica;sans-serif" w:hAnsi="Arial;Helvetica;sans-serif"/>
          <w:b/>
          <w:smallCaps/>
          <w:color w:val="002060"/>
          <w:spacing w:val="-2"/>
          <w:sz w:val="24"/>
        </w:rPr>
        <w:t>Report</w:t>
      </w:r>
    </w:p>
    <w:p>
      <w:pPr>
        <w:pStyle w:val="TextBody"/>
        <w:bidi w:val="0"/>
        <w:spacing w:before="0" w:after="0"/>
        <w:ind w:left="0" w:right="0" w:hanging="0"/>
        <w:jc w:val="left"/>
        <w:rPr/>
      </w:pPr>
      <w:r>
        <w:rPr/>
        <w:t>​</w:t>
      </w:r>
    </w:p>
    <w:p>
      <w:pPr>
        <w:pStyle w:val="TextBody"/>
        <w:pBdr/>
        <w:bidi w:val="0"/>
        <w:spacing w:before="0" w:after="0"/>
        <w:ind w:left="159" w:right="8015" w:hanging="2"/>
        <w:jc w:val="left"/>
        <w:rPr>
          <w:rFonts w:ascii="Times New Roman;Times;serif" w:hAnsi="Times New Roman;Times;serif"/>
          <w:sz w:val="21"/>
        </w:rPr>
      </w:pPr>
      <w:r>
        <w:rPr>
          <w:rFonts w:ascii="Times New Roman;Times;serif" w:hAnsi="Times New Roman;Times;serif"/>
          <w:color w:val="1A1A1A"/>
          <w:sz w:val="21"/>
        </w:rPr>
        <w:t>To</w:t>
      </w:r>
      <w:r>
        <w:rPr>
          <w:rFonts w:ascii="Times New Roman;Times;serif" w:hAnsi="Times New Roman;Times;serif"/>
          <w:color w:val="1A1A1A"/>
          <w:spacing w:val="-12"/>
          <w:sz w:val="21"/>
        </w:rPr>
        <w:t xml:space="preserve"> </w:t>
      </w:r>
      <w:r>
        <w:rPr>
          <w:rFonts w:ascii="Times New Roman;Times;serif" w:hAnsi="Times New Roman;Times;serif"/>
          <w:color w:val="1A1A1A"/>
          <w:sz w:val="21"/>
        </w:rPr>
        <w:t>the</w:t>
      </w:r>
      <w:r>
        <w:rPr>
          <w:rFonts w:ascii="Times New Roman;Times;serif" w:hAnsi="Times New Roman;Times;serif"/>
          <w:color w:val="1A1A1A"/>
          <w:spacing w:val="-12"/>
          <w:sz w:val="21"/>
        </w:rPr>
        <w:t xml:space="preserve"> </w:t>
      </w:r>
      <w:r>
        <w:rPr>
          <w:rFonts w:ascii="Times New Roman;Times;serif" w:hAnsi="Times New Roman;Times;serif"/>
          <w:color w:val="1A1A1A"/>
          <w:sz w:val="21"/>
        </w:rPr>
        <w:t xml:space="preserve">Members </w:t>
      </w:r>
    </w:p>
    <w:p>
      <w:pPr>
        <w:pStyle w:val="TextBody"/>
        <w:pBdr/>
        <w:bidi w:val="0"/>
        <w:spacing w:before="0" w:after="0"/>
        <w:ind w:left="159" w:right="8015" w:hanging="2"/>
        <w:jc w:val="left"/>
        <w:rPr>
          <w:rFonts w:ascii="Times New Roman;Times;serif" w:hAnsi="Times New Roman;Times;serif"/>
          <w:color w:val="1A1A1A"/>
          <w:spacing w:val="-2"/>
          <w:sz w:val="21"/>
        </w:rPr>
      </w:pPr>
      <w:r>
        <w:rPr>
          <w:rFonts w:ascii="Times New Roman;Times;serif" w:hAnsi="Times New Roman;Times;serif"/>
          <w:color w:val="1A1A1A"/>
          <w:spacing w:val="-2"/>
          <w:sz w:val="21"/>
        </w:rPr>
        <w:t>LMWS, LLC</w:t>
      </w:r>
    </w:p>
    <w:p>
      <w:pPr>
        <w:pStyle w:val="TextBody"/>
        <w:bidi w:val="0"/>
        <w:spacing w:before="0" w:after="0"/>
        <w:ind w:left="0" w:right="0" w:hanging="0"/>
        <w:jc w:val="left"/>
        <w:rPr/>
      </w:pPr>
      <w:r>
        <w:rPr/>
        <w:t>​</w:t>
      </w:r>
    </w:p>
    <w:p>
      <w:pPr>
        <w:pStyle w:val="TextBody"/>
        <w:bidi w:val="0"/>
        <w:spacing w:before="91" w:after="0"/>
        <w:ind w:left="160" w:right="0" w:hanging="0"/>
        <w:jc w:val="left"/>
        <w:rPr>
          <w:rFonts w:ascii="Times New Roman;Times;serif" w:hAnsi="Times New Roman;Times;serif"/>
          <w:b/>
          <w:sz w:val="22"/>
        </w:rPr>
      </w:pPr>
      <w:r>
        <w:rPr>
          <w:rFonts w:ascii="Times New Roman;Times;serif" w:hAnsi="Times New Roman;Times;serif"/>
          <w:b/>
          <w:sz w:val="22"/>
        </w:rPr>
        <w:t>Opinion</w:t>
      </w:r>
    </w:p>
    <w:p>
      <w:pPr>
        <w:pStyle w:val="TextBody"/>
        <w:bidi w:val="0"/>
        <w:spacing w:before="117" w:after="0"/>
        <w:ind w:left="160" w:right="260" w:hanging="0"/>
        <w:jc w:val="both"/>
        <w:rPr>
          <w:rFonts w:ascii="Times New Roman;Times;serif" w:hAnsi="Times New Roman;Times;serif"/>
          <w:sz w:val="21"/>
        </w:rPr>
      </w:pPr>
      <w:r>
        <w:rPr>
          <w:rFonts w:ascii="Times New Roman;Times;serif" w:hAnsi="Times New Roman;Times;serif"/>
          <w:sz w:val="21"/>
        </w:rPr>
        <w:t>We have audited the accompanying financial statements of LMWS, LLC (the “Company”) (a Delaware Limited Liability Company), which comprise the balance sheets as of December 31, 2025 and 2024, and the related statements of income, members’ equity, and cash flows for each of the three years in the period ended December 31, 2025, and the related notes to the financial statements.</w:t>
      </w:r>
    </w:p>
    <w:p>
      <w:pPr>
        <w:pStyle w:val="TextBody"/>
        <w:bidi w:val="0"/>
        <w:spacing w:before="121" w:after="0"/>
        <w:ind w:left="160" w:right="271" w:hanging="0"/>
        <w:jc w:val="both"/>
        <w:rPr>
          <w:rFonts w:ascii="Times New Roman;Times;serif" w:hAnsi="Times New Roman;Times;serif"/>
          <w:sz w:val="21"/>
        </w:rPr>
      </w:pPr>
      <w:r>
        <w:rPr>
          <w:rFonts w:ascii="Times New Roman;Times;serif" w:hAnsi="Times New Roman;Times;serif"/>
          <w:sz w:val="21"/>
        </w:rPr>
        <w:t>In our opinion, the financial statements referred to above present fairly, in all material respects, the financial position of LMWS, LLC as of December 31, 2025 and 2024, and the results of its operations and its cash flows for each of the three years in the period ended December 31, 2025, in accordance with accounting principles generally accepted in the United States of</w:t>
      </w:r>
      <w:r>
        <w:rPr>
          <w:rFonts w:ascii="Times New Roman;Times;serif" w:hAnsi="Times New Roman;Times;serif"/>
          <w:spacing w:val="-9"/>
          <w:sz w:val="21"/>
        </w:rPr>
        <w:t xml:space="preserve"> </w:t>
      </w:r>
      <w:r>
        <w:rPr>
          <w:rFonts w:ascii="Times New Roman;Times;serif" w:hAnsi="Times New Roman;Times;serif"/>
          <w:sz w:val="21"/>
        </w:rPr>
        <w:t>America.</w:t>
      </w:r>
    </w:p>
    <w:p>
      <w:pPr>
        <w:pStyle w:val="TextBody"/>
        <w:bidi w:val="0"/>
        <w:spacing w:before="121" w:after="0"/>
        <w:ind w:left="160" w:right="0" w:hanging="0"/>
        <w:jc w:val="both"/>
        <w:rPr>
          <w:rFonts w:ascii="Times New Roman;Times;serif" w:hAnsi="Times New Roman;Times;serif"/>
          <w:b/>
          <w:sz w:val="22"/>
        </w:rPr>
      </w:pPr>
      <w:r>
        <w:rPr>
          <w:rFonts w:ascii="Times New Roman;Times;serif" w:hAnsi="Times New Roman;Times;serif"/>
          <w:b/>
          <w:sz w:val="22"/>
        </w:rPr>
        <w:t>Basis for Opinion</w:t>
      </w:r>
    </w:p>
    <w:p>
      <w:pPr>
        <w:pStyle w:val="TextBody"/>
        <w:bidi w:val="0"/>
        <w:spacing w:before="119" w:after="0"/>
        <w:ind w:left="160" w:right="258" w:hanging="0"/>
        <w:jc w:val="both"/>
        <w:rPr>
          <w:rFonts w:ascii="Times New Roman;Times;serif" w:hAnsi="Times New Roman;Times;serif"/>
          <w:sz w:val="21"/>
        </w:rPr>
      </w:pPr>
      <w:r>
        <w:rPr>
          <w:rFonts w:ascii="Times New Roman;Times;serif" w:hAnsi="Times New Roman;Times;serif"/>
          <w:sz w:val="21"/>
        </w:rPr>
        <w:t>We conducted our audits in accordance with auditing standards generally accepted in the United States of America. Our responsibilities under those standards are further described in the Auditor’s Responsibilities for the Audit of the Financial Statements section of our report. We are required to be independent of LMWS, LLC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121" w:after="0"/>
        <w:ind w:left="160" w:right="0" w:hanging="0"/>
        <w:jc w:val="both"/>
        <w:rPr>
          <w:rFonts w:ascii="Times New Roman;Times;serif" w:hAnsi="Times New Roman;Times;serif"/>
          <w:b/>
          <w:sz w:val="22"/>
        </w:rPr>
      </w:pPr>
      <w:r>
        <w:rPr>
          <w:rFonts w:ascii="Times New Roman;Times;serif" w:hAnsi="Times New Roman;Times;serif"/>
          <w:b/>
          <w:sz w:val="22"/>
        </w:rPr>
        <w:t>Responsibilities of Management for the Financial Statements</w:t>
      </w:r>
    </w:p>
    <w:p>
      <w:pPr>
        <w:pStyle w:val="TextBody"/>
        <w:bidi w:val="0"/>
        <w:spacing w:before="117" w:after="0"/>
        <w:ind w:left="160" w:right="263" w:hanging="0"/>
        <w:jc w:val="both"/>
        <w:rPr>
          <w:rFonts w:ascii="Times New Roman;Times;serif" w:hAnsi="Times New Roman;Times;serif"/>
          <w:sz w:val="21"/>
        </w:rPr>
      </w:pPr>
      <w:r>
        <w:rPr>
          <w:rFonts w:ascii="Times New Roman;Times;serif" w:hAnsi="Times New Roman;Times;serif"/>
          <w:sz w:val="21"/>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110" w:after="0"/>
        <w:ind w:left="160" w:right="268" w:hanging="0"/>
        <w:jc w:val="both"/>
        <w:rPr>
          <w:rFonts w:ascii="Times New Roman;Times;serif" w:hAnsi="Times New Roman;Times;serif"/>
          <w:sz w:val="21"/>
        </w:rPr>
      </w:pPr>
      <w:r>
        <w:rPr>
          <w:rFonts w:ascii="Times New Roman;Times;serif" w:hAnsi="Times New Roman;Times;serif"/>
          <w:sz w:val="21"/>
        </w:rPr>
        <w:t>In preparing the financial statements, management is required to evaluate whether there are conditions or events, considered in the aggregate, that raise substantial doubt about LMWS, LLC’s ability to continue as a going concern within one year after the date that the financial statements are available to be issued.</w:t>
      </w:r>
    </w:p>
    <w:p>
      <w:pPr>
        <w:pStyle w:val="TextBody"/>
        <w:bidi w:val="0"/>
        <w:spacing w:before="122" w:after="0"/>
        <w:ind w:left="160" w:right="0" w:hanging="0"/>
        <w:jc w:val="both"/>
        <w:rPr>
          <w:rFonts w:ascii="Times New Roman;Times;serif" w:hAnsi="Times New Roman;Times;serif"/>
          <w:b/>
          <w:sz w:val="22"/>
        </w:rPr>
      </w:pPr>
      <w:r>
        <w:rPr>
          <w:rFonts w:ascii="Times New Roman;Times;serif" w:hAnsi="Times New Roman;Times;serif"/>
          <w:b/>
          <w:sz w:val="22"/>
        </w:rPr>
        <w:t>Auditor’s Responsibilities for the Audits of the Financial Statements</w:t>
      </w:r>
    </w:p>
    <w:p>
      <w:pPr>
        <w:pStyle w:val="TextBody"/>
        <w:bidi w:val="0"/>
        <w:spacing w:before="119" w:after="0"/>
        <w:ind w:left="160" w:right="266" w:hanging="0"/>
        <w:jc w:val="both"/>
        <w:rPr>
          <w:rFonts w:ascii="Times New Roman;Times;serif" w:hAnsi="Times New Roman;Times;serif"/>
          <w:sz w:val="21"/>
        </w:rPr>
      </w:pPr>
      <w:r>
        <w:rPr>
          <w:rFonts w:ascii="Times New Roman;Times;serif" w:hAnsi="Times New Roman;Times;serif"/>
          <w:sz w:val="21"/>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w:t>
      </w:r>
    </w:p>
    <w:p>
      <w:pPr>
        <w:pStyle w:val="TextBody"/>
        <w:bidi w:val="0"/>
        <w:spacing w:before="173" w:after="0"/>
        <w:ind w:left="160" w:right="257" w:hanging="0"/>
        <w:jc w:val="both"/>
        <w:rPr>
          <w:rFonts w:ascii="Times New Roman;Times;serif" w:hAnsi="Times New Roman;Times;serif"/>
          <w:sz w:val="21"/>
        </w:rPr>
      </w:pPr>
      <w:r>
        <w:rPr>
          <w:rFonts w:ascii="Times New Roman;Times;serif" w:hAnsi="Times New Roman;Times;serif"/>
          <w:sz w:val="21"/>
        </w:rPr>
        <w:t>Misstatements are considered material if there is a substantial likelihood that, individually or in the aggregate, they would influence the judgment made by a reasonable user based on the financial</w:t>
      </w:r>
      <w:r>
        <w:rPr>
          <w:rFonts w:ascii="Times New Roman;Times;serif" w:hAnsi="Times New Roman;Times;serif"/>
          <w:spacing w:val="-26"/>
          <w:sz w:val="21"/>
        </w:rPr>
        <w:t xml:space="preserve"> </w:t>
      </w:r>
      <w:r>
        <w:rPr>
          <w:rFonts w:ascii="Times New Roman;Times;serif" w:hAnsi="Times New Roman;Times;serif"/>
          <w:sz w:val="21"/>
        </w:rPr>
        <w:t>statements.</w:t>
      </w:r>
    </w:p>
    <w:p>
      <w:pPr>
        <w:pStyle w:val="TextBody"/>
        <w:bidi w:val="0"/>
        <w:spacing w:before="119" w:after="0"/>
        <w:ind w:left="160" w:right="266" w:hanging="0"/>
        <w:jc w:val="both"/>
        <w:rPr/>
      </w:pPr>
      <w:r>
        <w:rPr/>
        <w:t>​</w:t>
      </w:r>
    </w:p>
    <w:p>
      <w:pPr>
        <w:pStyle w:val="TextBody"/>
        <w:bidi w:val="0"/>
        <w:spacing w:before="0" w:after="0"/>
        <w:ind w:left="872" w:right="0" w:hanging="0"/>
        <w:jc w:val="left"/>
        <w:rPr/>
      </w:pPr>
      <w:r>
        <w:rPr/>
        <w:t>​</w:t>
      </w:r>
    </w:p>
    <w:tbl>
      <w:tblPr>
        <w:tblW w:w="7382" w:type="dxa"/>
        <w:jc w:val="left"/>
        <w:tblInd w:w="0" w:type="dxa"/>
        <w:tblLayout w:type="fixed"/>
        <w:tblCellMar>
          <w:top w:w="0" w:type="dxa"/>
          <w:left w:w="0" w:type="dxa"/>
          <w:bottom w:w="0" w:type="dxa"/>
          <w:right w:w="0" w:type="dxa"/>
        </w:tblCellMar>
      </w:tblPr>
      <w:tblGrid>
        <w:gridCol w:w="1711"/>
        <w:gridCol w:w="1651"/>
        <w:gridCol w:w="1921"/>
        <w:gridCol w:w="799"/>
        <w:gridCol w:w="1300"/>
      </w:tblGrid>
      <w:tr>
        <w:trPr/>
        <w:tc>
          <w:tcPr>
            <w:tcW w:w="1711"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c>
          <w:tcPr>
            <w:tcW w:w="1300"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114" w:after="0"/>
              <w:ind w:left="0" w:right="0" w:hanging="0"/>
              <w:jc w:val="left"/>
              <w:rPr>
                <w:rFonts w:ascii="Verdana" w:hAnsi="Verdana"/>
                <w:color w:val="003A90"/>
                <w:sz w:val="11"/>
              </w:rPr>
            </w:pPr>
            <w:r>
              <w:rPr>
                <w:rFonts w:ascii="Verdana" w:hAnsi="Verdana"/>
                <w:color w:val="003A90"/>
                <w:sz w:val="11"/>
              </w:rPr>
              <w:t>MIAMI</w:t>
            </w:r>
          </w:p>
          <w:p>
            <w:pPr>
              <w:pStyle w:val="TableContents"/>
              <w:bidi w:val="0"/>
              <w:spacing w:before="24" w:after="0"/>
              <w:ind w:left="0" w:right="0" w:hanging="0"/>
              <w:jc w:val="left"/>
              <w:rPr>
                <w:rFonts w:ascii="Verdana" w:hAnsi="Verdana"/>
                <w:color w:val="585858"/>
                <w:sz w:val="11"/>
              </w:rPr>
            </w:pPr>
            <w:r>
              <w:rPr>
                <w:rFonts w:ascii="Verdana" w:hAnsi="Verdana"/>
                <w:color w:val="585858"/>
                <w:sz w:val="11"/>
              </w:rPr>
              <w:t>4770 Biscayne Blvd., Suite 400</w:t>
            </w:r>
          </w:p>
          <w:p>
            <w:pPr>
              <w:pStyle w:val="TableContents"/>
              <w:bidi w:val="0"/>
              <w:spacing w:before="26" w:after="0"/>
              <w:ind w:left="0" w:right="0" w:hanging="0"/>
              <w:jc w:val="left"/>
              <w:rPr>
                <w:rFonts w:ascii="Verdana" w:hAnsi="Verdana"/>
                <w:color w:val="585858"/>
                <w:sz w:val="11"/>
              </w:rPr>
            </w:pPr>
            <w:r>
              <w:rPr>
                <w:rFonts w:ascii="Verdana" w:hAnsi="Verdana"/>
                <w:color w:val="585858"/>
                <w:sz w:val="11"/>
              </w:rPr>
              <w:t>Miami, FL 33137</w:t>
            </w:r>
          </w:p>
          <w:p>
            <w:pPr>
              <w:pStyle w:val="TableContents"/>
              <w:bidi w:val="0"/>
              <w:spacing w:before="0" w:after="0"/>
              <w:ind w:left="0" w:right="0" w:hanging="0"/>
              <w:jc w:val="left"/>
              <w:rPr>
                <w:rFonts w:ascii="Times New Roman;Times;serif" w:hAnsi="Times New Roman;Times;serif"/>
                <w:sz w:val="10"/>
              </w:rPr>
            </w:pPr>
            <w:r>
              <w:rPr>
                <w:rFonts w:ascii="Verdana" w:hAnsi="Verdana"/>
                <w:color w:val="585858"/>
                <w:sz w:val="11"/>
              </w:rPr>
              <w:t>T. (305)</w:t>
            </w:r>
            <w:r>
              <w:rPr>
                <w:rFonts w:ascii="Times New Roman;Times;serif" w:hAnsi="Times New Roman;Times;serif"/>
                <w:color w:val="585858"/>
                <w:spacing w:val="-6"/>
                <w:sz w:val="10"/>
              </w:rPr>
              <w:t xml:space="preserve"> </w:t>
            </w:r>
            <w:r>
              <w:rPr>
                <w:rFonts w:ascii="Verdana" w:hAnsi="Verdana"/>
                <w:color w:val="585858"/>
                <w:sz w:val="11"/>
              </w:rPr>
              <w:t>868-3600</w:t>
            </w:r>
          </w:p>
          <w:p>
            <w:pPr>
              <w:pStyle w:val="TableContents"/>
              <w:bidi w:val="0"/>
              <w:spacing w:before="26" w:after="0"/>
              <w:ind w:left="0" w:right="0" w:hanging="0"/>
              <w:jc w:val="left"/>
              <w:rPr>
                <w:rFonts w:ascii="Times New Roman;Times;serif" w:hAnsi="Times New Roman;Times;serif"/>
                <w:sz w:val="10"/>
              </w:rPr>
            </w:pPr>
            <w:r>
              <w:rPr>
                <w:rFonts w:ascii="Verdana" w:hAnsi="Verdana"/>
                <w:color w:val="585858"/>
                <w:sz w:val="11"/>
              </w:rPr>
              <w:t>F. (305)</w:t>
            </w:r>
            <w:r>
              <w:rPr>
                <w:rFonts w:ascii="Times New Roman;Times;serif" w:hAnsi="Times New Roman;Times;serif"/>
                <w:color w:val="585858"/>
                <w:spacing w:val="-8"/>
                <w:sz w:val="10"/>
              </w:rPr>
              <w:t xml:space="preserve"> </w:t>
            </w:r>
            <w:r>
              <w:rPr>
                <w:rFonts w:ascii="Verdana" w:hAnsi="Verdana"/>
                <w:color w:val="585858"/>
                <w:sz w:val="11"/>
              </w:rPr>
              <w:t>864-6740</w:t>
            </w:r>
          </w:p>
          <w:p>
            <w:pPr>
              <w:pStyle w:val="TableContents"/>
              <w:bidi w:val="0"/>
              <w:spacing w:before="114" w:after="0"/>
              <w:ind w:left="0" w:right="0" w:hanging="0"/>
              <w:jc w:val="left"/>
              <w:rPr>
                <w:color w:val="205767"/>
              </w:rPr>
            </w:pPr>
            <w:r>
              <w:rPr>
                <w:color w:val="205767"/>
              </w:rPr>
              <w:t>​</w:t>
            </w:r>
          </w:p>
        </w:tc>
        <w:tc>
          <w:tcPr>
            <w:tcW w:w="1651" w:type="dxa"/>
            <w:tcBorders/>
            <w:vAlign w:val="center"/>
          </w:tcPr>
          <w:p>
            <w:pPr>
              <w:pStyle w:val="TableContents"/>
              <w:bidi w:val="0"/>
              <w:spacing w:before="114" w:after="0"/>
              <w:ind w:left="0" w:right="0" w:hanging="0"/>
              <w:jc w:val="left"/>
              <w:rPr>
                <w:rFonts w:ascii="Verdana" w:hAnsi="Verdana"/>
                <w:color w:val="003A90"/>
                <w:sz w:val="11"/>
              </w:rPr>
            </w:pPr>
            <w:r>
              <w:rPr>
                <w:rFonts w:ascii="Verdana" w:hAnsi="Verdana"/>
                <w:color w:val="003A90"/>
                <w:sz w:val="11"/>
              </w:rPr>
              <w:t>BOCA RATON</w:t>
            </w:r>
          </w:p>
          <w:p>
            <w:pPr>
              <w:pStyle w:val="TableContents"/>
              <w:bidi w:val="0"/>
              <w:spacing w:before="24" w:after="0"/>
              <w:ind w:left="0" w:right="0" w:hanging="0"/>
              <w:jc w:val="left"/>
              <w:rPr>
                <w:rFonts w:ascii="Verdana" w:hAnsi="Verdana"/>
                <w:color w:val="585858"/>
                <w:sz w:val="11"/>
              </w:rPr>
            </w:pPr>
            <w:r>
              <w:rPr>
                <w:rFonts w:ascii="Verdana" w:hAnsi="Verdana"/>
                <w:color w:val="585858"/>
                <w:sz w:val="11"/>
              </w:rPr>
              <w:t xml:space="preserve">1951 NW 19 Street, Suite 200 </w:t>
            </w:r>
          </w:p>
          <w:p>
            <w:pPr>
              <w:pStyle w:val="TableContents"/>
              <w:bidi w:val="0"/>
              <w:spacing w:before="24" w:after="0"/>
              <w:ind w:left="0" w:right="0" w:hanging="0"/>
              <w:jc w:val="left"/>
              <w:rPr>
                <w:rFonts w:ascii="Verdana" w:hAnsi="Verdana"/>
                <w:color w:val="585858"/>
                <w:sz w:val="11"/>
              </w:rPr>
            </w:pPr>
            <w:r>
              <w:rPr>
                <w:rFonts w:ascii="Verdana" w:hAnsi="Verdana"/>
                <w:color w:val="585858"/>
                <w:sz w:val="11"/>
              </w:rPr>
              <w:t>Boca Raton, FL 33431</w:t>
            </w:r>
          </w:p>
          <w:p>
            <w:pPr>
              <w:pStyle w:val="TableContents"/>
              <w:bidi w:val="0"/>
              <w:spacing w:before="24" w:after="0"/>
              <w:ind w:left="0" w:right="0" w:hanging="0"/>
              <w:jc w:val="left"/>
              <w:rPr>
                <w:rFonts w:ascii="Verdana" w:hAnsi="Verdana"/>
                <w:color w:val="585858"/>
                <w:sz w:val="11"/>
              </w:rPr>
            </w:pPr>
            <w:r>
              <w:rPr>
                <w:rFonts w:ascii="Verdana" w:hAnsi="Verdana"/>
                <w:color w:val="585858"/>
                <w:sz w:val="11"/>
              </w:rPr>
              <w:t>T. (561) 392-9059</w:t>
            </w:r>
          </w:p>
          <w:p>
            <w:pPr>
              <w:pStyle w:val="TableContents"/>
              <w:bidi w:val="0"/>
              <w:spacing w:before="24" w:after="0"/>
              <w:ind w:left="0" w:right="0" w:hanging="0"/>
              <w:jc w:val="left"/>
              <w:rPr>
                <w:rFonts w:ascii="Verdana" w:hAnsi="Verdana"/>
                <w:color w:val="585858"/>
                <w:sz w:val="11"/>
              </w:rPr>
            </w:pPr>
            <w:r>
              <w:rPr>
                <w:rFonts w:ascii="Verdana" w:hAnsi="Verdana"/>
                <w:color w:val="585858"/>
                <w:sz w:val="11"/>
              </w:rPr>
              <w:t>F. (561) 372-7957</w:t>
            </w:r>
          </w:p>
          <w:p>
            <w:pPr>
              <w:pStyle w:val="TableContents"/>
              <w:bidi w:val="0"/>
              <w:spacing w:before="114" w:after="0"/>
              <w:ind w:left="0" w:right="0" w:hanging="0"/>
              <w:jc w:val="left"/>
              <w:rPr>
                <w:color w:val="205767"/>
              </w:rPr>
            </w:pPr>
            <w:r>
              <w:rPr>
                <w:color w:val="205767"/>
              </w:rPr>
              <w:t>​</w:t>
            </w:r>
          </w:p>
        </w:tc>
        <w:tc>
          <w:tcPr>
            <w:tcW w:w="1921" w:type="dxa"/>
            <w:tcBorders/>
            <w:vAlign w:val="center"/>
          </w:tcPr>
          <w:p>
            <w:pPr>
              <w:pStyle w:val="TableContents"/>
              <w:bidi w:val="0"/>
              <w:spacing w:before="114" w:after="0"/>
              <w:ind w:left="0" w:right="0" w:hanging="0"/>
              <w:jc w:val="left"/>
              <w:rPr>
                <w:rFonts w:ascii="Verdana" w:hAnsi="Verdana"/>
                <w:color w:val="003A90"/>
                <w:sz w:val="11"/>
              </w:rPr>
            </w:pPr>
            <w:r>
              <w:rPr>
                <w:rFonts w:ascii="Verdana" w:hAnsi="Verdana"/>
                <w:color w:val="003A90"/>
                <w:sz w:val="11"/>
              </w:rPr>
              <w:t>DENVER</w:t>
            </w:r>
          </w:p>
          <w:p>
            <w:pPr>
              <w:pStyle w:val="TableContents"/>
              <w:bidi w:val="0"/>
              <w:spacing w:before="24" w:after="0"/>
              <w:ind w:left="0" w:right="0" w:hanging="0"/>
              <w:jc w:val="left"/>
              <w:rPr>
                <w:rFonts w:ascii="Verdana" w:hAnsi="Verdana"/>
                <w:color w:val="585858"/>
                <w:sz w:val="11"/>
              </w:rPr>
            </w:pPr>
            <w:r>
              <w:rPr>
                <w:rFonts w:ascii="Verdana" w:hAnsi="Verdana"/>
                <w:color w:val="585858"/>
                <w:sz w:val="11"/>
              </w:rPr>
              <w:t xml:space="preserve">720 S. Colorado Blvd., Suite 530-S </w:t>
            </w:r>
          </w:p>
          <w:p>
            <w:pPr>
              <w:pStyle w:val="TableContents"/>
              <w:bidi w:val="0"/>
              <w:spacing w:before="24" w:after="0"/>
              <w:ind w:left="0" w:right="0" w:hanging="0"/>
              <w:jc w:val="left"/>
              <w:rPr>
                <w:rFonts w:ascii="Verdana" w:hAnsi="Verdana"/>
                <w:color w:val="585858"/>
                <w:sz w:val="11"/>
              </w:rPr>
            </w:pPr>
            <w:r>
              <w:rPr>
                <w:rFonts w:ascii="Verdana" w:hAnsi="Verdana"/>
                <w:color w:val="585858"/>
                <w:sz w:val="11"/>
              </w:rPr>
              <w:t>Denver, CO 80246</w:t>
            </w:r>
          </w:p>
          <w:p>
            <w:pPr>
              <w:pStyle w:val="TableContents"/>
              <w:bidi w:val="0"/>
              <w:spacing w:before="24" w:after="0"/>
              <w:ind w:left="0" w:right="0" w:hanging="0"/>
              <w:jc w:val="left"/>
              <w:rPr>
                <w:rFonts w:ascii="Verdana" w:hAnsi="Verdana"/>
                <w:color w:val="585858"/>
                <w:sz w:val="11"/>
              </w:rPr>
            </w:pPr>
            <w:r>
              <w:rPr>
                <w:rFonts w:ascii="Verdana" w:hAnsi="Verdana"/>
                <w:color w:val="585858"/>
                <w:sz w:val="11"/>
              </w:rPr>
              <w:t>T. (303) 600-0305</w:t>
            </w:r>
          </w:p>
          <w:p>
            <w:pPr>
              <w:pStyle w:val="TableContents"/>
              <w:bidi w:val="0"/>
              <w:spacing w:before="24" w:after="0"/>
              <w:ind w:left="0" w:right="0" w:hanging="0"/>
              <w:jc w:val="left"/>
              <w:rPr>
                <w:rFonts w:ascii="Verdana" w:hAnsi="Verdana"/>
                <w:color w:val="585858"/>
                <w:sz w:val="11"/>
              </w:rPr>
            </w:pPr>
            <w:r>
              <w:rPr>
                <w:rFonts w:ascii="Verdana" w:hAnsi="Verdana"/>
                <w:color w:val="585858"/>
                <w:sz w:val="11"/>
              </w:rPr>
              <w:t>F. (303) 200-7295</w:t>
            </w:r>
          </w:p>
          <w:p>
            <w:pPr>
              <w:pStyle w:val="TableContents"/>
              <w:bidi w:val="0"/>
              <w:spacing w:before="26" w:after="0"/>
              <w:ind w:left="0" w:right="0" w:hanging="0"/>
              <w:jc w:val="left"/>
              <w:rPr>
                <w:color w:val="205767"/>
              </w:rPr>
            </w:pPr>
            <w:r>
              <w:rPr>
                <w:color w:val="205767"/>
              </w:rPr>
              <w:t>​</w:t>
            </w:r>
          </w:p>
        </w:tc>
        <w:tc>
          <w:tcPr>
            <w:tcW w:w="799" w:type="dxa"/>
            <w:tcBorders/>
            <w:vAlign w:val="center"/>
          </w:tcPr>
          <w:p>
            <w:pPr>
              <w:pStyle w:val="TableContents"/>
              <w:bidi w:val="0"/>
              <w:spacing w:before="26" w:after="0"/>
              <w:ind w:left="157" w:right="18" w:hanging="0"/>
              <w:jc w:val="center"/>
              <w:rPr/>
            </w:pPr>
            <w:r>
              <w:rPr/>
              <w:t>​</w:t>
            </w:r>
          </w:p>
          <w:p>
            <w:pPr>
              <w:pStyle w:val="TableContents"/>
              <w:bidi w:val="0"/>
              <w:spacing w:before="26" w:after="0"/>
              <w:ind w:left="157" w:right="18" w:hanging="0"/>
              <w:jc w:val="center"/>
              <w:rPr>
                <w:rFonts w:ascii="Times New Roman;Times;serif" w:hAnsi="Times New Roman;Times;serif"/>
                <w:sz w:val="10"/>
              </w:rPr>
            </w:pPr>
            <w:r>
              <w:rPr>
                <w:rFonts w:ascii="Verdana" w:hAnsi="Verdana"/>
                <w:sz w:val="11"/>
              </w:rPr>
              <w:t>Visit</w:t>
            </w:r>
            <w:r>
              <w:rPr>
                <w:rFonts w:ascii="Times New Roman;Times;serif" w:hAnsi="Times New Roman;Times;serif"/>
                <w:spacing w:val="-2"/>
                <w:sz w:val="10"/>
              </w:rPr>
              <w:t xml:space="preserve"> </w:t>
            </w:r>
            <w:r>
              <w:rPr>
                <w:rFonts w:ascii="Verdana" w:hAnsi="Verdana"/>
                <w:sz w:val="11"/>
              </w:rPr>
              <w:t>website</w:t>
            </w:r>
          </w:p>
          <w:p>
            <w:pPr>
              <w:pStyle w:val="TableContents"/>
              <w:bidi w:val="0"/>
              <w:spacing w:before="26" w:after="0"/>
              <w:ind w:left="0" w:right="0" w:hanging="0"/>
              <w:jc w:val="center"/>
              <w:rPr>
                <w:rFonts w:ascii="Verdana" w:hAnsi="Verdana"/>
                <w:color w:val="003A90"/>
                <w:spacing w:val="-2"/>
                <w:sz w:val="11"/>
              </w:rPr>
            </w:pPr>
            <w:r>
              <w:rPr>
                <w:rFonts w:ascii="Verdana" w:hAnsi="Verdana"/>
                <w:color w:val="003A90"/>
                <w:spacing w:val="-2"/>
                <w:sz w:val="11"/>
              </w:rPr>
              <w:t>GPKLEG.COM</w:t>
            </w:r>
          </w:p>
        </w:tc>
        <w:tc>
          <w:tcPr>
            <w:tcW w:w="1300" w:type="dxa"/>
            <w:tcBorders/>
            <w:vAlign w:val="center"/>
          </w:tcPr>
          <w:p>
            <w:pPr>
              <w:pStyle w:val="TableContents"/>
              <w:pBdr/>
              <w:bidi w:val="0"/>
              <w:spacing w:lineRule="auto" w:line="328" w:before="26" w:after="0"/>
              <w:ind w:left="178" w:right="90" w:hanging="459"/>
              <w:jc w:val="right"/>
              <w:rPr/>
            </w:pPr>
            <w:r>
              <w:rPr/>
              <w:drawing>
                <wp:inline distT="0" distB="0" distL="0" distR="0">
                  <wp:extent cx="685165" cy="600075"/>
                  <wp:effectExtent l="0" t="0" r="0" b="0"/>
                  <wp:docPr id="80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Image4" descr=""/>
                          <pic:cNvPicPr>
                            <a:picLocks noChangeAspect="1" noChangeArrowheads="1"/>
                          </pic:cNvPicPr>
                        </pic:nvPicPr>
                        <pic:blipFill>
                          <a:blip r:embed="rId19"/>
                          <a:stretch>
                            <a:fillRect/>
                          </a:stretch>
                        </pic:blipFill>
                        <pic:spPr bwMode="auto">
                          <a:xfrm>
                            <a:off x="0" y="0"/>
                            <a:ext cx="685165" cy="600075"/>
                          </a:xfrm>
                          <a:prstGeom prst="rect">
                            <a:avLst/>
                          </a:prstGeom>
                        </pic:spPr>
                      </pic:pic>
                    </a:graphicData>
                  </a:graphic>
                </wp:inline>
              </w:drawing>
            </w:r>
          </w:p>
        </w:tc>
      </w:tr>
    </w:tbl>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28" w:before="68" w:after="0"/>
        <w:ind w:left="142" w:right="0" w:hanging="0"/>
        <w:jc w:val="left"/>
        <w:rPr>
          <w:rFonts w:ascii="Times New Roman;Times;serif" w:hAnsi="Times New Roman;Times;serif"/>
          <w:color w:val="1A1A1A"/>
          <w:spacing w:val="-2"/>
          <w:sz w:val="21"/>
        </w:rPr>
      </w:pPr>
      <w:r>
        <w:rPr>
          <w:rFonts w:ascii="Times New Roman;Times;serif" w:hAnsi="Times New Roman;Times;serif"/>
          <w:color w:val="1A1A1A"/>
          <w:spacing w:val="-2"/>
          <w:sz w:val="21"/>
        </w:rPr>
        <w:t>LMWS, LLC</w:t>
      </w:r>
    </w:p>
    <w:p>
      <w:pPr>
        <w:pStyle w:val="TextBody"/>
        <w:bidi w:val="0"/>
        <w:spacing w:lineRule="atLeast" w:line="228" w:before="0" w:after="0"/>
        <w:ind w:left="143" w:right="0" w:hanging="0"/>
        <w:jc w:val="left"/>
        <w:rPr>
          <w:rFonts w:ascii="Times New Roman;Times;serif" w:hAnsi="Times New Roman;Times;serif"/>
          <w:color w:val="1A1A1A"/>
          <w:spacing w:val="-2"/>
          <w:sz w:val="21"/>
        </w:rPr>
      </w:pPr>
      <w:r>
        <w:rPr>
          <w:rFonts w:ascii="Times New Roman;Times;serif" w:hAnsi="Times New Roman;Times;serif"/>
          <w:color w:val="1A1A1A"/>
          <w:spacing w:val="-2"/>
          <w:sz w:val="21"/>
        </w:rPr>
        <w:t>Cont'd.</w:t>
      </w:r>
    </w:p>
    <w:p>
      <w:pPr>
        <w:pStyle w:val="TextBody"/>
        <w:bidi w:val="0"/>
        <w:spacing w:before="1" w:after="0"/>
        <w:ind w:left="0" w:right="0" w:hanging="0"/>
        <w:jc w:val="left"/>
        <w:rPr/>
      </w:pPr>
      <w:r>
        <w:rPr/>
        <w:t>​</w:t>
      </w:r>
    </w:p>
    <w:p>
      <w:pPr>
        <w:pStyle w:val="TextBody"/>
        <w:bidi w:val="0"/>
        <w:spacing w:before="123" w:after="0"/>
        <w:ind w:left="160" w:right="0" w:hanging="0"/>
        <w:jc w:val="both"/>
        <w:rPr>
          <w:rFonts w:ascii="Times New Roman;Times;serif" w:hAnsi="Times New Roman;Times;serif"/>
          <w:sz w:val="21"/>
        </w:rPr>
      </w:pPr>
      <w:r>
        <w:rPr>
          <w:rFonts w:ascii="Times New Roman;Times;serif" w:hAnsi="Times New Roman;Times;serif"/>
          <w:sz w:val="21"/>
        </w:rPr>
        <w:t>In performing an audit in accordance with generally accepted auditing standards, we:</w:t>
      </w:r>
    </w:p>
    <w:tbl>
      <w:tblPr>
        <w:tblW w:w="8793" w:type="dxa"/>
        <w:jc w:val="left"/>
        <w:tblInd w:w="0" w:type="dxa"/>
        <w:tblLayout w:type="fixed"/>
        <w:tblCellMar>
          <w:top w:w="0" w:type="dxa"/>
          <w:left w:w="0" w:type="dxa"/>
          <w:bottom w:w="0" w:type="dxa"/>
          <w:right w:w="0" w:type="dxa"/>
        </w:tblCellMar>
      </w:tblPr>
      <w:tblGrid>
        <w:gridCol w:w="23"/>
        <w:gridCol w:w="170"/>
        <w:gridCol w:w="8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Exercise professional judgment and maintain professional skepticism throughout the</w:t>
            </w:r>
            <w:r>
              <w:rPr>
                <w:caps w:val="false"/>
                <w:smallCaps w:val="false"/>
                <w:spacing w:val="-20"/>
              </w:rPr>
              <w:t xml:space="preserve"> </w:t>
            </w:r>
            <w:r>
              <w:rPr>
                <w:rFonts w:ascii="Times New Roman;Times;serif" w:hAnsi="Times New Roman;Times;serif"/>
                <w:b w:val="false"/>
                <w:i w:val="false"/>
                <w:caps w:val="false"/>
                <w:smallCaps w:val="false"/>
                <w:sz w:val="22"/>
              </w:rPr>
              <w:t>audits.</w:t>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Identify and assess the risks of material misstatement of the financial statements, whether due to fraud or error, and design and perform audit procedures responsive to those risks. Such procedures include examining,</w:t>
            </w:r>
            <w:r>
              <w:rPr>
                <w:caps w:val="false"/>
                <w:smallCaps w:val="false"/>
                <w:spacing w:val="-4"/>
              </w:rPr>
              <w:t xml:space="preserve"> </w:t>
            </w:r>
            <w:r>
              <w:rPr>
                <w:rFonts w:ascii="Times New Roman;Times;serif" w:hAnsi="Times New Roman;Times;serif"/>
                <w:b w:val="false"/>
                <w:i w:val="false"/>
                <w:caps w:val="false"/>
                <w:smallCaps w:val="false"/>
                <w:sz w:val="22"/>
              </w:rPr>
              <w:t>on</w:t>
            </w:r>
            <w:r>
              <w:rPr>
                <w:caps w:val="false"/>
                <w:smallCaps w:val="false"/>
                <w:spacing w:val="-3"/>
              </w:rPr>
              <w:t xml:space="preserve"> </w:t>
            </w:r>
            <w:r>
              <w:rPr>
                <w:rFonts w:ascii="Times New Roman;Times;serif" w:hAnsi="Times New Roman;Times;serif"/>
                <w:b w:val="false"/>
                <w:i w:val="false"/>
                <w:caps w:val="false"/>
                <w:smallCaps w:val="false"/>
                <w:sz w:val="22"/>
              </w:rPr>
              <w:t>a</w:t>
            </w:r>
            <w:r>
              <w:rPr>
                <w:caps w:val="false"/>
                <w:smallCaps w:val="false"/>
                <w:spacing w:val="-3"/>
              </w:rPr>
              <w:t xml:space="preserve"> </w:t>
            </w:r>
            <w:r>
              <w:rPr>
                <w:rFonts w:ascii="Times New Roman;Times;serif" w:hAnsi="Times New Roman;Times;serif"/>
                <w:b w:val="false"/>
                <w:i w:val="false"/>
                <w:caps w:val="false"/>
                <w:smallCaps w:val="false"/>
                <w:sz w:val="22"/>
              </w:rPr>
              <w:t>test</w:t>
            </w:r>
            <w:r>
              <w:rPr>
                <w:caps w:val="false"/>
                <w:smallCaps w:val="false"/>
                <w:spacing w:val="-3"/>
              </w:rPr>
              <w:t xml:space="preserve"> </w:t>
            </w:r>
            <w:r>
              <w:rPr>
                <w:rFonts w:ascii="Times New Roman;Times;serif" w:hAnsi="Times New Roman;Times;serif"/>
                <w:b w:val="false"/>
                <w:i w:val="false"/>
                <w:caps w:val="false"/>
                <w:smallCaps w:val="false"/>
                <w:sz w:val="22"/>
              </w:rPr>
              <w:t>basis,</w:t>
            </w:r>
            <w:r>
              <w:rPr>
                <w:caps w:val="false"/>
                <w:smallCaps w:val="false"/>
                <w:spacing w:val="-3"/>
              </w:rPr>
              <w:t xml:space="preserve"> </w:t>
            </w:r>
            <w:r>
              <w:rPr>
                <w:rFonts w:ascii="Times New Roman;Times;serif" w:hAnsi="Times New Roman;Times;serif"/>
                <w:b w:val="false"/>
                <w:i w:val="false"/>
                <w:caps w:val="false"/>
                <w:smallCaps w:val="false"/>
                <w:sz w:val="22"/>
              </w:rPr>
              <w:t>evidence</w:t>
            </w:r>
            <w:r>
              <w:rPr>
                <w:caps w:val="false"/>
                <w:smallCaps w:val="false"/>
                <w:spacing w:val="-3"/>
              </w:rPr>
              <w:t xml:space="preserve"> </w:t>
            </w:r>
            <w:r>
              <w:rPr>
                <w:rFonts w:ascii="Times New Roman;Times;serif" w:hAnsi="Times New Roman;Times;serif"/>
                <w:b w:val="false"/>
                <w:i w:val="false"/>
                <w:caps w:val="false"/>
                <w:smallCaps w:val="false"/>
                <w:sz w:val="22"/>
              </w:rPr>
              <w:t>regarding</w:t>
            </w:r>
            <w:r>
              <w:rPr>
                <w:caps w:val="false"/>
                <w:smallCaps w:val="false"/>
                <w:spacing w:val="-3"/>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amounts</w:t>
            </w:r>
            <w:r>
              <w:rPr>
                <w:caps w:val="false"/>
                <w:smallCaps w:val="false"/>
                <w:spacing w:val="-3"/>
              </w:rPr>
              <w:t xml:space="preserve"> </w:t>
            </w:r>
            <w:r>
              <w:rPr>
                <w:rFonts w:ascii="Times New Roman;Times;serif" w:hAnsi="Times New Roman;Times;serif"/>
                <w:b w:val="false"/>
                <w:i w:val="false"/>
                <w:caps w:val="false"/>
                <w:smallCaps w:val="false"/>
                <w:sz w:val="22"/>
              </w:rPr>
              <w:t>and</w:t>
            </w:r>
            <w:r>
              <w:rPr>
                <w:caps w:val="false"/>
                <w:smallCaps w:val="false"/>
                <w:spacing w:val="-3"/>
              </w:rPr>
              <w:t xml:space="preserve"> </w:t>
            </w:r>
            <w:r>
              <w:rPr>
                <w:rFonts w:ascii="Times New Roman;Times;serif" w:hAnsi="Times New Roman;Times;serif"/>
                <w:b w:val="false"/>
                <w:i w:val="false"/>
                <w:caps w:val="false"/>
                <w:smallCaps w:val="false"/>
                <w:sz w:val="22"/>
              </w:rPr>
              <w:t>disclosures</w:t>
            </w:r>
            <w:r>
              <w:rPr>
                <w:caps w:val="false"/>
                <w:smallCaps w:val="false"/>
                <w:spacing w:val="-3"/>
              </w:rPr>
              <w:t xml:space="preserve"> </w:t>
            </w:r>
            <w:r>
              <w:rPr>
                <w:rFonts w:ascii="Times New Roman;Times;serif" w:hAnsi="Times New Roman;Times;serif"/>
                <w:b w:val="false"/>
                <w:i w:val="false"/>
                <w:caps w:val="false"/>
                <w:smallCaps w:val="false"/>
                <w:sz w:val="22"/>
              </w:rPr>
              <w:t>in</w:t>
            </w:r>
            <w:r>
              <w:rPr>
                <w:caps w:val="false"/>
                <w:smallCaps w:val="false"/>
                <w:spacing w:val="-3"/>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financial</w:t>
            </w:r>
            <w:r>
              <w:rPr>
                <w:caps w:val="false"/>
                <w:smallCaps w:val="false"/>
                <w:spacing w:val="-3"/>
              </w:rPr>
              <w:t xml:space="preserve"> </w:t>
            </w:r>
            <w:r>
              <w:rPr>
                <w:rFonts w:ascii="Times New Roman;Times;serif" w:hAnsi="Times New Roman;Times;serif"/>
                <w:b w:val="false"/>
                <w:i w:val="false"/>
                <w:caps w:val="false"/>
                <w:smallCaps w:val="false"/>
                <w:sz w:val="22"/>
              </w:rPr>
              <w:t>statements.</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Obtain an understanding of internal control relevant to the audits in order to design audit procedures that are appropriate in the circumstances, but not for the purpose of expressing an opinion on the effectiveness of LMWS, LLC’s internal control. Accordingly, no such opinion is</w:t>
            </w:r>
            <w:r>
              <w:rPr>
                <w:caps w:val="false"/>
                <w:smallCaps w:val="false"/>
                <w:spacing w:val="-15"/>
              </w:rPr>
              <w:t xml:space="preserve"> </w:t>
            </w:r>
            <w:r>
              <w:rPr>
                <w:rFonts w:ascii="Times New Roman;Times;serif" w:hAnsi="Times New Roman;Times;serif"/>
                <w:b w:val="false"/>
                <w:i w:val="false"/>
                <w:caps w:val="false"/>
                <w:smallCaps w:val="false"/>
                <w:sz w:val="22"/>
              </w:rPr>
              <w:t>expressed.</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Evaluate the appropriateness of accounting policies used and the reasonableness of significant accounting estimates</w:t>
            </w:r>
            <w:r>
              <w:rPr>
                <w:caps w:val="false"/>
                <w:smallCaps w:val="false"/>
                <w:spacing w:val="-4"/>
              </w:rPr>
              <w:t xml:space="preserve"> </w:t>
            </w:r>
            <w:r>
              <w:rPr>
                <w:rFonts w:ascii="Times New Roman;Times;serif" w:hAnsi="Times New Roman;Times;serif"/>
                <w:b w:val="false"/>
                <w:i w:val="false"/>
                <w:caps w:val="false"/>
                <w:smallCaps w:val="false"/>
                <w:sz w:val="22"/>
              </w:rPr>
              <w:t>made</w:t>
            </w:r>
            <w:r>
              <w:rPr>
                <w:caps w:val="false"/>
                <w:smallCaps w:val="false"/>
                <w:spacing w:val="-3"/>
              </w:rPr>
              <w:t xml:space="preserve"> </w:t>
            </w:r>
            <w:r>
              <w:rPr>
                <w:rFonts w:ascii="Times New Roman;Times;serif" w:hAnsi="Times New Roman;Times;serif"/>
                <w:b w:val="false"/>
                <w:i w:val="false"/>
                <w:caps w:val="false"/>
                <w:smallCaps w:val="false"/>
                <w:sz w:val="22"/>
              </w:rPr>
              <w:t>by</w:t>
            </w:r>
            <w:r>
              <w:rPr>
                <w:caps w:val="false"/>
                <w:smallCaps w:val="false"/>
                <w:spacing w:val="-3"/>
              </w:rPr>
              <w:t xml:space="preserve"> </w:t>
            </w:r>
            <w:r>
              <w:rPr>
                <w:rFonts w:ascii="Times New Roman;Times;serif" w:hAnsi="Times New Roman;Times;serif"/>
                <w:b w:val="false"/>
                <w:i w:val="false"/>
                <w:caps w:val="false"/>
                <w:smallCaps w:val="false"/>
                <w:sz w:val="22"/>
              </w:rPr>
              <w:t>management,</w:t>
            </w:r>
            <w:r>
              <w:rPr>
                <w:caps w:val="false"/>
                <w:smallCaps w:val="false"/>
                <w:spacing w:val="-3"/>
              </w:rPr>
              <w:t xml:space="preserve"> </w:t>
            </w:r>
            <w:r>
              <w:rPr>
                <w:rFonts w:ascii="Times New Roman;Times;serif" w:hAnsi="Times New Roman;Times;serif"/>
                <w:b w:val="false"/>
                <w:i w:val="false"/>
                <w:caps w:val="false"/>
                <w:smallCaps w:val="false"/>
                <w:sz w:val="22"/>
              </w:rPr>
              <w:t>as</w:t>
            </w:r>
            <w:r>
              <w:rPr>
                <w:caps w:val="false"/>
                <w:smallCaps w:val="false"/>
                <w:spacing w:val="-4"/>
              </w:rPr>
              <w:t xml:space="preserve"> </w:t>
            </w:r>
            <w:r>
              <w:rPr>
                <w:rFonts w:ascii="Times New Roman;Times;serif" w:hAnsi="Times New Roman;Times;serif"/>
                <w:b w:val="false"/>
                <w:i w:val="false"/>
                <w:caps w:val="false"/>
                <w:smallCaps w:val="false"/>
                <w:sz w:val="22"/>
              </w:rPr>
              <w:t>well</w:t>
            </w:r>
            <w:r>
              <w:rPr>
                <w:caps w:val="false"/>
                <w:smallCaps w:val="false"/>
                <w:spacing w:val="-3"/>
              </w:rPr>
              <w:t xml:space="preserve"> </w:t>
            </w:r>
            <w:r>
              <w:rPr>
                <w:rFonts w:ascii="Times New Roman;Times;serif" w:hAnsi="Times New Roman;Times;serif"/>
                <w:b w:val="false"/>
                <w:i w:val="false"/>
                <w:caps w:val="false"/>
                <w:smallCaps w:val="false"/>
                <w:sz w:val="22"/>
              </w:rPr>
              <w:t>as</w:t>
            </w:r>
            <w:r>
              <w:rPr>
                <w:caps w:val="false"/>
                <w:smallCaps w:val="false"/>
                <w:spacing w:val="-3"/>
              </w:rPr>
              <w:t xml:space="preserve"> </w:t>
            </w:r>
            <w:r>
              <w:rPr>
                <w:rFonts w:ascii="Times New Roman;Times;serif" w:hAnsi="Times New Roman;Times;serif"/>
                <w:b w:val="false"/>
                <w:i w:val="false"/>
                <w:caps w:val="false"/>
                <w:smallCaps w:val="false"/>
                <w:sz w:val="22"/>
              </w:rPr>
              <w:t>evaluate</w:t>
            </w:r>
            <w:r>
              <w:rPr>
                <w:caps w:val="false"/>
                <w:smallCaps w:val="false"/>
                <w:spacing w:val="-3"/>
              </w:rPr>
              <w:t xml:space="preserve"> </w:t>
            </w:r>
            <w:r>
              <w:rPr>
                <w:rFonts w:ascii="Times New Roman;Times;serif" w:hAnsi="Times New Roman;Times;serif"/>
                <w:b w:val="false"/>
                <w:i w:val="false"/>
                <w:caps w:val="false"/>
                <w:smallCaps w:val="false"/>
                <w:sz w:val="22"/>
              </w:rPr>
              <w:t>the</w:t>
            </w:r>
            <w:r>
              <w:rPr>
                <w:caps w:val="false"/>
                <w:smallCaps w:val="false"/>
                <w:spacing w:val="-4"/>
              </w:rPr>
              <w:t xml:space="preserve"> </w:t>
            </w:r>
            <w:r>
              <w:rPr>
                <w:rFonts w:ascii="Times New Roman;Times;serif" w:hAnsi="Times New Roman;Times;serif"/>
                <w:b w:val="false"/>
                <w:i w:val="false"/>
                <w:caps w:val="false"/>
                <w:smallCaps w:val="false"/>
                <w:sz w:val="22"/>
              </w:rPr>
              <w:t>overall</w:t>
            </w:r>
            <w:r>
              <w:rPr>
                <w:caps w:val="false"/>
                <w:smallCaps w:val="false"/>
                <w:spacing w:val="-3"/>
              </w:rPr>
              <w:t xml:space="preserve"> </w:t>
            </w:r>
            <w:r>
              <w:rPr>
                <w:rFonts w:ascii="Times New Roman;Times;serif" w:hAnsi="Times New Roman;Times;serif"/>
                <w:b w:val="false"/>
                <w:i w:val="false"/>
                <w:caps w:val="false"/>
                <w:smallCaps w:val="false"/>
                <w:sz w:val="22"/>
              </w:rPr>
              <w:t>presentation</w:t>
            </w:r>
            <w:r>
              <w:rPr>
                <w:caps w:val="false"/>
                <w:smallCaps w:val="false"/>
                <w:spacing w:val="-3"/>
              </w:rPr>
              <w:t xml:space="preserve"> </w:t>
            </w:r>
            <w:r>
              <w:rPr>
                <w:rFonts w:ascii="Times New Roman;Times;serif" w:hAnsi="Times New Roman;Times;serif"/>
                <w:b w:val="false"/>
                <w:i w:val="false"/>
                <w:caps w:val="false"/>
                <w:smallCaps w:val="false"/>
                <w:sz w:val="22"/>
              </w:rPr>
              <w:t>of</w:t>
            </w:r>
            <w:r>
              <w:rPr>
                <w:caps w:val="false"/>
                <w:smallCaps w:val="false"/>
                <w:spacing w:val="-3"/>
              </w:rPr>
              <w:t xml:space="preserve"> </w:t>
            </w:r>
            <w:r>
              <w:rPr>
                <w:rFonts w:ascii="Times New Roman;Times;serif" w:hAnsi="Times New Roman;Times;serif"/>
                <w:b w:val="false"/>
                <w:i w:val="false"/>
                <w:caps w:val="false"/>
                <w:smallCaps w:val="false"/>
                <w:sz w:val="22"/>
              </w:rPr>
              <w:t>the</w:t>
            </w:r>
            <w:r>
              <w:rPr>
                <w:caps w:val="false"/>
                <w:smallCaps w:val="false"/>
                <w:spacing w:val="-4"/>
              </w:rPr>
              <w:t xml:space="preserve"> </w:t>
            </w:r>
            <w:r>
              <w:rPr>
                <w:rFonts w:ascii="Times New Roman;Times;serif" w:hAnsi="Times New Roman;Times;serif"/>
                <w:b w:val="false"/>
                <w:i w:val="false"/>
                <w:caps w:val="false"/>
                <w:smallCaps w:val="false"/>
                <w:sz w:val="22"/>
              </w:rPr>
              <w:t>financial</w:t>
            </w:r>
            <w:r>
              <w:rPr>
                <w:caps w:val="false"/>
                <w:smallCaps w:val="false"/>
                <w:spacing w:val="-3"/>
              </w:rPr>
              <w:t xml:space="preserve"> </w:t>
            </w:r>
            <w:r>
              <w:rPr>
                <w:rFonts w:ascii="Times New Roman;Times;serif" w:hAnsi="Times New Roman;Times;serif"/>
                <w:b w:val="false"/>
                <w:i w:val="false"/>
                <w:caps w:val="false"/>
                <w:smallCaps w:val="false"/>
                <w:sz w:val="22"/>
              </w:rPr>
              <w:t>statements.</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Conclude whether, in our judgment, there are conditions or events, considered in the aggregate, that raise substantial doubt about LMWS, LLC’s ability to continue as a going concern for a reasonable period of time.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19" w:after="0"/>
        <w:ind w:left="251" w:right="256" w:hanging="0"/>
        <w:jc w:val="both"/>
        <w:rPr>
          <w:rFonts w:ascii="Times New Roman;Times;serif" w:hAnsi="Times New Roman;Times;serif"/>
          <w:sz w:val="21"/>
        </w:rPr>
      </w:pPr>
      <w:r>
        <w:rPr>
          <w:rFonts w:ascii="Times New Roman;Times;serif" w:hAnsi="Times New Roman;Times;serif"/>
          <w:sz w:val="21"/>
        </w:rPr>
        <w:t>We are required to communicate with those charged with governance regarding, among other matters, the planned scope and timing of the audits, significant audit findings, and certain internal control related matters that we identified during the audits.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 w:after="0"/>
        <w:ind w:left="148" w:right="0" w:hanging="0"/>
        <w:jc w:val="both"/>
        <w:rPr>
          <w:rFonts w:ascii="Times New Roman;Times;serif" w:hAnsi="Times New Roman;Times;serif"/>
          <w:sz w:val="22"/>
        </w:rPr>
      </w:pPr>
      <w:r>
        <w:rPr>
          <w:rFonts w:ascii="Freestyle Script" w:hAnsi="Freestyle Script"/>
          <w:i/>
          <w:color w:val="4E81BD"/>
          <w:sz w:val="40"/>
        </w:rPr>
        <w:t>Gerson,</w:t>
      </w:r>
      <w:r>
        <w:rPr>
          <w:rFonts w:ascii="Times New Roman;Times;serif" w:hAnsi="Times New Roman;Times;serif"/>
          <w:color w:val="4E81BD"/>
          <w:spacing w:val="-2"/>
          <w:sz w:val="22"/>
        </w:rPr>
        <w:t xml:space="preserve"> </w:t>
      </w:r>
      <w:r>
        <w:rPr>
          <w:rFonts w:ascii="Freestyle Script" w:hAnsi="Freestyle Script"/>
          <w:i/>
          <w:color w:val="4E81BD"/>
          <w:sz w:val="40"/>
        </w:rPr>
        <w:t>Preston,</w:t>
      </w:r>
      <w:r>
        <w:rPr>
          <w:rFonts w:ascii="Times New Roman;Times;serif" w:hAnsi="Times New Roman;Times;serif"/>
          <w:color w:val="4E81BD"/>
          <w:spacing w:val="-1"/>
          <w:sz w:val="22"/>
        </w:rPr>
        <w:t xml:space="preserve"> </w:t>
      </w:r>
      <w:r>
        <w:rPr>
          <w:rFonts w:ascii="Freestyle Script" w:hAnsi="Freestyle Script"/>
          <w:i/>
          <w:color w:val="4E81BD"/>
          <w:sz w:val="40"/>
        </w:rPr>
        <w:t>Klein,</w:t>
      </w:r>
      <w:r>
        <w:rPr>
          <w:rFonts w:ascii="Times New Roman;Times;serif" w:hAnsi="Times New Roman;Times;serif"/>
          <w:color w:val="4E81BD"/>
          <w:spacing w:val="-1"/>
          <w:sz w:val="22"/>
        </w:rPr>
        <w:t xml:space="preserve"> </w:t>
      </w:r>
      <w:r>
        <w:rPr>
          <w:rFonts w:ascii="Freestyle Script" w:hAnsi="Freestyle Script"/>
          <w:i/>
          <w:color w:val="4E81BD"/>
          <w:sz w:val="40"/>
        </w:rPr>
        <w:t>Lips,</w:t>
      </w:r>
      <w:r>
        <w:rPr>
          <w:rFonts w:ascii="Times New Roman;Times;serif" w:hAnsi="Times New Roman;Times;serif"/>
          <w:color w:val="4E81BD"/>
          <w:spacing w:val="-1"/>
          <w:sz w:val="22"/>
        </w:rPr>
        <w:t xml:space="preserve"> </w:t>
      </w:r>
      <w:r>
        <w:rPr>
          <w:rFonts w:ascii="Freestyle Script" w:hAnsi="Freestyle Script"/>
          <w:i/>
          <w:color w:val="4E81BD"/>
          <w:sz w:val="40"/>
        </w:rPr>
        <w:t>Eisenberg</w:t>
      </w:r>
      <w:r>
        <w:rPr>
          <w:rFonts w:ascii="Times New Roman;Times;serif" w:hAnsi="Times New Roman;Times;serif"/>
          <w:color w:val="4E81BD"/>
          <w:spacing w:val="-1"/>
          <w:sz w:val="22"/>
        </w:rPr>
        <w:t xml:space="preserve"> </w:t>
      </w:r>
      <w:r>
        <w:rPr>
          <w:rFonts w:ascii="Freestyle Script" w:hAnsi="Freestyle Script"/>
          <w:i/>
          <w:color w:val="4E81BD"/>
          <w:sz w:val="40"/>
        </w:rPr>
        <w:t>&amp;</w:t>
      </w:r>
      <w:r>
        <w:rPr>
          <w:rFonts w:ascii="Times New Roman;Times;serif" w:hAnsi="Times New Roman;Times;serif"/>
          <w:color w:val="4E81BD"/>
          <w:spacing w:val="-1"/>
          <w:sz w:val="22"/>
        </w:rPr>
        <w:t xml:space="preserve"> </w:t>
      </w:r>
      <w:r>
        <w:rPr>
          <w:rFonts w:ascii="Freestyle Script" w:hAnsi="Freestyle Script"/>
          <w:i/>
          <w:color w:val="4E81BD"/>
          <w:sz w:val="40"/>
        </w:rPr>
        <w:t>Gelber,</w:t>
      </w:r>
      <w:r>
        <w:rPr>
          <w:rFonts w:ascii="Times New Roman;Times;serif" w:hAnsi="Times New Roman;Times;serif"/>
          <w:color w:val="4E81BD"/>
          <w:spacing w:val="-6"/>
          <w:sz w:val="22"/>
        </w:rPr>
        <w:t xml:space="preserve"> </w:t>
      </w:r>
      <w:r>
        <w:rPr>
          <w:rFonts w:ascii="Freestyle Script" w:hAnsi="Freestyle Script"/>
          <w:i/>
          <w:color w:val="4E81BD"/>
          <w:spacing w:val="-4"/>
          <w:sz w:val="36"/>
        </w:rPr>
        <w:t>PLLC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2" w:after="0"/>
        <w:ind w:left="0" w:right="0" w:hanging="0"/>
        <w:jc w:val="left"/>
        <w:rPr/>
      </w:pPr>
      <w:r>
        <w:rPr/>
        <w:t>​</w:t>
      </w:r>
    </w:p>
    <w:p>
      <w:pPr>
        <w:pStyle w:val="TextBody"/>
        <w:bidi w:val="0"/>
        <w:spacing w:before="0" w:after="0"/>
        <w:ind w:left="148" w:right="8015" w:hanging="0"/>
        <w:jc w:val="left"/>
        <w:rPr>
          <w:rFonts w:ascii="Times New Roman;Times;serif" w:hAnsi="Times New Roman;Times;serif"/>
          <w:color w:val="1A1A1A"/>
          <w:sz w:val="21"/>
        </w:rPr>
      </w:pPr>
      <w:r>
        <w:rPr>
          <w:rFonts w:ascii="Times New Roman;Times;serif" w:hAnsi="Times New Roman;Times;serif"/>
          <w:color w:val="1A1A1A"/>
          <w:sz w:val="21"/>
        </w:rPr>
        <w:t xml:space="preserve">Miami, Florida </w:t>
      </w:r>
    </w:p>
    <w:p>
      <w:pPr>
        <w:pStyle w:val="TextBody"/>
        <w:bidi w:val="0"/>
        <w:spacing w:before="0" w:after="0"/>
        <w:ind w:left="148" w:right="8015" w:hanging="0"/>
        <w:jc w:val="left"/>
        <w:rPr>
          <w:rFonts w:ascii="Times New Roman;Times;serif" w:hAnsi="Times New Roman;Times;serif"/>
          <w:sz w:val="21"/>
        </w:rPr>
      </w:pPr>
      <w:r>
        <w:rPr>
          <w:rFonts w:ascii="Times New Roman;Times;serif" w:hAnsi="Times New Roman;Times;serif"/>
          <w:color w:val="1A1A1A"/>
          <w:spacing w:val="-2"/>
          <w:sz w:val="21"/>
        </w:rPr>
        <w:t>January</w:t>
      </w:r>
      <w:r>
        <w:rPr>
          <w:rFonts w:ascii="Times New Roman;Times;serif" w:hAnsi="Times New Roman;Times;serif"/>
          <w:color w:val="1A1A1A"/>
          <w:spacing w:val="-13"/>
          <w:sz w:val="21"/>
        </w:rPr>
        <w:t xml:space="preserve"> </w:t>
      </w:r>
      <w:r>
        <w:rPr>
          <w:rFonts w:ascii="Times New Roman;Times;serif" w:hAnsi="Times New Roman;Times;serif"/>
          <w:color w:val="1A1A1A"/>
          <w:spacing w:val="-2"/>
          <w:sz w:val="21"/>
        </w:rPr>
        <w:t>30,</w:t>
      </w:r>
      <w:r>
        <w:rPr>
          <w:rFonts w:ascii="Times New Roman;Times;serif" w:hAnsi="Times New Roman;Times;serif"/>
          <w:color w:val="1A1A1A"/>
          <w:spacing w:val="-10"/>
          <w:sz w:val="21"/>
        </w:rPr>
        <w:t xml:space="preserve"> </w:t>
      </w:r>
      <w:r>
        <w:rPr>
          <w:rFonts w:ascii="Times New Roman;Times;serif" w:hAnsi="Times New Roman;Times;serif"/>
          <w:color w:val="1A1A1A"/>
          <w:spacing w:val="-2"/>
          <w:sz w:val="21"/>
        </w:rPr>
        <w:t>2026</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3" w:after="0"/>
        <w:ind w:left="20" w:right="0" w:hanging="0"/>
        <w:jc w:val="left"/>
        <w:rPr/>
      </w:pPr>
      <w:r>
        <w:rPr/>
        <w:t>​</w:t>
      </w:r>
    </w:p>
    <w:p>
      <w:pPr>
        <w:pStyle w:val="TextBody"/>
        <w:bidi w:val="0"/>
        <w:spacing w:lineRule="auto" w:line="16" w:before="0" w:after="0"/>
        <w:ind w:left="0" w:right="0" w:hanging="0"/>
        <w:jc w:val="left"/>
        <w:rPr/>
      </w:pPr>
      <w:r>
        <w:rPr/>
        <w:t>​</w:t>
      </w:r>
    </w:p>
    <w:p>
      <w:pPr>
        <w:pStyle w:val="TextBody"/>
        <w:bidi w:val="0"/>
        <w:spacing w:before="1"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1"/>
        </w:rPr>
      </w:pPr>
      <w:r>
        <w:rPr>
          <w:rFonts w:ascii="Times New Roman;Times;serif" w:hAnsi="Times New Roman;Times;serif"/>
          <w:b/>
          <w:sz w:val="21"/>
        </w:rPr>
        <w:t>LMWS, LLC</w:t>
      </w:r>
    </w:p>
    <w:p>
      <w:pPr>
        <w:pStyle w:val="TextBody"/>
        <w:bidi w:val="0"/>
        <w:spacing w:before="0" w:after="0"/>
        <w:ind w:left="0" w:right="0" w:hanging="0"/>
        <w:jc w:val="center"/>
        <w:rPr>
          <w:rFonts w:ascii="Times New Roman;Times;serif" w:hAnsi="Times New Roman;Times;serif"/>
          <w:b/>
          <w:sz w:val="21"/>
        </w:rPr>
      </w:pPr>
      <w:r>
        <w:rPr>
          <w:rFonts w:ascii="Times New Roman;Times;serif" w:hAnsi="Times New Roman;Times;serif"/>
          <w:b/>
          <w:sz w:val="21"/>
        </w:rPr>
        <w:t>Balance Sheets</w:t>
      </w:r>
    </w:p>
    <w:p>
      <w:pPr>
        <w:pStyle w:val="TextBody"/>
        <w:bidi w:val="0"/>
        <w:spacing w:before="0" w:after="0"/>
        <w:ind w:left="0" w:right="0" w:hanging="0"/>
        <w:jc w:val="center"/>
        <w:rPr>
          <w:rFonts w:ascii="Times New Roman;Times;serif" w:hAnsi="Times New Roman;Times;serif"/>
          <w:b/>
          <w:sz w:val="21"/>
        </w:rPr>
      </w:pPr>
      <w:r>
        <w:rPr>
          <w:rFonts w:ascii="Times New Roman;Times;serif" w:hAnsi="Times New Roman;Times;serif"/>
          <w:b/>
          <w:sz w:val="21"/>
        </w:rPr>
        <w:t>At December 31, 2025 and 2024</w:t>
      </w:r>
    </w:p>
    <w:p>
      <w:pPr>
        <w:pStyle w:val="TextBody"/>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(In thousands)</w:t>
      </w:r>
    </w:p>
    <w:p>
      <w:pPr>
        <w:pStyle w:val="TextBody"/>
        <w:bidi w:val="0"/>
        <w:spacing w:before="0" w:after="0"/>
        <w:ind w:left="0" w:right="0" w:hanging="0"/>
        <w:jc w:val="center"/>
        <w:rPr/>
      </w:pPr>
      <w:r>
        <w:rPr/>
        <w:t>​</w:t>
      </w:r>
    </w:p>
    <w:p>
      <w:pPr>
        <w:pStyle w:val="TextBody"/>
        <w:bidi w:val="0"/>
        <w:spacing w:before="92" w:after="0"/>
        <w:ind w:left="810" w:right="0" w:hanging="0"/>
        <w:jc w:val="left"/>
        <w:rPr/>
      </w:pPr>
      <w:r>
        <w:rPr/>
        <w:t>​</w:t>
      </w:r>
    </w:p>
    <w:tbl>
      <w:tblPr>
        <w:tblW w:w="7513" w:type="dxa"/>
        <w:jc w:val="center"/>
        <w:tblInd w:w="0" w:type="dxa"/>
        <w:tblLayout w:type="fixed"/>
        <w:tblCellMar>
          <w:top w:w="0" w:type="dxa"/>
          <w:left w:w="0" w:type="dxa"/>
          <w:bottom w:w="0" w:type="dxa"/>
          <w:right w:w="0" w:type="dxa"/>
        </w:tblCellMar>
      </w:tblPr>
      <w:tblGrid>
        <w:gridCol w:w="5176"/>
        <w:gridCol w:w="109"/>
        <w:gridCol w:w="211"/>
        <w:gridCol w:w="826"/>
        <w:gridCol w:w="109"/>
        <w:gridCol w:w="211"/>
        <w:gridCol w:w="871"/>
      </w:tblGrid>
      <w:tr>
        <w:trPr/>
        <w:tc>
          <w:tcPr>
            <w:tcW w:w="51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69215" cy="29210"/>
                      <wp:effectExtent l="0" t="0" r="0" b="0"/>
                      <wp:wrapNone/>
                      <wp:docPr id="809" name="Frame805"/>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33985" cy="29210"/>
                      <wp:effectExtent l="0" t="0" r="0" b="0"/>
                      <wp:wrapNone/>
                      <wp:docPr id="810" name="Frame806"/>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524510" cy="29210"/>
                      <wp:effectExtent l="0" t="0" r="0" b="0"/>
                      <wp:wrapNone/>
                      <wp:docPr id="811" name="Frame807"/>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69215" cy="29210"/>
                      <wp:effectExtent l="0" t="0" r="0" b="0"/>
                      <wp:wrapNone/>
                      <wp:docPr id="812" name="Frame808"/>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33985" cy="29210"/>
                      <wp:effectExtent l="0" t="0" r="0" b="0"/>
                      <wp:wrapNone/>
                      <wp:docPr id="813" name="Frame809"/>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553085" cy="29210"/>
                      <wp:effectExtent l="0" t="0" r="0" b="0"/>
                      <wp:wrapNone/>
                      <wp:docPr id="814" name="Frame810"/>
                      <a:graphic xmlns:a="http://schemas.openxmlformats.org/drawingml/2006/main">
                        <a:graphicData uri="http://schemas.microsoft.com/office/word/2010/wordprocessingShape">
                          <wps:wsp>
                            <wps:cNvSpPr txBox="1"/>
                            <wps:spPr>
                              <a:xfrm>
                                <a:off x="0" y="0"/>
                                <a:ext cx="55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1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7513" w:type="dxa"/>
            <w:gridSpan w:val="7"/>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Real estate inventory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112,895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165,803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Cash and cash equivalents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10,908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27,269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Restricted cash</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213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437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Accounts receivable, prepaid expenses and other assets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1,089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2,092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Property and other equipment, net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5,540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5,296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130,645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200,897 </w:t>
            </w:r>
          </w:p>
        </w:tc>
      </w:tr>
      <w:tr>
        <w:trPr/>
        <w:tc>
          <w:tcPr>
            <w:tcW w:w="7513" w:type="dxa"/>
            <w:gridSpan w:val="7"/>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MEMBERS' EQUITY</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Liabilities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Mortgage notes payable, net of unamortized financing costs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0"/>
              <w:ind w:left="0" w:right="0" w:hanging="0"/>
              <w:jc w:val="right"/>
              <w:rPr/>
            </w:pPr>
            <w:r>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41,054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Accounts payable and accrued expenses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15,393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18,315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Due to member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1,158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0"/>
              <w:ind w:left="0" w:right="0" w:hanging="0"/>
              <w:jc w:val="right"/>
              <w:rPr/>
            </w:pPr>
            <w:r>
              <w:rPr/>
              <w:t xml:space="preserve">—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Customer deposits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14,119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41,517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30,670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100,886 </w:t>
            </w:r>
          </w:p>
        </w:tc>
      </w:tr>
      <w:tr>
        <w:trPr/>
        <w:tc>
          <w:tcPr>
            <w:tcW w:w="51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Members' equity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99,975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100,011 </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members' equity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130,645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200,897 </w:t>
            </w:r>
          </w:p>
        </w:tc>
      </w:tr>
    </w:tbl>
    <w:p>
      <w:pPr>
        <w:pStyle w:val="TextBody"/>
        <w:bidi w:val="0"/>
        <w:spacing w:before="0" w:after="0"/>
        <w:ind w:left="0" w:right="0" w:hanging="0"/>
        <w:jc w:val="left"/>
        <w:rPr/>
      </w:pPr>
      <w:r>
        <w:rPr/>
        <w:t>​</w:t>
      </w:r>
    </w:p>
    <w:p>
      <w:pPr>
        <w:pStyle w:val="TextBody"/>
        <w:bidi w:val="0"/>
        <w:spacing w:before="92" w:after="0"/>
        <w:ind w:left="81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i/>
          <w:sz w:val="20"/>
          <w:shd w:fill="FFFFFF" w:val="clear"/>
        </w:rPr>
        <w:t>See accompanying notes.</w:t>
      </w:r>
      <w:r>
        <w:rPr>
          <w:rFonts w:ascii="Times New Roman;Times;serif" w:hAnsi="Times New Roman;Times;serif"/>
          <w:sz w:val="22"/>
          <w:shd w:fill="FFFFFF" w:val="clear"/>
        </w:rPr>
        <w:tab/>
      </w:r>
      <w:r>
        <w:rPr>
          <w:rFonts w:ascii="Times New Roman;Times;serif" w:hAnsi="Times New Roman;Times;serif"/>
          <w:sz w:val="20"/>
          <w:shd w:fill="FFFFFF" w:val="clear"/>
        </w:rPr>
        <w:t>1</w:t>
      </w:r>
      <w:r>
        <mc:AlternateContent>
          <mc:Choice Requires="wps">
            <w:drawing>
              <wp:anchor behindDoc="0" distT="0" distB="0" distL="0" distR="0" simplePos="0" locked="0" layoutInCell="1" allowOverlap="1" relativeHeight="816">
                <wp:simplePos x="0" y="0"/>
                <wp:positionH relativeFrom="page">
                  <wp:posOffset>0</wp:posOffset>
                </wp:positionH>
                <wp:positionV relativeFrom="line">
                  <wp:posOffset>635</wp:posOffset>
                </wp:positionV>
                <wp:extent cx="6480175" cy="175260"/>
                <wp:effectExtent l="0" t="0" r="0" b="0"/>
                <wp:wrapNone/>
                <wp:docPr id="815" name="Frame8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16" w:before="13" w:after="0"/>
        <w:ind w:left="20" w:right="0" w:hanging="0"/>
        <w:jc w:val="left"/>
        <w:rPr/>
      </w:pPr>
      <w:r>
        <w:rPr/>
        <w:t>​</w:t>
      </w:r>
    </w:p>
    <w:p>
      <w:pPr>
        <w:pStyle w:val="TextBody"/>
        <w:bidi w:val="0"/>
        <w:spacing w:lineRule="auto" w:line="16" w:before="0" w:after="0"/>
        <w:ind w:left="0" w:right="0" w:hanging="0"/>
        <w:jc w:val="left"/>
        <w:rPr/>
      </w:pPr>
      <w:r>
        <w:rPr/>
        <w:t>​</w:t>
      </w:r>
    </w:p>
    <w:p>
      <w:pPr>
        <w:pStyle w:val="TextBody"/>
        <w:bidi w:val="0"/>
        <w:spacing w:before="0" w:after="0"/>
        <w:ind w:left="1968" w:right="2451" w:hanging="0"/>
        <w:jc w:val="center"/>
        <w:rPr>
          <w:rFonts w:ascii="Times New Roman;Times;serif" w:hAnsi="Times New Roman;Times;serif"/>
          <w:b/>
          <w:sz w:val="21"/>
        </w:rPr>
      </w:pPr>
      <w:r>
        <w:rPr>
          <w:rFonts w:ascii="Times New Roman;Times;serif" w:hAnsi="Times New Roman;Times;serif"/>
          <w:b/>
          <w:sz w:val="21"/>
        </w:rPr>
        <w:t>LMWS, LLC</w:t>
      </w:r>
    </w:p>
    <w:p>
      <w:pPr>
        <w:pStyle w:val="TextBody"/>
        <w:bidi w:val="0"/>
        <w:spacing w:before="15" w:after="0"/>
        <w:ind w:left="1968" w:right="2451" w:hanging="0"/>
        <w:jc w:val="center"/>
        <w:rPr>
          <w:rFonts w:ascii="Times New Roman;Times;serif" w:hAnsi="Times New Roman;Times;serif"/>
          <w:b/>
          <w:sz w:val="21"/>
        </w:rPr>
      </w:pPr>
      <w:bookmarkStart w:id="2987" w:name="_TOC_250001"/>
      <w:bookmarkEnd w:id="2987"/>
      <w:r>
        <w:rPr>
          <w:rFonts w:ascii="Times New Roman;Times;serif" w:hAnsi="Times New Roman;Times;serif"/>
          <w:b/>
          <w:sz w:val="21"/>
        </w:rPr>
        <w:t>Statements of Income</w:t>
      </w:r>
    </w:p>
    <w:p>
      <w:pPr>
        <w:pStyle w:val="TextBody"/>
        <w:bidi w:val="0"/>
        <w:spacing w:before="38" w:after="0"/>
        <w:ind w:left="1952" w:right="2451" w:hanging="0"/>
        <w:jc w:val="center"/>
        <w:rPr>
          <w:rFonts w:ascii="Times New Roman;Times;serif" w:hAnsi="Times New Roman;Times;serif"/>
          <w:b/>
          <w:sz w:val="21"/>
        </w:rPr>
      </w:pPr>
      <w:r>
        <w:rPr>
          <w:rFonts w:ascii="Times New Roman;Times;serif" w:hAnsi="Times New Roman;Times;serif"/>
          <w:b/>
          <w:sz w:val="21"/>
        </w:rPr>
        <w:t>For the Years Ended December 31, 2025, 2024 and 2023</w:t>
      </w:r>
    </w:p>
    <w:p>
      <w:pPr>
        <w:pStyle w:val="TextBody"/>
        <w:bidi w:val="0"/>
        <w:spacing w:before="42" w:after="0"/>
        <w:ind w:left="1968" w:right="2451" w:hanging="0"/>
        <w:jc w:val="center"/>
        <w:rPr>
          <w:rFonts w:ascii="Times New Roman;Times;serif" w:hAnsi="Times New Roman;Times;serif"/>
          <w:sz w:val="18"/>
        </w:rPr>
      </w:pPr>
      <w:r>
        <w:rPr>
          <w:rFonts w:ascii="Times New Roman;Times;serif" w:hAnsi="Times New Roman;Times;serif"/>
          <w:sz w:val="18"/>
        </w:rPr>
        <w:t>(In thousands)</w:t>
      </w:r>
    </w:p>
    <w:p>
      <w:pPr>
        <w:pStyle w:val="TextBody"/>
        <w:bidi w:val="0"/>
        <w:spacing w:before="42" w:after="0"/>
        <w:ind w:left="1968" w:right="2451" w:hanging="0"/>
        <w:jc w:val="center"/>
        <w:rPr/>
      </w:pPr>
      <w:r>
        <w:rPr/>
        <w:t>​</w:t>
      </w:r>
    </w:p>
    <w:p>
      <w:pPr>
        <w:pStyle w:val="TextBody"/>
        <w:bidi w:val="0"/>
        <w:spacing w:before="42" w:after="0"/>
        <w:ind w:left="1968" w:right="2451" w:hanging="0"/>
        <w:jc w:val="center"/>
        <w:rPr/>
      </w:pPr>
      <w:r>
        <w:rPr/>
        <w:t>​</w:t>
      </w:r>
    </w:p>
    <w:tbl>
      <w:tblPr>
        <w:tblW w:w="6926" w:type="dxa"/>
        <w:jc w:val="center"/>
        <w:tblInd w:w="0" w:type="dxa"/>
        <w:tblLayout w:type="fixed"/>
        <w:tblCellMar>
          <w:top w:w="0" w:type="dxa"/>
          <w:left w:w="0" w:type="dxa"/>
          <w:bottom w:w="0" w:type="dxa"/>
          <w:right w:w="0" w:type="dxa"/>
        </w:tblCellMar>
      </w:tblPr>
      <w:tblGrid>
        <w:gridCol w:w="3406"/>
        <w:gridCol w:w="109"/>
        <w:gridCol w:w="211"/>
        <w:gridCol w:w="826"/>
        <w:gridCol w:w="109"/>
        <w:gridCol w:w="211"/>
        <w:gridCol w:w="826"/>
        <w:gridCol w:w="146"/>
        <w:gridCol w:w="211"/>
        <w:gridCol w:w="87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2162810" cy="29210"/>
                      <wp:effectExtent l="0" t="0" r="0" b="0"/>
                      <wp:wrapNone/>
                      <wp:docPr id="816" name="Frame812"/>
                      <a:graphic xmlns:a="http://schemas.openxmlformats.org/drawingml/2006/main">
                        <a:graphicData uri="http://schemas.microsoft.com/office/word/2010/wordprocessingShape">
                          <wps:wsp>
                            <wps:cNvSpPr txBox="1"/>
                            <wps:spPr>
                              <a:xfrm>
                                <a:off x="0" y="0"/>
                                <a:ext cx="2162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69215" cy="29210"/>
                      <wp:effectExtent l="0" t="0" r="0" b="0"/>
                      <wp:wrapNone/>
                      <wp:docPr id="817" name="Frame813"/>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133985" cy="29210"/>
                      <wp:effectExtent l="0" t="0" r="0" b="0"/>
                      <wp:wrapNone/>
                      <wp:docPr id="818" name="Frame814"/>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524510" cy="29210"/>
                      <wp:effectExtent l="0" t="0" r="0" b="0"/>
                      <wp:wrapNone/>
                      <wp:docPr id="819" name="Frame815"/>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69215" cy="29210"/>
                      <wp:effectExtent l="0" t="0" r="0" b="0"/>
                      <wp:wrapNone/>
                      <wp:docPr id="820" name="Frame816"/>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133985" cy="29210"/>
                      <wp:effectExtent l="0" t="0" r="0" b="0"/>
                      <wp:wrapNone/>
                      <wp:docPr id="821" name="Frame817"/>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524510" cy="29210"/>
                      <wp:effectExtent l="0" t="0" r="0" b="0"/>
                      <wp:wrapNone/>
                      <wp:docPr id="822" name="Frame818"/>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92710" cy="29210"/>
                      <wp:effectExtent l="0" t="0" r="0" b="0"/>
                      <wp:wrapNone/>
                      <wp:docPr id="823" name="Frame819"/>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133985" cy="29210"/>
                      <wp:effectExtent l="0" t="0" r="0" b="0"/>
                      <wp:wrapNone/>
                      <wp:docPr id="824" name="Frame820"/>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553720" cy="29210"/>
                      <wp:effectExtent l="0" t="0" r="0" b="0"/>
                      <wp:wrapNone/>
                      <wp:docPr id="825" name="Frame821"/>
                      <a:graphic xmlns:a="http://schemas.openxmlformats.org/drawingml/2006/main">
                        <a:graphicData uri="http://schemas.microsoft.com/office/word/2010/wordprocessingShape">
                          <wps:wsp>
                            <wps:cNvSpPr txBox="1"/>
                            <wps:spPr>
                              <a:xfrm>
                                <a:off x="0" y="0"/>
                                <a:ext cx="5537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146" w:type="dxa"/>
            <w:tcBorders/>
            <w:vAlign w:val="center"/>
          </w:tcPr>
          <w:p>
            <w:pPr>
              <w:pStyle w:val="TableContents"/>
              <w:bidi w:val="0"/>
              <w:spacing w:before="0" w:after="0"/>
              <w:ind w:left="0" w:right="0" w:hanging="0"/>
              <w:jc w:val="center"/>
              <w:rPr/>
            </w:pPr>
            <w:r>
              <w:rPr/>
              <w:t> </w:t>
            </w:r>
          </w:p>
        </w:tc>
        <w:tc>
          <w:tcPr>
            <w:tcW w:w="108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34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Revenues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Sales of homes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313,044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347,583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323,881 </w:t>
            </w:r>
          </w:p>
        </w:tc>
      </w:tr>
      <w:tr>
        <w:trPr/>
        <w:tc>
          <w:tcPr>
            <w:tcW w:w="34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Costs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Cost of homes sold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229,147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269,282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259,199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Operating income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83,897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78,301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64,682 </w:t>
            </w:r>
          </w:p>
        </w:tc>
      </w:tr>
      <w:tr>
        <w:trPr/>
        <w:tc>
          <w:tcPr>
            <w:tcW w:w="34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Expenses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Selling, general and administrative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18,359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19,384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17,079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Depreciation and amortization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675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529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613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Total expenses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19,034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19,913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17,692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Operating income before other income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64,863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58,388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46,990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Other income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540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153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264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Net income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65,403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58,541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47,254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i/>
          <w:sz w:val="20"/>
          <w:shd w:fill="FFFFFF" w:val="clear"/>
        </w:rPr>
        <w:t>See accompanying notes.</w:t>
      </w:r>
      <w:r>
        <w:rPr>
          <w:rFonts w:ascii="Times New Roman;Times;serif" w:hAnsi="Times New Roman;Times;serif"/>
          <w:sz w:val="22"/>
          <w:shd w:fill="FFFFFF" w:val="clear"/>
        </w:rPr>
        <w:tab/>
      </w:r>
      <w:r>
        <w:rPr>
          <w:rFonts w:ascii="Times New Roman;Times;serif" w:hAnsi="Times New Roman;Times;serif"/>
          <w:sz w:val="20"/>
          <w:shd w:fill="FFFFFF" w:val="clear"/>
        </w:rPr>
        <w:t>2</w:t>
      </w:r>
      <w:r>
        <mc:AlternateContent>
          <mc:Choice Requires="wps">
            <w:drawing>
              <wp:anchor behindDoc="0" distT="0" distB="0" distL="0" distR="0" simplePos="0" locked="0" layoutInCell="1" allowOverlap="1" relativeHeight="827">
                <wp:simplePos x="0" y="0"/>
                <wp:positionH relativeFrom="page">
                  <wp:posOffset>0</wp:posOffset>
                </wp:positionH>
                <wp:positionV relativeFrom="line">
                  <wp:posOffset>635</wp:posOffset>
                </wp:positionV>
                <wp:extent cx="6480175" cy="175260"/>
                <wp:effectExtent l="0" t="0" r="0" b="0"/>
                <wp:wrapNone/>
                <wp:docPr id="826" name="Frame8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1"/>
        </w:rPr>
      </w:pPr>
      <w:r>
        <w:rPr>
          <w:rFonts w:ascii="Times New Roman;Times;serif" w:hAnsi="Times New Roman;Times;serif"/>
          <w:b/>
          <w:sz w:val="21"/>
        </w:rPr>
        <w:t>LMWS, LLC</w:t>
      </w:r>
    </w:p>
    <w:p>
      <w:pPr>
        <w:pStyle w:val="TextBody"/>
        <w:bidi w:val="0"/>
        <w:spacing w:before="0" w:after="0"/>
        <w:ind w:left="0" w:right="0" w:hanging="0"/>
        <w:jc w:val="center"/>
        <w:rPr>
          <w:rFonts w:ascii="Times New Roman;Times;serif" w:hAnsi="Times New Roman;Times;serif"/>
          <w:b/>
          <w:sz w:val="21"/>
        </w:rPr>
      </w:pPr>
      <w:bookmarkStart w:id="2988" w:name="_TOC_250000"/>
      <w:bookmarkEnd w:id="2988"/>
      <w:r>
        <w:rPr>
          <w:rFonts w:ascii="Times New Roman;Times;serif" w:hAnsi="Times New Roman;Times;serif"/>
          <w:b/>
          <w:sz w:val="21"/>
        </w:rPr>
        <w:t>Statements of Members' Equity</w:t>
      </w:r>
    </w:p>
    <w:p>
      <w:pPr>
        <w:pStyle w:val="TextBody"/>
        <w:bidi w:val="0"/>
        <w:spacing w:before="0" w:after="0"/>
        <w:ind w:left="0" w:right="0" w:hanging="0"/>
        <w:jc w:val="center"/>
        <w:rPr>
          <w:rFonts w:ascii="Times New Roman;Times;serif" w:hAnsi="Times New Roman;Times;serif"/>
          <w:b/>
          <w:sz w:val="21"/>
        </w:rPr>
      </w:pPr>
      <w:r>
        <w:rPr>
          <w:rFonts w:ascii="Times New Roman;Times;serif" w:hAnsi="Times New Roman;Times;serif"/>
          <w:b/>
          <w:sz w:val="21"/>
        </w:rPr>
        <w:t>For the Years Ended December 31, 2025, 2024 and 2023</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p>
      <w:pPr>
        <w:pStyle w:val="TextBody"/>
        <w:bidi w:val="0"/>
        <w:spacing w:before="42" w:after="0"/>
        <w:ind w:left="2062" w:right="2286" w:hanging="0"/>
        <w:jc w:val="center"/>
        <w:rPr/>
      </w:pPr>
      <w:r>
        <w:rPr/>
        <w:t>​</w:t>
      </w:r>
    </w:p>
    <w:p>
      <w:pPr>
        <w:pStyle w:val="TextBody"/>
        <w:bidi w:val="0"/>
        <w:spacing w:before="0" w:after="0"/>
        <w:ind w:left="0" w:right="0" w:hanging="0"/>
        <w:jc w:val="left"/>
        <w:rPr/>
      </w:pPr>
      <w:r>
        <w:rPr/>
        <w:t>​</w:t>
      </w:r>
    </w:p>
    <w:tbl>
      <w:tblPr>
        <w:tblW w:w="6817" w:type="dxa"/>
        <w:jc w:val="center"/>
        <w:tblInd w:w="0" w:type="dxa"/>
        <w:tblLayout w:type="fixed"/>
        <w:tblCellMar>
          <w:top w:w="0" w:type="dxa"/>
          <w:left w:w="0" w:type="dxa"/>
          <w:bottom w:w="0" w:type="dxa"/>
          <w:right w:w="0" w:type="dxa"/>
        </w:tblCellMar>
      </w:tblPr>
      <w:tblGrid>
        <w:gridCol w:w="2656"/>
        <w:gridCol w:w="109"/>
        <w:gridCol w:w="297"/>
        <w:gridCol w:w="1038"/>
        <w:gridCol w:w="109"/>
        <w:gridCol w:w="307"/>
        <w:gridCol w:w="1073"/>
        <w:gridCol w:w="146"/>
        <w:gridCol w:w="211"/>
        <w:gridCol w:w="87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1686560" cy="29210"/>
                      <wp:effectExtent l="0" t="0" r="0" b="0"/>
                      <wp:wrapNone/>
                      <wp:docPr id="827" name="Frame823"/>
                      <a:graphic xmlns:a="http://schemas.openxmlformats.org/drawingml/2006/main">
                        <a:graphicData uri="http://schemas.microsoft.com/office/word/2010/wordprocessingShape">
                          <wps:wsp>
                            <wps:cNvSpPr txBox="1"/>
                            <wps:spPr>
                              <a:xfrm>
                                <a:off x="0" y="0"/>
                                <a:ext cx="1686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69215" cy="29210"/>
                      <wp:effectExtent l="0" t="0" r="0" b="0"/>
                      <wp:wrapNone/>
                      <wp:docPr id="828" name="Frame824"/>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188595" cy="29210"/>
                      <wp:effectExtent l="0" t="0" r="0" b="0"/>
                      <wp:wrapNone/>
                      <wp:docPr id="829" name="Frame825"/>
                      <a:graphic xmlns:a="http://schemas.openxmlformats.org/drawingml/2006/main">
                        <a:graphicData uri="http://schemas.microsoft.com/office/word/2010/wordprocessingShape">
                          <wps:wsp>
                            <wps:cNvSpPr txBox="1"/>
                            <wps:spPr>
                              <a:xfrm>
                                <a:off x="0" y="0"/>
                                <a:ext cx="1885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659130" cy="29210"/>
                      <wp:effectExtent l="0" t="0" r="0" b="0"/>
                      <wp:wrapNone/>
                      <wp:docPr id="830" name="Frame826"/>
                      <a:graphic xmlns:a="http://schemas.openxmlformats.org/drawingml/2006/main">
                        <a:graphicData uri="http://schemas.microsoft.com/office/word/2010/wordprocessingShape">
                          <wps:wsp>
                            <wps:cNvSpPr txBox="1"/>
                            <wps:spPr>
                              <a:xfrm>
                                <a:off x="0" y="0"/>
                                <a:ext cx="659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69215" cy="29210"/>
                      <wp:effectExtent l="0" t="0" r="0" b="0"/>
                      <wp:wrapNone/>
                      <wp:docPr id="831" name="Frame827"/>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194945" cy="29210"/>
                      <wp:effectExtent l="0" t="0" r="0" b="0"/>
                      <wp:wrapNone/>
                      <wp:docPr id="832" name="Frame828"/>
                      <a:graphic xmlns:a="http://schemas.openxmlformats.org/drawingml/2006/main">
                        <a:graphicData uri="http://schemas.microsoft.com/office/word/2010/wordprocessingShape">
                          <wps:wsp>
                            <wps:cNvSpPr txBox="1"/>
                            <wps:spPr>
                              <a:xfrm>
                                <a:off x="0" y="0"/>
                                <a:ext cx="1949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681355" cy="29210"/>
                      <wp:effectExtent l="0" t="0" r="0" b="0"/>
                      <wp:wrapNone/>
                      <wp:docPr id="833" name="Frame829"/>
                      <a:graphic xmlns:a="http://schemas.openxmlformats.org/drawingml/2006/main">
                        <a:graphicData uri="http://schemas.microsoft.com/office/word/2010/wordprocessingShape">
                          <wps:wsp>
                            <wps:cNvSpPr txBox="1"/>
                            <wps:spPr>
                              <a:xfrm>
                                <a:off x="0" y="0"/>
                                <a:ext cx="6813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92710" cy="29210"/>
                      <wp:effectExtent l="0" t="0" r="0" b="0"/>
                      <wp:wrapNone/>
                      <wp:docPr id="834" name="Frame830"/>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133985" cy="29210"/>
                      <wp:effectExtent l="0" t="0" r="0" b="0"/>
                      <wp:wrapNone/>
                      <wp:docPr id="835" name="Frame831"/>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553085" cy="29210"/>
                      <wp:effectExtent l="0" t="0" r="0" b="0"/>
                      <wp:wrapNone/>
                      <wp:docPr id="836" name="Frame832"/>
                      <a:graphic xmlns:a="http://schemas.openxmlformats.org/drawingml/2006/main">
                        <a:graphicData uri="http://schemas.microsoft.com/office/word/2010/wordprocessingShape">
                          <wps:wsp>
                            <wps:cNvSpPr txBox="1"/>
                            <wps:spPr>
                              <a:xfrm>
                                <a:off x="0" y="0"/>
                                <a:ext cx="55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Capital</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vAlign w:val="center"/>
          </w:tcPr>
          <w:p>
            <w:pPr>
              <w:pStyle w:val="TableContents"/>
              <w:bidi w:val="0"/>
              <w:spacing w:before="0" w:after="283"/>
              <w:ind w:left="0" w:right="0" w:hanging="0"/>
              <w:jc w:val="left"/>
              <w:rPr>
                <w:sz w:val="4"/>
                <w:szCs w:val="4"/>
              </w:rPr>
            </w:pPr>
            <w:r>
              <w:rPr>
                <w:sz w:val="4"/>
                <w:szCs w:val="4"/>
              </w:rPr>
            </w:r>
          </w:p>
        </w:tc>
        <w:tc>
          <w:tcPr>
            <w:tcW w:w="1073"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6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Contributions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Accumulated</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Members'</w:t>
            </w:r>
          </w:p>
        </w:tc>
      </w:tr>
      <w:tr>
        <w:trPr/>
        <w:tc>
          <w:tcPr>
            <w:tcW w:w="26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(Distributions)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 (Deficit)</w:t>
            </w:r>
          </w:p>
        </w:tc>
        <w:tc>
          <w:tcPr>
            <w:tcW w:w="146" w:type="dxa"/>
            <w:tcBorders/>
            <w:vAlign w:val="center"/>
          </w:tcPr>
          <w:p>
            <w:pPr>
              <w:pStyle w:val="TableContents"/>
              <w:bidi w:val="0"/>
              <w:spacing w:before="0" w:after="0"/>
              <w:ind w:left="0" w:right="0" w:hanging="0"/>
              <w:jc w:val="center"/>
              <w:rPr/>
            </w:pPr>
            <w:r>
              <w:rPr/>
              <w:t> </w:t>
            </w:r>
          </w:p>
        </w:tc>
        <w:tc>
          <w:tcPr>
            <w:tcW w:w="108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26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vAlign w:val="center"/>
          </w:tcPr>
          <w:p>
            <w:pPr>
              <w:pStyle w:val="TableContents"/>
              <w:bidi w:val="0"/>
              <w:spacing w:before="0" w:after="283"/>
              <w:ind w:left="0" w:right="0" w:hanging="0"/>
              <w:jc w:val="left"/>
              <w:rPr>
                <w:sz w:val="4"/>
                <w:szCs w:val="4"/>
              </w:rPr>
            </w:pPr>
            <w:r>
              <w:rPr>
                <w:sz w:val="4"/>
                <w:szCs w:val="4"/>
              </w:rPr>
            </w:r>
          </w:p>
        </w:tc>
        <w:tc>
          <w:tcPr>
            <w:tcW w:w="103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vAlign w:val="center"/>
          </w:tcPr>
          <w:p>
            <w:pPr>
              <w:pStyle w:val="TableContents"/>
              <w:bidi w:val="0"/>
              <w:spacing w:before="0" w:after="283"/>
              <w:ind w:left="0" w:right="0" w:hanging="0"/>
              <w:jc w:val="left"/>
              <w:rPr>
                <w:sz w:val="4"/>
                <w:szCs w:val="4"/>
              </w:rPr>
            </w:pPr>
            <w:r>
              <w:rPr>
                <w:sz w:val="4"/>
                <w:szCs w:val="4"/>
              </w:rPr>
            </w:r>
          </w:p>
        </w:tc>
        <w:tc>
          <w:tcPr>
            <w:tcW w:w="1073"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Balance, January 1,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54,927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2,807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57,734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Members' distributions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vAlign w:val="center"/>
          </w:tcPr>
          <w:p>
            <w:pPr>
              <w:pStyle w:val="TableContents"/>
              <w:bidi w:val="0"/>
              <w:spacing w:before="0" w:after="283"/>
              <w:ind w:left="0" w:right="0" w:hanging="0"/>
              <w:jc w:val="left"/>
              <w:rPr>
                <w:sz w:val="4"/>
                <w:szCs w:val="4"/>
              </w:rPr>
            </w:pPr>
            <w:r>
              <w:rPr>
                <w:sz w:val="4"/>
                <w:szCs w:val="4"/>
              </w:rPr>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(16,374)</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vAlign w:val="center"/>
          </w:tcPr>
          <w:p>
            <w:pPr>
              <w:pStyle w:val="TableContents"/>
              <w:bidi w:val="0"/>
              <w:spacing w:before="0" w:after="283"/>
              <w:ind w:left="0" w:right="0" w:hanging="0"/>
              <w:jc w:val="left"/>
              <w:rPr>
                <w:sz w:val="4"/>
                <w:szCs w:val="4"/>
              </w:rPr>
            </w:pPr>
            <w:r>
              <w:rPr>
                <w:sz w:val="4"/>
                <w:szCs w:val="4"/>
              </w:rPr>
            </w:r>
          </w:p>
        </w:tc>
        <w:tc>
          <w:tcPr>
            <w:tcW w:w="1073" w:type="dxa"/>
            <w:tcBorders/>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(16,374)</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Net income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038" w:type="dxa"/>
            <w:tcBorders>
              <w:bottom w:val="single" w:sz="8" w:space="0" w:color="000000"/>
            </w:tcBorders>
            <w:tcMar>
              <w:bottom w:w="28" w:type="dxa"/>
            </w:tcMar>
            <w:vAlign w:val="center"/>
          </w:tcPr>
          <w:p>
            <w:pPr>
              <w:pStyle w:val="TableContents"/>
              <w:bidi w:val="0"/>
              <w:spacing w:before="0" w:after="0"/>
              <w:ind w:left="0" w:right="0" w:hanging="0"/>
              <w:jc w:val="right"/>
              <w:rPr/>
            </w:pPr>
            <w:r>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073"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47,254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47,254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Balance, December 31,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38,553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vAlign w:val="center"/>
          </w:tcPr>
          <w:p>
            <w:pPr>
              <w:pStyle w:val="TableContents"/>
              <w:bidi w:val="0"/>
              <w:spacing w:before="0" w:after="283"/>
              <w:ind w:left="0" w:right="0" w:hanging="0"/>
              <w:jc w:val="left"/>
              <w:rPr>
                <w:sz w:val="4"/>
                <w:szCs w:val="4"/>
              </w:rPr>
            </w:pPr>
            <w:r>
              <w:rPr>
                <w:sz w:val="4"/>
                <w:szCs w:val="4"/>
              </w:rPr>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50,061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88,614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Members' distributions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vAlign w:val="center"/>
          </w:tcPr>
          <w:p>
            <w:pPr>
              <w:pStyle w:val="TableContents"/>
              <w:bidi w:val="0"/>
              <w:spacing w:before="0" w:after="283"/>
              <w:ind w:left="0" w:right="0" w:hanging="0"/>
              <w:jc w:val="left"/>
              <w:rPr>
                <w:sz w:val="4"/>
                <w:szCs w:val="4"/>
              </w:rPr>
            </w:pPr>
            <w:r>
              <w:rPr>
                <w:sz w:val="4"/>
                <w:szCs w:val="4"/>
              </w:rPr>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vAlign w:val="center"/>
          </w:tcPr>
          <w:p>
            <w:pPr>
              <w:pStyle w:val="TableContents"/>
              <w:bidi w:val="0"/>
              <w:spacing w:before="0" w:after="283"/>
              <w:ind w:left="0" w:right="0" w:hanging="0"/>
              <w:jc w:val="left"/>
              <w:rPr>
                <w:sz w:val="4"/>
                <w:szCs w:val="4"/>
              </w:rPr>
            </w:pPr>
            <w:r>
              <w:rPr>
                <w:sz w:val="4"/>
                <w:szCs w:val="4"/>
              </w:rPr>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(27,575)</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(47,144)</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Net income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038" w:type="dxa"/>
            <w:tcBorders>
              <w:bottom w:val="single" w:sz="8" w:space="0" w:color="000000"/>
            </w:tcBorders>
            <w:tcMar>
              <w:bottom w:w="28" w:type="dxa"/>
            </w:tcMar>
            <w:vAlign w:val="center"/>
          </w:tcPr>
          <w:p>
            <w:pPr>
              <w:pStyle w:val="TableContents"/>
              <w:bidi w:val="0"/>
              <w:spacing w:before="0" w:after="0"/>
              <w:ind w:left="0" w:right="0" w:hanging="0"/>
              <w:jc w:val="right"/>
              <w:rPr/>
            </w:pPr>
            <w:r>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073"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58,541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58,541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Balance, December 31, 2024</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vAlign w:val="center"/>
          </w:tcPr>
          <w:p>
            <w:pPr>
              <w:pStyle w:val="TableContents"/>
              <w:bidi w:val="0"/>
              <w:spacing w:before="0" w:after="283"/>
              <w:ind w:left="0" w:right="0" w:hanging="0"/>
              <w:jc w:val="left"/>
              <w:rPr>
                <w:sz w:val="4"/>
                <w:szCs w:val="4"/>
              </w:rPr>
            </w:pPr>
            <w:r>
              <w:rPr>
                <w:sz w:val="4"/>
                <w:szCs w:val="4"/>
              </w:rPr>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18,984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vAlign w:val="center"/>
          </w:tcPr>
          <w:p>
            <w:pPr>
              <w:pStyle w:val="TableContents"/>
              <w:bidi w:val="0"/>
              <w:spacing w:before="0" w:after="283"/>
              <w:ind w:left="0" w:right="0" w:hanging="0"/>
              <w:jc w:val="left"/>
              <w:rPr>
                <w:sz w:val="4"/>
                <w:szCs w:val="4"/>
              </w:rPr>
            </w:pPr>
            <w:r>
              <w:rPr>
                <w:sz w:val="4"/>
                <w:szCs w:val="4"/>
              </w:rPr>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81,027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100,011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Members' distributions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vAlign w:val="center"/>
          </w:tcPr>
          <w:p>
            <w:pPr>
              <w:pStyle w:val="TableContents"/>
              <w:bidi w:val="0"/>
              <w:spacing w:before="0" w:after="283"/>
              <w:ind w:left="0" w:right="0" w:hanging="0"/>
              <w:jc w:val="left"/>
              <w:rPr>
                <w:sz w:val="4"/>
                <w:szCs w:val="4"/>
              </w:rPr>
            </w:pPr>
            <w:r>
              <w:rPr>
                <w:sz w:val="4"/>
                <w:szCs w:val="4"/>
              </w:rPr>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vAlign w:val="center"/>
          </w:tcPr>
          <w:p>
            <w:pPr>
              <w:pStyle w:val="TableContents"/>
              <w:bidi w:val="0"/>
              <w:spacing w:before="0" w:after="283"/>
              <w:ind w:left="0" w:right="0" w:hanging="0"/>
              <w:jc w:val="left"/>
              <w:rPr>
                <w:sz w:val="4"/>
                <w:szCs w:val="4"/>
              </w:rPr>
            </w:pPr>
            <w:r>
              <w:rPr>
                <w:sz w:val="4"/>
                <w:szCs w:val="4"/>
              </w:rPr>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(65,439)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Net income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038" w:type="dxa"/>
            <w:tcBorders>
              <w:bottom w:val="single" w:sz="8" w:space="0" w:color="000000"/>
            </w:tcBorders>
            <w:tcMar>
              <w:bottom w:w="28" w:type="dxa"/>
            </w:tcMar>
            <w:vAlign w:val="center"/>
          </w:tcPr>
          <w:p>
            <w:pPr>
              <w:pStyle w:val="TableContents"/>
              <w:bidi w:val="0"/>
              <w:spacing w:before="0" w:after="0"/>
              <w:ind w:left="0" w:right="0" w:hanging="0"/>
              <w:jc w:val="right"/>
              <w:rPr/>
            </w:pPr>
            <w:r>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073"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65,403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65,403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Balance, December 31, 2025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13,545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86,430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99,975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i/>
          <w:sz w:val="20"/>
          <w:shd w:fill="FFFFFF" w:val="clear"/>
        </w:rPr>
        <w:t>See accompanying notes.</w:t>
      </w:r>
      <w:r>
        <w:rPr>
          <w:rFonts w:ascii="Times New Roman;Times;serif" w:hAnsi="Times New Roman;Times;serif"/>
          <w:sz w:val="22"/>
          <w:shd w:fill="FFFFFF" w:val="clear"/>
        </w:rPr>
        <w:tab/>
      </w:r>
      <w:r>
        <w:rPr>
          <w:rFonts w:ascii="Times New Roman;Times;serif" w:hAnsi="Times New Roman;Times;serif"/>
          <w:sz w:val="20"/>
          <w:shd w:fill="FFFFFF" w:val="clear"/>
        </w:rPr>
        <w:t>3</w:t>
      </w:r>
      <w:r>
        <mc:AlternateContent>
          <mc:Choice Requires="wps">
            <w:drawing>
              <wp:anchor behindDoc="0" distT="0" distB="0" distL="0" distR="0" simplePos="0" locked="0" layoutInCell="1" allowOverlap="1" relativeHeight="838">
                <wp:simplePos x="0" y="0"/>
                <wp:positionH relativeFrom="page">
                  <wp:posOffset>0</wp:posOffset>
                </wp:positionH>
                <wp:positionV relativeFrom="line">
                  <wp:posOffset>635</wp:posOffset>
                </wp:positionV>
                <wp:extent cx="6480175" cy="175260"/>
                <wp:effectExtent l="0" t="0" r="0" b="0"/>
                <wp:wrapNone/>
                <wp:docPr id="837" name="Frame8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1"/>
        </w:rPr>
      </w:pPr>
      <w:r>
        <w:rPr>
          <w:rFonts w:ascii="Times New Roman;Times;serif" w:hAnsi="Times New Roman;Times;serif"/>
          <w:b/>
          <w:sz w:val="21"/>
        </w:rPr>
        <w:t>LMWS, LLC</w:t>
      </w:r>
    </w:p>
    <w:p>
      <w:pPr>
        <w:pStyle w:val="TextBody"/>
        <w:bidi w:val="0"/>
        <w:spacing w:before="0" w:after="0"/>
        <w:ind w:left="0" w:right="0" w:hanging="0"/>
        <w:jc w:val="center"/>
        <w:rPr>
          <w:rFonts w:ascii="Times New Roman;Times;serif" w:hAnsi="Times New Roman;Times;serif"/>
          <w:b/>
          <w:sz w:val="21"/>
        </w:rPr>
      </w:pPr>
      <w:r>
        <w:rPr>
          <w:rFonts w:ascii="Times New Roman;Times;serif" w:hAnsi="Times New Roman;Times;serif"/>
          <w:b/>
          <w:sz w:val="21"/>
        </w:rPr>
        <w:t>Statements of Cash Flows</w:t>
      </w:r>
    </w:p>
    <w:p>
      <w:pPr>
        <w:pStyle w:val="TextBody"/>
        <w:bidi w:val="0"/>
        <w:spacing w:before="0" w:after="0"/>
        <w:ind w:left="0" w:right="0" w:hanging="0"/>
        <w:jc w:val="center"/>
        <w:rPr>
          <w:rFonts w:ascii="Times New Roman;Times;serif" w:hAnsi="Times New Roman;Times;serif"/>
          <w:b/>
          <w:sz w:val="21"/>
        </w:rPr>
      </w:pPr>
      <w:r>
        <w:rPr>
          <w:rFonts w:ascii="Times New Roman;Times;serif" w:hAnsi="Times New Roman;Times;serif"/>
          <w:b/>
          <w:sz w:val="21"/>
        </w:rPr>
        <w:t>For the Years Ended December 31, 2025, 2024 and 2023</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p>
      <w:pPr>
        <w:pStyle w:val="TextBody"/>
        <w:bidi w:val="0"/>
        <w:spacing w:before="1" w:after="0"/>
        <w:ind w:left="0" w:right="0" w:hanging="0"/>
        <w:jc w:val="left"/>
        <w:rPr/>
      </w:pPr>
      <w:r>
        <w:rPr/>
        <w:t>​</w:t>
      </w:r>
    </w:p>
    <w:tbl>
      <w:tblPr>
        <w:tblW w:w="7841" w:type="dxa"/>
        <w:jc w:val="center"/>
        <w:tblInd w:w="0" w:type="dxa"/>
        <w:tblLayout w:type="fixed"/>
        <w:tblCellMar>
          <w:top w:w="0" w:type="dxa"/>
          <w:left w:w="0" w:type="dxa"/>
          <w:bottom w:w="0" w:type="dxa"/>
          <w:right w:w="0" w:type="dxa"/>
        </w:tblCellMar>
      </w:tblPr>
      <w:tblGrid>
        <w:gridCol w:w="4411"/>
        <w:gridCol w:w="109"/>
        <w:gridCol w:w="196"/>
        <w:gridCol w:w="811"/>
        <w:gridCol w:w="109"/>
        <w:gridCol w:w="196"/>
        <w:gridCol w:w="811"/>
        <w:gridCol w:w="146"/>
        <w:gridCol w:w="196"/>
        <w:gridCol w:w="85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2800985" cy="29210"/>
                      <wp:effectExtent l="0" t="0" r="0" b="0"/>
                      <wp:wrapNone/>
                      <wp:docPr id="838" name="Frame834"/>
                      <a:graphic xmlns:a="http://schemas.openxmlformats.org/drawingml/2006/main">
                        <a:graphicData uri="http://schemas.microsoft.com/office/word/2010/wordprocessingShape">
                          <wps:wsp>
                            <wps:cNvSpPr txBox="1"/>
                            <wps:spPr>
                              <a:xfrm>
                                <a:off x="0" y="0"/>
                                <a:ext cx="2800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69215" cy="29210"/>
                      <wp:effectExtent l="0" t="0" r="0" b="0"/>
                      <wp:wrapNone/>
                      <wp:docPr id="839" name="Frame835"/>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124460" cy="29210"/>
                      <wp:effectExtent l="0" t="0" r="0" b="0"/>
                      <wp:wrapNone/>
                      <wp:docPr id="840" name="Frame836"/>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514985" cy="29210"/>
                      <wp:effectExtent l="0" t="0" r="0" b="0"/>
                      <wp:wrapNone/>
                      <wp:docPr id="841" name="Frame837"/>
                      <a:graphic xmlns:a="http://schemas.openxmlformats.org/drawingml/2006/main">
                        <a:graphicData uri="http://schemas.microsoft.com/office/word/2010/wordprocessingShape">
                          <wps:wsp>
                            <wps:cNvSpPr txBox="1"/>
                            <wps:spPr>
                              <a:xfrm>
                                <a:off x="0" y="0"/>
                                <a:ext cx="514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69215" cy="29210"/>
                      <wp:effectExtent l="0" t="0" r="0" b="0"/>
                      <wp:wrapNone/>
                      <wp:docPr id="842" name="Frame838"/>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124460" cy="29210"/>
                      <wp:effectExtent l="0" t="0" r="0" b="0"/>
                      <wp:wrapNone/>
                      <wp:docPr id="843" name="Frame839"/>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514985" cy="29210"/>
                      <wp:effectExtent l="0" t="0" r="0" b="0"/>
                      <wp:wrapNone/>
                      <wp:docPr id="844" name="Frame840"/>
                      <a:graphic xmlns:a="http://schemas.openxmlformats.org/drawingml/2006/main">
                        <a:graphicData uri="http://schemas.microsoft.com/office/word/2010/wordprocessingShape">
                          <wps:wsp>
                            <wps:cNvSpPr txBox="1"/>
                            <wps:spPr>
                              <a:xfrm>
                                <a:off x="0" y="0"/>
                                <a:ext cx="514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92710" cy="29210"/>
                      <wp:effectExtent l="0" t="0" r="0" b="0"/>
                      <wp:wrapNone/>
                      <wp:docPr id="845" name="Frame84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124460" cy="29210"/>
                      <wp:effectExtent l="0" t="0" r="0" b="0"/>
                      <wp:wrapNone/>
                      <wp:docPr id="846" name="Frame842"/>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543560" cy="29210"/>
                      <wp:effectExtent l="0" t="0" r="0" b="0"/>
                      <wp:wrapNone/>
                      <wp:docPr id="847" name="Frame843"/>
                      <a:graphic xmlns:a="http://schemas.openxmlformats.org/drawingml/2006/main">
                        <a:graphicData uri="http://schemas.microsoft.com/office/word/2010/wordprocessingShape">
                          <wps:wsp>
                            <wps:cNvSpPr txBox="1"/>
                            <wps:spPr>
                              <a:xfrm>
                                <a:off x="0" y="0"/>
                                <a:ext cx="543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4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0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0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2024</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2023</w:t>
            </w:r>
          </w:p>
        </w:tc>
      </w:tr>
      <w:tr>
        <w:trPr/>
        <w:tc>
          <w:tcPr>
            <w:tcW w:w="44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283"/>
              <w:ind w:left="0" w:right="0" w:hanging="0"/>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activities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283"/>
              <w:ind w:left="0" w:right="0" w:hanging="0"/>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65,403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58,541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47,254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Adjustments to reconcile net income to net cash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283"/>
              <w:ind w:left="0" w:right="0" w:hanging="0"/>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provided by operating activities: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283"/>
              <w:ind w:left="0" w:right="0" w:hanging="0"/>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675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529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613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Donation of property and equipment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pPr>
            <w:r>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456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283"/>
              <w:ind w:left="0" w:right="0" w:hanging="0"/>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inventory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52,908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(3,245)</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(17,341)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prepaid expenses and other assets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1,003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791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385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(2,922)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138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2,098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to member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1,158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pPr>
            <w:r>
              <w:rPr/>
              <w:t xml:space="preserve">—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deposits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(27,398)</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(13,178)</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(6,855)</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provided by operating activities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90,827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43,576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26,610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Investing activities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283"/>
              <w:ind w:left="0" w:right="0" w:hanging="0"/>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property and equipment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pPr>
            <w:r>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35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 to property and equipment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(717)</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8" w:space="0" w:color="000000"/>
            </w:tcBorders>
            <w:tcMar>
              <w:bottom w:w="28" w:type="dxa"/>
            </w:tcMar>
            <w:vAlign w:val="center"/>
          </w:tcPr>
          <w:p>
            <w:pPr>
              <w:pStyle w:val="TableContents"/>
              <w:bidi w:val="0"/>
              <w:spacing w:before="0" w:after="0"/>
              <w:ind w:left="0" w:right="0" w:hanging="0"/>
              <w:jc w:val="right"/>
              <w:rPr/>
            </w:pPr>
            <w:r>
              <w:rPr/>
              <w:t xml:space="preserve">—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provided by investing activities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(717)</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35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Financing activities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283"/>
              <w:ind w:left="0" w:right="0" w:hanging="0"/>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revolving credit facility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44,041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179,106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178,153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revolving credit facility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(85,297)</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(175,304)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(170,709)</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Members' distributions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(65,439)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(47,144)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(16,374)</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of financing costs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pPr>
            <w:r>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financing activities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(106,695)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(43,455)</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(9,043)</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(decrease) increase in cash</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(16,585)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17,602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beginning of year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27,706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28,235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10,633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end of year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11,121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27,706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28,235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Supplemental disclosures of cash flow information: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283"/>
              <w:ind w:left="0" w:right="0" w:hanging="0"/>
              <w:jc w:val="left"/>
              <w:rPr>
                <w:sz w:val="4"/>
                <w:szCs w:val="4"/>
              </w:rPr>
            </w:pPr>
            <w:r>
              <w:rPr>
                <w:sz w:val="4"/>
                <w:szCs w:val="4"/>
              </w:rPr>
            </w:r>
          </w:p>
        </w:tc>
      </w:tr>
      <w:tr>
        <w:trPr/>
        <w:tc>
          <w:tcPr>
            <w:tcW w:w="7841" w:type="dxa"/>
            <w:gridSpan w:val="10"/>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following table provides a reconciliation of cash, cash equivalents and restricted cash reporting within</w:t>
            </w:r>
          </w:p>
        </w:tc>
      </w:tr>
      <w:tr>
        <w:trPr/>
        <w:tc>
          <w:tcPr>
            <w:tcW w:w="7841" w:type="dxa"/>
            <w:gridSpan w:val="10"/>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balance sheet that sum to the total of the amounts shown in the statement of cash flows:</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10,908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27,269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26,230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213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437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2,005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Total cash, cash equivalents and restricted cash above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11,121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27,706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28,235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793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1,747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2,023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incurred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 xml:space="preserve">598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1,812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2,067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capitalized to real estate inventory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(598)</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(2,067)</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incurred, net of amounts capitalized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pPr>
            <w:r>
              <w:rPr/>
              <w:t xml:space="preserve">—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pPr>
            <w:r>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i/>
          <w:sz w:val="20"/>
          <w:shd w:fill="FFFFFF" w:val="clear"/>
        </w:rPr>
        <w:t>See accompanying notes.</w:t>
      </w:r>
      <w:r>
        <w:rPr>
          <w:rFonts w:ascii="Times New Roman;Times;serif" w:hAnsi="Times New Roman;Times;serif"/>
          <w:sz w:val="22"/>
          <w:shd w:fill="FFFFFF" w:val="clear"/>
        </w:rPr>
        <w:tab/>
      </w:r>
      <w:r>
        <w:rPr>
          <w:rFonts w:ascii="Times New Roman;Times;serif" w:hAnsi="Times New Roman;Times;serif"/>
          <w:sz w:val="20"/>
          <w:shd w:fill="FFFFFF" w:val="clear"/>
        </w:rPr>
        <w:t>4</w:t>
      </w:r>
      <w:r>
        <mc:AlternateContent>
          <mc:Choice Requires="wps">
            <w:drawing>
              <wp:anchor behindDoc="0" distT="0" distB="0" distL="0" distR="0" simplePos="0" locked="0" layoutInCell="1" allowOverlap="1" relativeHeight="849">
                <wp:simplePos x="0" y="0"/>
                <wp:positionH relativeFrom="page">
                  <wp:posOffset>0</wp:posOffset>
                </wp:positionH>
                <wp:positionV relativeFrom="line">
                  <wp:posOffset>635</wp:posOffset>
                </wp:positionV>
                <wp:extent cx="6480175" cy="175260"/>
                <wp:effectExtent l="0" t="0" r="0" b="0"/>
                <wp:wrapNone/>
                <wp:docPr id="848" name="Frame8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LMWS, LLC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Financial Statements</w:t>
      </w:r>
    </w:p>
    <w:p>
      <w:pPr>
        <w:pStyle w:val="TextBody"/>
        <w:bidi w:val="0"/>
        <w:spacing w:before="8" w:after="0"/>
        <w:ind w:left="0" w:right="0" w:hanging="0"/>
        <w:jc w:val="left"/>
        <w:rPr/>
      </w:pPr>
      <w:r>
        <w:rPr/>
        <w:t>​</w:t>
      </w:r>
    </w:p>
    <w:p>
      <w:pPr>
        <w:pStyle w:val="TextBody"/>
        <w:bidi w:val="0"/>
        <w:ind w:left="160" w:right="0" w:hanging="0"/>
        <w:jc w:val="left"/>
        <w:rPr>
          <w:rFonts w:ascii="Arial;Helvetica;sans-serif" w:hAnsi="Arial;Helvetica;sans-serif"/>
          <w:b/>
          <w:sz w:val="21"/>
        </w:rPr>
      </w:pPr>
      <w:r>
        <w:rPr>
          <w:rFonts w:ascii="Arial;Helvetica;sans-serif" w:hAnsi="Arial;Helvetica;sans-serif"/>
          <w:b/>
          <w:sz w:val="21"/>
        </w:rPr>
        <w:t>1.</w:t>
      </w:r>
      <w:r>
        <w:rPr>
          <w:rFonts w:ascii="Arial;Helvetica;sans-serif" w:hAnsi="Arial;Helvetica;sans-serif"/>
          <w:b/>
          <w:spacing w:val="-4"/>
          <w:sz w:val="21"/>
        </w:rPr>
        <w:t xml:space="preserve">Formation </w:t>
      </w:r>
      <w:r>
        <w:rPr>
          <w:rFonts w:ascii="Arial;Helvetica;sans-serif" w:hAnsi="Arial;Helvetica;sans-serif"/>
          <w:b/>
          <w:spacing w:val="-3"/>
          <w:sz w:val="21"/>
        </w:rPr>
        <w:t xml:space="preserve">and </w:t>
      </w:r>
      <w:r>
        <w:rPr>
          <w:rFonts w:ascii="Arial;Helvetica;sans-serif" w:hAnsi="Arial;Helvetica;sans-serif"/>
          <w:b/>
          <w:spacing w:val="-4"/>
          <w:sz w:val="21"/>
        </w:rPr>
        <w:t xml:space="preserve">Description </w:t>
      </w:r>
      <w:r>
        <w:rPr>
          <w:rFonts w:ascii="Arial;Helvetica;sans-serif" w:hAnsi="Arial;Helvetica;sans-serif"/>
          <w:b/>
          <w:sz w:val="21"/>
        </w:rPr>
        <w:t>of</w:t>
      </w:r>
      <w:r>
        <w:rPr>
          <w:rFonts w:ascii="Arial;Helvetica;sans-serif" w:hAnsi="Arial;Helvetica;sans-serif"/>
          <w:b/>
          <w:spacing w:val="-17"/>
          <w:sz w:val="21"/>
        </w:rPr>
        <w:t xml:space="preserve"> </w:t>
      </w:r>
      <w:r>
        <w:rPr>
          <w:rFonts w:ascii="Arial;Helvetica;sans-serif" w:hAnsi="Arial;Helvetica;sans-serif"/>
          <w:b/>
          <w:spacing w:val="-4"/>
          <w:sz w:val="21"/>
        </w:rPr>
        <w:t>Business</w:t>
      </w:r>
    </w:p>
    <w:p>
      <w:pPr>
        <w:pStyle w:val="TextBody"/>
        <w:bidi w:val="0"/>
        <w:spacing w:before="119" w:after="0"/>
        <w:ind w:left="880" w:right="254" w:hanging="0"/>
        <w:jc w:val="both"/>
        <w:rPr>
          <w:rFonts w:ascii="Times New Roman;Times;serif" w:hAnsi="Times New Roman;Times;serif"/>
          <w:sz w:val="21"/>
        </w:rPr>
      </w:pPr>
      <w:r>
        <w:rPr>
          <w:rFonts w:ascii="Times New Roman;Times;serif" w:hAnsi="Times New Roman;Times;serif"/>
          <w:spacing w:val="-4"/>
          <w:sz w:val="21"/>
        </w:rPr>
        <w:t xml:space="preserve">LMWS, </w:t>
      </w:r>
      <w:r>
        <w:rPr>
          <w:rFonts w:ascii="Times New Roman;Times;serif" w:hAnsi="Times New Roman;Times;serif"/>
          <w:spacing w:val="-3"/>
          <w:sz w:val="21"/>
        </w:rPr>
        <w:t xml:space="preserve">LLC (the </w:t>
      </w:r>
      <w:r>
        <w:rPr>
          <w:rFonts w:ascii="Times New Roman;Times;serif" w:hAnsi="Times New Roman;Times;serif"/>
          <w:spacing w:val="-4"/>
          <w:sz w:val="21"/>
        </w:rPr>
        <w:t xml:space="preserve">“Company”), </w:t>
      </w:r>
      <w:r>
        <w:rPr>
          <w:rFonts w:ascii="Times New Roman;Times;serif" w:hAnsi="Times New Roman;Times;serif"/>
          <w:sz w:val="21"/>
        </w:rPr>
        <w:t xml:space="preserve">a </w:t>
      </w:r>
      <w:r>
        <w:rPr>
          <w:rFonts w:ascii="Times New Roman;Times;serif" w:hAnsi="Times New Roman;Times;serif"/>
          <w:spacing w:val="-4"/>
          <w:sz w:val="21"/>
        </w:rPr>
        <w:t xml:space="preserve">Delaware Limited Liability Company, </w:t>
      </w:r>
      <w:r>
        <w:rPr>
          <w:rFonts w:ascii="Times New Roman;Times;serif" w:hAnsi="Times New Roman;Times;serif"/>
          <w:spacing w:val="-3"/>
          <w:sz w:val="21"/>
        </w:rPr>
        <w:t xml:space="preserve">was </w:t>
      </w:r>
      <w:r>
        <w:rPr>
          <w:rFonts w:ascii="Times New Roman;Times;serif" w:hAnsi="Times New Roman;Times;serif"/>
          <w:spacing w:val="-4"/>
          <w:sz w:val="21"/>
        </w:rPr>
        <w:t xml:space="preserve">formed effective </w:t>
      </w:r>
      <w:r>
        <w:rPr>
          <w:rFonts w:ascii="Times New Roman;Times;serif" w:hAnsi="Times New Roman;Times;serif"/>
          <w:spacing w:val="-3"/>
          <w:sz w:val="21"/>
        </w:rPr>
        <w:t xml:space="preserve">June </w:t>
      </w:r>
      <w:r>
        <w:rPr>
          <w:rFonts w:ascii="Times New Roman;Times;serif" w:hAnsi="Times New Roman;Times;serif"/>
          <w:sz w:val="21"/>
        </w:rPr>
        <w:t xml:space="preserve">20, </w:t>
      </w:r>
      <w:r>
        <w:rPr>
          <w:rFonts w:ascii="Times New Roman;Times;serif" w:hAnsi="Times New Roman;Times;serif"/>
          <w:spacing w:val="-3"/>
          <w:sz w:val="21"/>
        </w:rPr>
        <w:t xml:space="preserve">2019. The </w:t>
      </w:r>
      <w:r>
        <w:rPr>
          <w:rFonts w:ascii="Times New Roman;Times;serif" w:hAnsi="Times New Roman;Times;serif"/>
          <w:spacing w:val="-4"/>
          <w:sz w:val="21"/>
        </w:rPr>
        <w:t xml:space="preserve">Company </w:t>
      </w:r>
      <w:r>
        <w:rPr>
          <w:rFonts w:ascii="Times New Roman;Times;serif" w:hAnsi="Times New Roman;Times;serif"/>
          <w:sz w:val="21"/>
        </w:rPr>
        <w:t xml:space="preserve">has two </w:t>
      </w:r>
      <w:r>
        <w:rPr>
          <w:rFonts w:ascii="Times New Roman;Times;serif" w:hAnsi="Times New Roman;Times;serif"/>
          <w:spacing w:val="-4"/>
          <w:sz w:val="21"/>
        </w:rPr>
        <w:t xml:space="preserve">members, </w:t>
      </w:r>
      <w:r>
        <w:rPr>
          <w:rFonts w:ascii="Times New Roman;Times;serif" w:hAnsi="Times New Roman;Times;serif"/>
          <w:spacing w:val="-3"/>
          <w:sz w:val="21"/>
        </w:rPr>
        <w:t xml:space="preserve">each with </w:t>
      </w:r>
      <w:r>
        <w:rPr>
          <w:rFonts w:ascii="Times New Roman;Times;serif" w:hAnsi="Times New Roman;Times;serif"/>
          <w:sz w:val="21"/>
        </w:rPr>
        <w:t xml:space="preserve">a 50% </w:t>
      </w:r>
      <w:r>
        <w:rPr>
          <w:rFonts w:ascii="Times New Roman;Times;serif" w:hAnsi="Times New Roman;Times;serif"/>
          <w:spacing w:val="-3"/>
          <w:sz w:val="21"/>
        </w:rPr>
        <w:t xml:space="preserve">voting interest. </w:t>
      </w:r>
      <w:r>
        <w:rPr>
          <w:rFonts w:ascii="Times New Roman;Times;serif" w:hAnsi="Times New Roman;Times;serif"/>
          <w:sz w:val="21"/>
        </w:rPr>
        <w:t xml:space="preserve">The </w:t>
      </w:r>
      <w:r>
        <w:rPr>
          <w:rFonts w:ascii="Times New Roman;Times;serif" w:hAnsi="Times New Roman;Times;serif"/>
          <w:spacing w:val="-3"/>
          <w:sz w:val="21"/>
        </w:rPr>
        <w:t xml:space="preserve">Company </w:t>
      </w:r>
      <w:r>
        <w:rPr>
          <w:rFonts w:ascii="Times New Roman;Times;serif" w:hAnsi="Times New Roman;Times;serif"/>
          <w:sz w:val="21"/>
        </w:rPr>
        <w:t xml:space="preserve">is </w:t>
      </w:r>
      <w:r>
        <w:rPr>
          <w:rFonts w:ascii="Times New Roman;Times;serif" w:hAnsi="Times New Roman;Times;serif"/>
          <w:spacing w:val="-3"/>
          <w:sz w:val="21"/>
        </w:rPr>
        <w:t xml:space="preserve">primarily </w:t>
      </w:r>
      <w:r>
        <w:rPr>
          <w:rFonts w:ascii="Times New Roman;Times;serif" w:hAnsi="Times New Roman;Times;serif"/>
          <w:sz w:val="21"/>
        </w:rPr>
        <w:t xml:space="preserve">in the </w:t>
      </w:r>
      <w:r>
        <w:rPr>
          <w:rFonts w:ascii="Times New Roman;Times;serif" w:hAnsi="Times New Roman;Times;serif"/>
          <w:spacing w:val="-3"/>
          <w:sz w:val="21"/>
        </w:rPr>
        <w:t xml:space="preserve">business </w:t>
      </w:r>
      <w:r>
        <w:rPr>
          <w:rFonts w:ascii="Times New Roman;Times;serif" w:hAnsi="Times New Roman;Times;serif"/>
          <w:sz w:val="21"/>
        </w:rPr>
        <w:t xml:space="preserve">of </w:t>
      </w:r>
      <w:r>
        <w:rPr>
          <w:rFonts w:ascii="Times New Roman;Times;serif" w:hAnsi="Times New Roman;Times;serif"/>
          <w:spacing w:val="-4"/>
          <w:sz w:val="21"/>
        </w:rPr>
        <w:t xml:space="preserve">acquiring, developing, constructing </w:t>
      </w:r>
      <w:r>
        <w:rPr>
          <w:rFonts w:ascii="Times New Roman;Times;serif" w:hAnsi="Times New Roman;Times;serif"/>
          <w:spacing w:val="-3"/>
          <w:sz w:val="21"/>
        </w:rPr>
        <w:t xml:space="preserve">and </w:t>
      </w:r>
      <w:r>
        <w:rPr>
          <w:rFonts w:ascii="Times New Roman;Times;serif" w:hAnsi="Times New Roman;Times;serif"/>
          <w:spacing w:val="-4"/>
          <w:sz w:val="21"/>
        </w:rPr>
        <w:t xml:space="preserve">selling </w:t>
      </w:r>
      <w:r>
        <w:rPr>
          <w:rFonts w:ascii="Times New Roman;Times;serif" w:hAnsi="Times New Roman;Times;serif"/>
          <w:sz w:val="21"/>
        </w:rPr>
        <w:t xml:space="preserve">of </w:t>
      </w:r>
      <w:r>
        <w:rPr>
          <w:rFonts w:ascii="Times New Roman;Times;serif" w:hAnsi="Times New Roman;Times;serif"/>
          <w:spacing w:val="-4"/>
          <w:sz w:val="21"/>
        </w:rPr>
        <w:t xml:space="preserve">homes </w:t>
      </w:r>
      <w:r>
        <w:rPr>
          <w:rFonts w:ascii="Times New Roman;Times;serif" w:hAnsi="Times New Roman;Times;serif"/>
          <w:sz w:val="21"/>
        </w:rPr>
        <w:t xml:space="preserve">in the </w:t>
      </w:r>
      <w:r>
        <w:rPr>
          <w:rFonts w:ascii="Times New Roman;Times;serif" w:hAnsi="Times New Roman;Times;serif"/>
          <w:spacing w:val="-4"/>
          <w:sz w:val="21"/>
        </w:rPr>
        <w:t xml:space="preserve">Latitude Margaritaville Watersound community </w:t>
      </w:r>
      <w:r>
        <w:rPr>
          <w:rFonts w:ascii="Times New Roman;Times;serif" w:hAnsi="Times New Roman;Times;serif"/>
          <w:spacing w:val="-3"/>
          <w:sz w:val="21"/>
        </w:rPr>
        <w:t xml:space="preserve">located </w:t>
      </w:r>
      <w:r>
        <w:rPr>
          <w:rFonts w:ascii="Times New Roman;Times;serif" w:hAnsi="Times New Roman;Times;serif"/>
          <w:sz w:val="21"/>
        </w:rPr>
        <w:t xml:space="preserve">in </w:t>
      </w:r>
      <w:r>
        <w:rPr>
          <w:rFonts w:ascii="Times New Roman;Times;serif" w:hAnsi="Times New Roman;Times;serif"/>
          <w:spacing w:val="-4"/>
          <w:sz w:val="21"/>
        </w:rPr>
        <w:t xml:space="preserve">Bay County, Florida. </w:t>
      </w:r>
      <w:r>
        <w:rPr>
          <w:rFonts w:ascii="Times New Roman;Times;serif" w:hAnsi="Times New Roman;Times;serif"/>
          <w:sz w:val="21"/>
        </w:rPr>
        <w:t xml:space="preserve">The </w:t>
      </w:r>
      <w:r>
        <w:rPr>
          <w:rFonts w:ascii="Times New Roman;Times;serif" w:hAnsi="Times New Roman;Times;serif"/>
          <w:spacing w:val="-3"/>
          <w:sz w:val="21"/>
        </w:rPr>
        <w:t xml:space="preserve">community </w:t>
      </w:r>
      <w:r>
        <w:rPr>
          <w:rFonts w:ascii="Times New Roman;Times;serif" w:hAnsi="Times New Roman;Times;serif"/>
          <w:spacing w:val="-4"/>
          <w:sz w:val="21"/>
        </w:rPr>
        <w:t xml:space="preserve">consists </w:t>
      </w:r>
      <w:r>
        <w:rPr>
          <w:rFonts w:ascii="Times New Roman;Times;serif" w:hAnsi="Times New Roman;Times;serif"/>
          <w:sz w:val="21"/>
        </w:rPr>
        <w:t xml:space="preserve">of </w:t>
      </w:r>
      <w:r>
        <w:rPr>
          <w:rFonts w:ascii="Times New Roman;Times;serif" w:hAnsi="Times New Roman;Times;serif"/>
          <w:spacing w:val="-4"/>
          <w:sz w:val="21"/>
        </w:rPr>
        <w:t xml:space="preserve">approximately 3,700 planned residential units, </w:t>
      </w:r>
      <w:r>
        <w:rPr>
          <w:rFonts w:ascii="Times New Roman;Times;serif" w:hAnsi="Times New Roman;Times;serif"/>
          <w:sz w:val="21"/>
        </w:rPr>
        <w:t xml:space="preserve">of </w:t>
      </w:r>
      <w:r>
        <w:rPr>
          <w:rFonts w:ascii="Times New Roman;Times;serif" w:hAnsi="Times New Roman;Times;serif"/>
          <w:spacing w:val="-4"/>
          <w:sz w:val="21"/>
        </w:rPr>
        <w:t xml:space="preserve">which </w:t>
      </w:r>
      <w:r>
        <w:rPr>
          <w:rFonts w:ascii="Times New Roman;Times;serif" w:hAnsi="Times New Roman;Times;serif"/>
          <w:spacing w:val="-3"/>
          <w:sz w:val="21"/>
        </w:rPr>
        <w:t xml:space="preserve">2,190 home sale </w:t>
      </w:r>
      <w:r>
        <w:rPr>
          <w:rFonts w:ascii="Times New Roman;Times;serif" w:hAnsi="Times New Roman;Times;serif"/>
          <w:spacing w:val="-4"/>
          <w:sz w:val="21"/>
        </w:rPr>
        <w:t xml:space="preserve">transactions </w:t>
      </w:r>
      <w:r>
        <w:rPr>
          <w:rFonts w:ascii="Times New Roman;Times;serif" w:hAnsi="Times New Roman;Times;serif"/>
          <w:spacing w:val="-3"/>
          <w:sz w:val="21"/>
        </w:rPr>
        <w:t xml:space="preserve">have been </w:t>
      </w:r>
      <w:r>
        <w:rPr>
          <w:rFonts w:ascii="Times New Roman;Times;serif" w:hAnsi="Times New Roman;Times;serif"/>
          <w:spacing w:val="-4"/>
          <w:sz w:val="21"/>
        </w:rPr>
        <w:t xml:space="preserve">completed </w:t>
      </w:r>
      <w:r>
        <w:rPr>
          <w:rFonts w:ascii="Times New Roman;Times;serif" w:hAnsi="Times New Roman;Times;serif"/>
          <w:sz w:val="21"/>
        </w:rPr>
        <w:t xml:space="preserve">as of </w:t>
      </w:r>
      <w:r>
        <w:rPr>
          <w:rFonts w:ascii="Times New Roman;Times;serif" w:hAnsi="Times New Roman;Times;serif"/>
          <w:spacing w:val="-4"/>
          <w:sz w:val="21"/>
        </w:rPr>
        <w:t xml:space="preserve">December </w:t>
      </w:r>
      <w:r>
        <w:rPr>
          <w:rFonts w:ascii="Times New Roman;Times;serif" w:hAnsi="Times New Roman;Times;serif"/>
          <w:spacing w:val="-3"/>
          <w:sz w:val="21"/>
        </w:rPr>
        <w:t xml:space="preserve">31, </w:t>
      </w:r>
      <w:r>
        <w:rPr>
          <w:rFonts w:ascii="Times New Roman;Times;serif" w:hAnsi="Times New Roman;Times;serif"/>
          <w:spacing w:val="-4"/>
          <w:sz w:val="21"/>
        </w:rPr>
        <w:t>2025.</w:t>
      </w:r>
    </w:p>
    <w:p>
      <w:pPr>
        <w:pStyle w:val="TextBody"/>
        <w:bidi w:val="0"/>
        <w:spacing w:before="0" w:after="0"/>
        <w:ind w:left="0" w:right="0" w:hanging="0"/>
        <w:jc w:val="left"/>
        <w:rPr/>
      </w:pPr>
      <w:r>
        <w:rPr/>
        <w:t>​</w:t>
      </w:r>
    </w:p>
    <w:p>
      <w:pPr>
        <w:pStyle w:val="TextBody"/>
        <w:bidi w:val="0"/>
        <w:ind w:left="160" w:right="0" w:hanging="0"/>
        <w:jc w:val="left"/>
        <w:rPr>
          <w:rFonts w:ascii="Arial;Helvetica;sans-serif" w:hAnsi="Arial;Helvetica;sans-serif"/>
          <w:b/>
          <w:sz w:val="21"/>
        </w:rPr>
      </w:pPr>
      <w:r>
        <w:rPr>
          <w:rFonts w:ascii="Arial;Helvetica;sans-serif" w:hAnsi="Arial;Helvetica;sans-serif"/>
          <w:b/>
          <w:sz w:val="21"/>
        </w:rPr>
        <w:t>2.</w:t>
      </w:r>
      <w:r>
        <w:rPr>
          <w:rFonts w:ascii="Arial;Helvetica;sans-serif" w:hAnsi="Arial;Helvetica;sans-serif"/>
          <w:b/>
          <w:spacing w:val="-4"/>
          <w:sz w:val="21"/>
        </w:rPr>
        <w:t xml:space="preserve">Summary </w:t>
      </w:r>
      <w:r>
        <w:rPr>
          <w:rFonts w:ascii="Arial;Helvetica;sans-serif" w:hAnsi="Arial;Helvetica;sans-serif"/>
          <w:b/>
          <w:sz w:val="21"/>
        </w:rPr>
        <w:t xml:space="preserve">of </w:t>
      </w:r>
      <w:r>
        <w:rPr>
          <w:rFonts w:ascii="Arial;Helvetica;sans-serif" w:hAnsi="Arial;Helvetica;sans-serif"/>
          <w:b/>
          <w:spacing w:val="-4"/>
          <w:sz w:val="21"/>
        </w:rPr>
        <w:t xml:space="preserve">Significant </w:t>
      </w:r>
      <w:r>
        <w:rPr>
          <w:rFonts w:ascii="Arial;Helvetica;sans-serif" w:hAnsi="Arial;Helvetica;sans-serif"/>
          <w:b/>
          <w:spacing w:val="-5"/>
          <w:sz w:val="21"/>
        </w:rPr>
        <w:t>Accounting</w:t>
      </w:r>
      <w:r>
        <w:rPr>
          <w:rFonts w:ascii="Arial;Helvetica;sans-serif" w:hAnsi="Arial;Helvetica;sans-serif"/>
          <w:b/>
          <w:spacing w:val="-19"/>
          <w:sz w:val="21"/>
        </w:rPr>
        <w:t xml:space="preserve"> </w:t>
      </w:r>
      <w:r>
        <w:rPr>
          <w:rFonts w:ascii="Arial;Helvetica;sans-serif" w:hAnsi="Arial;Helvetica;sans-serif"/>
          <w:b/>
          <w:spacing w:val="-4"/>
          <w:sz w:val="21"/>
        </w:rPr>
        <w:t>Policies</w:t>
      </w:r>
    </w:p>
    <w:p>
      <w:pPr>
        <w:pStyle w:val="TextBody"/>
        <w:bidi w:val="0"/>
        <w:spacing w:before="120" w:after="0"/>
        <w:ind w:left="880" w:right="256" w:hanging="0"/>
        <w:jc w:val="both"/>
        <w:rPr>
          <w:rFonts w:ascii="Times New Roman;Times;serif" w:hAnsi="Times New Roman;Times;serif"/>
          <w:sz w:val="21"/>
        </w:rPr>
      </w:pPr>
      <w:r>
        <w:rPr>
          <w:rFonts w:ascii="Times New Roman;Times;serif" w:hAnsi="Times New Roman;Times;serif"/>
          <w:sz w:val="21"/>
        </w:rPr>
        <w:t>This summary of significant accounting policies for the Company is presented to assist in understanding the Company’s financial statements. The financial statements and notes are representations of the Company’s management who is responsible for their integrity and objectivity. These accounting policies conform to accounting principles generally accepted in the United States of America and have been consistently applied in the preparation of the financial statements.</w:t>
      </w:r>
    </w:p>
    <w:p>
      <w:pPr>
        <w:pStyle w:val="TextBody"/>
        <w:bidi w:val="0"/>
        <w:spacing w:before="119" w:after="0"/>
        <w:ind w:left="880" w:right="250" w:hanging="0"/>
        <w:jc w:val="both"/>
        <w:rPr>
          <w:rFonts w:ascii="Times New Roman;Times;serif" w:hAnsi="Times New Roman;Times;serif"/>
          <w:sz w:val="21"/>
        </w:rPr>
      </w:pPr>
      <w:r>
        <w:rPr>
          <w:rFonts w:ascii="Times New Roman;Times;serif" w:hAnsi="Times New Roman;Times;serif"/>
          <w:b/>
          <w:i/>
          <w:spacing w:val="-3"/>
          <w:sz w:val="21"/>
        </w:rPr>
        <w:t xml:space="preserve">Use </w:t>
      </w:r>
      <w:r>
        <w:rPr>
          <w:rFonts w:ascii="Times New Roman;Times;serif" w:hAnsi="Times New Roman;Times;serif"/>
          <w:b/>
          <w:i/>
          <w:sz w:val="21"/>
        </w:rPr>
        <w:t xml:space="preserve">of </w:t>
      </w:r>
      <w:r>
        <w:rPr>
          <w:rFonts w:ascii="Times New Roman;Times;serif" w:hAnsi="Times New Roman;Times;serif"/>
          <w:b/>
          <w:i/>
          <w:spacing w:val="-4"/>
          <w:sz w:val="21"/>
        </w:rPr>
        <w:t xml:space="preserve">Estimates. </w:t>
      </w:r>
      <w:r>
        <w:rPr>
          <w:rFonts w:ascii="Times New Roman;Times;serif" w:hAnsi="Times New Roman;Times;serif"/>
          <w:sz w:val="21"/>
        </w:rPr>
        <w:t xml:space="preserve">The </w:t>
      </w:r>
      <w:r>
        <w:rPr>
          <w:rFonts w:ascii="Times New Roman;Times;serif" w:hAnsi="Times New Roman;Times;serif"/>
          <w:spacing w:val="-4"/>
          <w:sz w:val="21"/>
        </w:rPr>
        <w:t xml:space="preserve">preparation </w:t>
      </w:r>
      <w:r>
        <w:rPr>
          <w:rFonts w:ascii="Times New Roman;Times;serif" w:hAnsi="Times New Roman;Times;serif"/>
          <w:sz w:val="21"/>
        </w:rPr>
        <w:t xml:space="preserve">of </w:t>
      </w:r>
      <w:r>
        <w:rPr>
          <w:rFonts w:ascii="Times New Roman;Times;serif" w:hAnsi="Times New Roman;Times;serif"/>
          <w:spacing w:val="-4"/>
          <w:sz w:val="21"/>
        </w:rPr>
        <w:t xml:space="preserve">financial statements </w:t>
      </w:r>
      <w:r>
        <w:rPr>
          <w:rFonts w:ascii="Times New Roman;Times;serif" w:hAnsi="Times New Roman;Times;serif"/>
          <w:sz w:val="21"/>
        </w:rPr>
        <w:t xml:space="preserve">in </w:t>
      </w:r>
      <w:r>
        <w:rPr>
          <w:rFonts w:ascii="Times New Roman;Times;serif" w:hAnsi="Times New Roman;Times;serif"/>
          <w:spacing w:val="-4"/>
          <w:sz w:val="21"/>
        </w:rPr>
        <w:t xml:space="preserve">conformity </w:t>
      </w:r>
      <w:r>
        <w:rPr>
          <w:rFonts w:ascii="Times New Roman;Times;serif" w:hAnsi="Times New Roman;Times;serif"/>
          <w:spacing w:val="-3"/>
          <w:sz w:val="21"/>
        </w:rPr>
        <w:t xml:space="preserve">with U.S. </w:t>
      </w:r>
      <w:r>
        <w:rPr>
          <w:rFonts w:ascii="Times New Roman;Times;serif" w:hAnsi="Times New Roman;Times;serif"/>
          <w:spacing w:val="-4"/>
          <w:sz w:val="21"/>
        </w:rPr>
        <w:t xml:space="preserve">generally </w:t>
      </w:r>
      <w:r>
        <w:rPr>
          <w:rFonts w:ascii="Times New Roman;Times;serif" w:hAnsi="Times New Roman;Times;serif"/>
          <w:spacing w:val="-3"/>
          <w:sz w:val="21"/>
        </w:rPr>
        <w:t xml:space="preserve">accepted </w:t>
      </w:r>
      <w:r>
        <w:rPr>
          <w:rFonts w:ascii="Times New Roman;Times;serif" w:hAnsi="Times New Roman;Times;serif"/>
          <w:spacing w:val="-4"/>
          <w:sz w:val="21"/>
        </w:rPr>
        <w:t xml:space="preserve">accounting principles requires management </w:t>
      </w:r>
      <w:r>
        <w:rPr>
          <w:rFonts w:ascii="Times New Roman;Times;serif" w:hAnsi="Times New Roman;Times;serif"/>
          <w:sz w:val="21"/>
        </w:rPr>
        <w:t xml:space="preserve">to </w:t>
      </w:r>
      <w:r>
        <w:rPr>
          <w:rFonts w:ascii="Times New Roman;Times;serif" w:hAnsi="Times New Roman;Times;serif"/>
          <w:spacing w:val="-3"/>
          <w:sz w:val="21"/>
        </w:rPr>
        <w:t xml:space="preserve">make </w:t>
      </w:r>
      <w:r>
        <w:rPr>
          <w:rFonts w:ascii="Times New Roman;Times;serif" w:hAnsi="Times New Roman;Times;serif"/>
          <w:spacing w:val="-4"/>
          <w:sz w:val="21"/>
        </w:rPr>
        <w:t xml:space="preserve">estimates </w:t>
      </w:r>
      <w:r>
        <w:rPr>
          <w:rFonts w:ascii="Times New Roman;Times;serif" w:hAnsi="Times New Roman;Times;serif"/>
          <w:sz w:val="21"/>
        </w:rPr>
        <w:t xml:space="preserve">and </w:t>
      </w:r>
      <w:r>
        <w:rPr>
          <w:rFonts w:ascii="Times New Roman;Times;serif" w:hAnsi="Times New Roman;Times;serif"/>
          <w:spacing w:val="-4"/>
          <w:sz w:val="21"/>
        </w:rPr>
        <w:t xml:space="preserve">assumptions </w:t>
      </w:r>
      <w:r>
        <w:rPr>
          <w:rFonts w:ascii="Times New Roman;Times;serif" w:hAnsi="Times New Roman;Times;serif"/>
          <w:spacing w:val="-3"/>
          <w:sz w:val="21"/>
        </w:rPr>
        <w:t xml:space="preserve">that </w:t>
      </w:r>
      <w:r>
        <w:rPr>
          <w:rFonts w:ascii="Times New Roman;Times;serif" w:hAnsi="Times New Roman;Times;serif"/>
          <w:spacing w:val="-4"/>
          <w:sz w:val="21"/>
        </w:rPr>
        <w:t xml:space="preserve">affect </w:t>
      </w:r>
      <w:r>
        <w:rPr>
          <w:rFonts w:ascii="Times New Roman;Times;serif" w:hAnsi="Times New Roman;Times;serif"/>
          <w:sz w:val="21"/>
        </w:rPr>
        <w:t xml:space="preserve">the </w:t>
      </w:r>
      <w:r>
        <w:rPr>
          <w:rFonts w:ascii="Times New Roman;Times;serif" w:hAnsi="Times New Roman;Times;serif"/>
          <w:spacing w:val="-4"/>
          <w:sz w:val="21"/>
        </w:rPr>
        <w:t xml:space="preserve">reported </w:t>
      </w:r>
      <w:r>
        <w:rPr>
          <w:rFonts w:ascii="Times New Roman;Times;serif" w:hAnsi="Times New Roman;Times;serif"/>
          <w:spacing w:val="-3"/>
          <w:sz w:val="21"/>
        </w:rPr>
        <w:t xml:space="preserve">amounts </w:t>
      </w:r>
      <w:r>
        <w:rPr>
          <w:rFonts w:ascii="Times New Roman;Times;serif" w:hAnsi="Times New Roman;Times;serif"/>
          <w:sz w:val="21"/>
        </w:rPr>
        <w:t xml:space="preserve">of </w:t>
      </w:r>
      <w:r>
        <w:rPr>
          <w:rFonts w:ascii="Times New Roman;Times;serif" w:hAnsi="Times New Roman;Times;serif"/>
          <w:spacing w:val="-3"/>
          <w:sz w:val="21"/>
        </w:rPr>
        <w:t xml:space="preserve">assets </w:t>
      </w:r>
      <w:r>
        <w:rPr>
          <w:rFonts w:ascii="Times New Roman;Times;serif" w:hAnsi="Times New Roman;Times;serif"/>
          <w:sz w:val="21"/>
        </w:rPr>
        <w:t xml:space="preserve">and </w:t>
      </w:r>
      <w:r>
        <w:rPr>
          <w:rFonts w:ascii="Times New Roman;Times;serif" w:hAnsi="Times New Roman;Times;serif"/>
          <w:spacing w:val="-4"/>
          <w:sz w:val="21"/>
        </w:rPr>
        <w:t xml:space="preserve">liabilities </w:t>
      </w:r>
      <w:r>
        <w:rPr>
          <w:rFonts w:ascii="Times New Roman;Times;serif" w:hAnsi="Times New Roman;Times;serif"/>
          <w:sz w:val="21"/>
        </w:rPr>
        <w:t xml:space="preserve">and </w:t>
      </w:r>
      <w:r>
        <w:rPr>
          <w:rFonts w:ascii="Times New Roman;Times;serif" w:hAnsi="Times New Roman;Times;serif"/>
          <w:spacing w:val="-4"/>
          <w:sz w:val="21"/>
        </w:rPr>
        <w:t xml:space="preserve">disclosure </w:t>
      </w:r>
      <w:r>
        <w:rPr>
          <w:rFonts w:ascii="Times New Roman;Times;serif" w:hAnsi="Times New Roman;Times;serif"/>
          <w:spacing w:val="-3"/>
          <w:sz w:val="21"/>
        </w:rPr>
        <w:t xml:space="preserve">of </w:t>
      </w:r>
      <w:r>
        <w:rPr>
          <w:rFonts w:ascii="Times New Roman;Times;serif" w:hAnsi="Times New Roman;Times;serif"/>
          <w:spacing w:val="-4"/>
          <w:sz w:val="21"/>
        </w:rPr>
        <w:t xml:space="preserve">contingent assets </w:t>
      </w:r>
      <w:r>
        <w:rPr>
          <w:rFonts w:ascii="Times New Roman;Times;serif" w:hAnsi="Times New Roman;Times;serif"/>
          <w:sz w:val="21"/>
        </w:rPr>
        <w:t xml:space="preserve">and </w:t>
      </w:r>
      <w:r>
        <w:rPr>
          <w:rFonts w:ascii="Times New Roman;Times;serif" w:hAnsi="Times New Roman;Times;serif"/>
          <w:spacing w:val="-4"/>
          <w:sz w:val="21"/>
        </w:rPr>
        <w:t xml:space="preserve">liabilities </w:t>
      </w:r>
      <w:r>
        <w:rPr>
          <w:rFonts w:ascii="Times New Roman;Times;serif" w:hAnsi="Times New Roman;Times;serif"/>
          <w:sz w:val="21"/>
        </w:rPr>
        <w:t xml:space="preserve">at the </w:t>
      </w:r>
      <w:r>
        <w:rPr>
          <w:rFonts w:ascii="Times New Roman;Times;serif" w:hAnsi="Times New Roman;Times;serif"/>
          <w:spacing w:val="-3"/>
          <w:sz w:val="21"/>
        </w:rPr>
        <w:t xml:space="preserve">date </w:t>
      </w:r>
      <w:r>
        <w:rPr>
          <w:rFonts w:ascii="Times New Roman;Times;serif" w:hAnsi="Times New Roman;Times;serif"/>
          <w:sz w:val="21"/>
        </w:rPr>
        <w:t xml:space="preserve">of </w:t>
      </w:r>
      <w:r>
        <w:rPr>
          <w:rFonts w:ascii="Times New Roman;Times;serif" w:hAnsi="Times New Roman;Times;serif"/>
          <w:spacing w:val="-3"/>
          <w:sz w:val="21"/>
        </w:rPr>
        <w:t xml:space="preserve">the </w:t>
      </w:r>
      <w:r>
        <w:rPr>
          <w:rFonts w:ascii="Times New Roman;Times;serif" w:hAnsi="Times New Roman;Times;serif"/>
          <w:spacing w:val="-4"/>
          <w:sz w:val="21"/>
        </w:rPr>
        <w:t xml:space="preserve">financial statements </w:t>
      </w:r>
      <w:r>
        <w:rPr>
          <w:rFonts w:ascii="Times New Roman;Times;serif" w:hAnsi="Times New Roman;Times;serif"/>
          <w:sz w:val="21"/>
        </w:rPr>
        <w:t xml:space="preserve">and the </w:t>
      </w:r>
      <w:r>
        <w:rPr>
          <w:rFonts w:ascii="Times New Roman;Times;serif" w:hAnsi="Times New Roman;Times;serif"/>
          <w:spacing w:val="-4"/>
          <w:sz w:val="21"/>
        </w:rPr>
        <w:t xml:space="preserve">reported amounts </w:t>
      </w:r>
      <w:r>
        <w:rPr>
          <w:rFonts w:ascii="Times New Roman;Times;serif" w:hAnsi="Times New Roman;Times;serif"/>
          <w:sz w:val="21"/>
        </w:rPr>
        <w:t xml:space="preserve">to </w:t>
      </w:r>
      <w:r>
        <w:rPr>
          <w:rFonts w:ascii="Times New Roman;Times;serif" w:hAnsi="Times New Roman;Times;serif"/>
          <w:spacing w:val="-3"/>
          <w:sz w:val="21"/>
        </w:rPr>
        <w:t xml:space="preserve">revenues </w:t>
      </w:r>
      <w:r>
        <w:rPr>
          <w:rFonts w:ascii="Times New Roman;Times;serif" w:hAnsi="Times New Roman;Times;serif"/>
          <w:sz w:val="21"/>
        </w:rPr>
        <w:t xml:space="preserve">and </w:t>
      </w:r>
      <w:r>
        <w:rPr>
          <w:rFonts w:ascii="Times New Roman;Times;serif" w:hAnsi="Times New Roman;Times;serif"/>
          <w:spacing w:val="-4"/>
          <w:sz w:val="21"/>
        </w:rPr>
        <w:t xml:space="preserve">expenses during </w:t>
      </w:r>
      <w:r>
        <w:rPr>
          <w:rFonts w:ascii="Times New Roman;Times;serif" w:hAnsi="Times New Roman;Times;serif"/>
          <w:sz w:val="21"/>
        </w:rPr>
        <w:t xml:space="preserve">the </w:t>
      </w:r>
      <w:r>
        <w:rPr>
          <w:rFonts w:ascii="Times New Roman;Times;serif" w:hAnsi="Times New Roman;Times;serif"/>
          <w:spacing w:val="-4"/>
          <w:sz w:val="21"/>
        </w:rPr>
        <w:t xml:space="preserve">reporting </w:t>
      </w:r>
      <w:r>
        <w:rPr>
          <w:rFonts w:ascii="Times New Roman;Times;serif" w:hAnsi="Times New Roman;Times;serif"/>
          <w:spacing w:val="-3"/>
          <w:sz w:val="21"/>
        </w:rPr>
        <w:t xml:space="preserve">period. </w:t>
      </w:r>
      <w:r>
        <w:rPr>
          <w:rFonts w:ascii="Times New Roman;Times;serif" w:hAnsi="Times New Roman;Times;serif"/>
          <w:spacing w:val="-4"/>
          <w:sz w:val="21"/>
        </w:rPr>
        <w:t xml:space="preserve">Actual results </w:t>
      </w:r>
      <w:r>
        <w:rPr>
          <w:rFonts w:ascii="Times New Roman;Times;serif" w:hAnsi="Times New Roman;Times;serif"/>
          <w:spacing w:val="-3"/>
          <w:sz w:val="21"/>
        </w:rPr>
        <w:t xml:space="preserve">could </w:t>
      </w:r>
      <w:r>
        <w:rPr>
          <w:rFonts w:ascii="Times New Roman;Times;serif" w:hAnsi="Times New Roman;Times;serif"/>
          <w:spacing w:val="-4"/>
          <w:sz w:val="21"/>
        </w:rPr>
        <w:t xml:space="preserve">differ </w:t>
      </w:r>
      <w:r>
        <w:rPr>
          <w:rFonts w:ascii="Times New Roman;Times;serif" w:hAnsi="Times New Roman;Times;serif"/>
          <w:spacing w:val="-3"/>
          <w:sz w:val="21"/>
        </w:rPr>
        <w:t xml:space="preserve">from those </w:t>
      </w:r>
      <w:r>
        <w:rPr>
          <w:rFonts w:ascii="Times New Roman;Times;serif" w:hAnsi="Times New Roman;Times;serif"/>
          <w:spacing w:val="-4"/>
          <w:sz w:val="21"/>
        </w:rPr>
        <w:t xml:space="preserve">estimates. </w:t>
      </w:r>
      <w:r>
        <w:rPr>
          <w:rFonts w:ascii="Times New Roman;Times;serif" w:hAnsi="Times New Roman;Times;serif"/>
          <w:sz w:val="21"/>
        </w:rPr>
        <w:t>Changes in the facts or circumstances underlying these estimates could result in material changes and actual results could materially differ from these estimates.</w:t>
      </w:r>
    </w:p>
    <w:p>
      <w:pPr>
        <w:pStyle w:val="TextBody"/>
        <w:bidi w:val="0"/>
        <w:spacing w:before="121" w:after="0"/>
        <w:ind w:left="879" w:right="252" w:hanging="0"/>
        <w:jc w:val="both"/>
        <w:rPr>
          <w:rFonts w:ascii="Times New Roman;Times;serif" w:hAnsi="Times New Roman;Times;serif"/>
          <w:sz w:val="21"/>
        </w:rPr>
      </w:pPr>
      <w:r>
        <w:rPr>
          <w:rFonts w:ascii="Times New Roman;Times;serif" w:hAnsi="Times New Roman;Times;serif"/>
          <w:b/>
          <w:i/>
          <w:spacing w:val="-4"/>
          <w:sz w:val="21"/>
        </w:rPr>
        <w:t>Revenue Recognition.  </w:t>
      </w:r>
      <w:r>
        <w:rPr>
          <w:rFonts w:ascii="Times New Roman;Times;serif" w:hAnsi="Times New Roman;Times;serif"/>
          <w:sz w:val="21"/>
        </w:rPr>
        <w:t xml:space="preserve">Revenues and cost of revenues from sales of single-family homes are recorded at the time each home sale is closed and title and possession has been transferred to the buyer in accordance with Accounting Standards Codification (ASC) Topic 606, </w:t>
      </w:r>
      <w:r>
        <w:rPr>
          <w:rFonts w:ascii="Times New Roman;Times;serif" w:hAnsi="Times New Roman;Times;serif"/>
          <w:i/>
          <w:sz w:val="21"/>
        </w:rPr>
        <w:t xml:space="preserve">Revenue from Contracts with Customers </w:t>
      </w:r>
      <w:r>
        <w:rPr>
          <w:rFonts w:ascii="Times New Roman;Times;serif" w:hAnsi="Times New Roman;Times;serif"/>
          <w:sz w:val="21"/>
        </w:rPr>
        <w:t xml:space="preserve">(Topic 606). The Company’s performance obligation, to deliver the agreed-upon home, is generally satisfied at the home closing date. Land, land development, and related costs, both incurred and estimated to be incurred in the future for home sales, are recorded to cost of revenues based upon the total number of homes to be constructed in each community under a square footage method. Any changes resulting from a change in the estimated number of homes to be constructed or in the estimated costs subsequent to the commencement of delivery of homes are allocated to the remaining undelivered homes in </w:t>
      </w:r>
      <w:r>
        <w:rPr>
          <w:rFonts w:ascii="Times New Roman;Times;serif" w:hAnsi="Times New Roman;Times;serif"/>
          <w:spacing w:val="-2"/>
          <w:sz w:val="21"/>
        </w:rPr>
        <w:t xml:space="preserve">the </w:t>
      </w:r>
      <w:r>
        <w:rPr>
          <w:rFonts w:ascii="Times New Roman;Times;serif" w:hAnsi="Times New Roman;Times;serif"/>
          <w:sz w:val="21"/>
        </w:rPr>
        <w:t>community. Home construction and related costs are charged to cost of revenues under the specific identification method. The estimated common area development and related costs of master planned communities are allocated to individual communities within a master planned community under a square footage</w:t>
      </w:r>
      <w:r>
        <w:rPr>
          <w:rFonts w:ascii="Times New Roman;Times;serif" w:hAnsi="Times New Roman;Times;serif"/>
          <w:spacing w:val="-2"/>
          <w:sz w:val="21"/>
        </w:rPr>
        <w:t xml:space="preserve"> </w:t>
      </w:r>
      <w:r>
        <w:rPr>
          <w:rFonts w:ascii="Times New Roman;Times;serif" w:hAnsi="Times New Roman;Times;serif"/>
          <w:sz w:val="21"/>
        </w:rPr>
        <w:t>method.</w:t>
      </w:r>
    </w:p>
    <w:p>
      <w:pPr>
        <w:pStyle w:val="TextBody"/>
        <w:bidi w:val="0"/>
        <w:spacing w:before="119" w:after="0"/>
        <w:ind w:left="879" w:right="257" w:hanging="0"/>
        <w:jc w:val="both"/>
        <w:rPr>
          <w:rFonts w:ascii="Times New Roman;Times;serif" w:hAnsi="Times New Roman;Times;serif"/>
          <w:sz w:val="21"/>
        </w:rPr>
      </w:pPr>
      <w:r>
        <w:rPr>
          <w:rFonts w:ascii="Times New Roman;Times;serif" w:hAnsi="Times New Roman;Times;serif"/>
          <w:b/>
          <w:i/>
          <w:sz w:val="21"/>
        </w:rPr>
        <w:t xml:space="preserve">Real Estate Inventory. </w:t>
      </w:r>
      <w:r>
        <w:rPr>
          <w:rFonts w:ascii="Times New Roman;Times;serif" w:hAnsi="Times New Roman;Times;serif"/>
          <w:sz w:val="21"/>
        </w:rPr>
        <w:t>All direct and indirect costs relating to the Company’s real estate inventory are capitalized in accordance with the applicable guidance and include costs related to planning and development of land or construction. Planning costs include legal and professional fees, market feasibility studies, engineering and architectural design, impact, and permitting fees. Construction costs include all subcontractor, direct material and labor costs, and indirect costs related to overhead and supervision fees. Interest and real estate taxes are capitalized to real estate inventory during the active development period. Indirect costs that do not clearly relate to development or construction, including selling, general, and administrative expenses, are charged to expense as incurred.</w:t>
      </w:r>
    </w:p>
    <w:p>
      <w:pPr>
        <w:pStyle w:val="TextBody"/>
        <w:bidi w:val="0"/>
        <w:spacing w:before="120" w:after="0"/>
        <w:ind w:left="879" w:right="256" w:hanging="0"/>
        <w:jc w:val="both"/>
        <w:rPr>
          <w:rFonts w:ascii="Times New Roman;Times;serif" w:hAnsi="Times New Roman;Times;serif"/>
          <w:sz w:val="21"/>
        </w:rPr>
      </w:pPr>
      <w:r>
        <w:rPr>
          <w:rFonts w:ascii="Times New Roman;Times;serif" w:hAnsi="Times New Roman;Times;serif"/>
          <w:b/>
          <w:i/>
          <w:spacing w:val="-3"/>
          <w:sz w:val="21"/>
        </w:rPr>
        <w:t xml:space="preserve">Cash and Cash </w:t>
      </w:r>
      <w:r>
        <w:rPr>
          <w:rFonts w:ascii="Times New Roman;Times;serif" w:hAnsi="Times New Roman;Times;serif"/>
          <w:b/>
          <w:i/>
          <w:spacing w:val="-4"/>
          <w:sz w:val="21"/>
        </w:rPr>
        <w:t xml:space="preserve">Equivalents. </w:t>
      </w:r>
      <w:r>
        <w:rPr>
          <w:rFonts w:ascii="Times New Roman;Times;serif" w:hAnsi="Times New Roman;Times;serif"/>
          <w:sz w:val="21"/>
        </w:rPr>
        <w:t xml:space="preserve">The </w:t>
      </w:r>
      <w:r>
        <w:rPr>
          <w:rFonts w:ascii="Times New Roman;Times;serif" w:hAnsi="Times New Roman;Times;serif"/>
          <w:spacing w:val="-4"/>
          <w:sz w:val="21"/>
        </w:rPr>
        <w:t xml:space="preserve">Company </w:t>
      </w:r>
      <w:r>
        <w:rPr>
          <w:rFonts w:ascii="Times New Roman;Times;serif" w:hAnsi="Times New Roman;Times;serif"/>
          <w:spacing w:val="-3"/>
          <w:sz w:val="21"/>
        </w:rPr>
        <w:t xml:space="preserve">considers </w:t>
      </w:r>
      <w:r>
        <w:rPr>
          <w:rFonts w:ascii="Times New Roman;Times;serif" w:hAnsi="Times New Roman;Times;serif"/>
          <w:spacing w:val="-4"/>
          <w:sz w:val="21"/>
        </w:rPr>
        <w:t xml:space="preserve">certificates </w:t>
      </w:r>
      <w:r>
        <w:rPr>
          <w:rFonts w:ascii="Times New Roman;Times;serif" w:hAnsi="Times New Roman;Times;serif"/>
          <w:sz w:val="21"/>
        </w:rPr>
        <w:t xml:space="preserve">of </w:t>
      </w:r>
      <w:r>
        <w:rPr>
          <w:rFonts w:ascii="Times New Roman;Times;serif" w:hAnsi="Times New Roman;Times;serif"/>
          <w:spacing w:val="-4"/>
          <w:sz w:val="21"/>
        </w:rPr>
        <w:t xml:space="preserve">deposit </w:t>
      </w:r>
      <w:r>
        <w:rPr>
          <w:rFonts w:ascii="Times New Roman;Times;serif" w:hAnsi="Times New Roman;Times;serif"/>
          <w:spacing w:val="-3"/>
          <w:sz w:val="21"/>
        </w:rPr>
        <w:t xml:space="preserve">with initial </w:t>
      </w:r>
      <w:r>
        <w:rPr>
          <w:rFonts w:ascii="Times New Roman;Times;serif" w:hAnsi="Times New Roman;Times;serif"/>
          <w:spacing w:val="-4"/>
          <w:sz w:val="21"/>
        </w:rPr>
        <w:t xml:space="preserve">maturities </w:t>
      </w:r>
      <w:r>
        <w:rPr>
          <w:rFonts w:ascii="Times New Roman;Times;serif" w:hAnsi="Times New Roman;Times;serif"/>
          <w:sz w:val="21"/>
        </w:rPr>
        <w:t xml:space="preserve">of </w:t>
      </w:r>
      <w:r>
        <w:rPr>
          <w:rFonts w:ascii="Times New Roman;Times;serif" w:hAnsi="Times New Roman;Times;serif"/>
          <w:spacing w:val="-5"/>
          <w:sz w:val="21"/>
        </w:rPr>
        <w:t xml:space="preserve">three </w:t>
      </w:r>
      <w:r>
        <w:rPr>
          <w:rFonts w:ascii="Times New Roman;Times;serif" w:hAnsi="Times New Roman;Times;serif"/>
          <w:spacing w:val="-4"/>
          <w:sz w:val="21"/>
        </w:rPr>
        <w:t xml:space="preserve">months </w:t>
      </w:r>
      <w:r>
        <w:rPr>
          <w:rFonts w:ascii="Times New Roman;Times;serif" w:hAnsi="Times New Roman;Times;serif"/>
          <w:sz w:val="21"/>
        </w:rPr>
        <w:t xml:space="preserve">or </w:t>
      </w:r>
      <w:r>
        <w:rPr>
          <w:rFonts w:ascii="Times New Roman;Times;serif" w:hAnsi="Times New Roman;Times;serif"/>
          <w:spacing w:val="-3"/>
          <w:sz w:val="21"/>
        </w:rPr>
        <w:t xml:space="preserve">less to </w:t>
      </w:r>
      <w:r>
        <w:rPr>
          <w:rFonts w:ascii="Times New Roman;Times;serif" w:hAnsi="Times New Roman;Times;serif"/>
          <w:sz w:val="21"/>
        </w:rPr>
        <w:t xml:space="preserve">be </w:t>
      </w:r>
      <w:r>
        <w:rPr>
          <w:rFonts w:ascii="Times New Roman;Times;serif" w:hAnsi="Times New Roman;Times;serif"/>
          <w:spacing w:val="-3"/>
          <w:sz w:val="21"/>
        </w:rPr>
        <w:t xml:space="preserve">cash </w:t>
      </w:r>
      <w:r>
        <w:rPr>
          <w:rFonts w:ascii="Times New Roman;Times;serif" w:hAnsi="Times New Roman;Times;serif"/>
          <w:spacing w:val="-4"/>
          <w:sz w:val="21"/>
        </w:rPr>
        <w:t xml:space="preserve">equivalents </w:t>
      </w:r>
      <w:r>
        <w:rPr>
          <w:rFonts w:ascii="Times New Roman;Times;serif" w:hAnsi="Times New Roman;Times;serif"/>
          <w:spacing w:val="-3"/>
          <w:sz w:val="21"/>
        </w:rPr>
        <w:t xml:space="preserve">for </w:t>
      </w:r>
      <w:r>
        <w:rPr>
          <w:rFonts w:ascii="Times New Roman;Times;serif" w:hAnsi="Times New Roman;Times;serif"/>
          <w:spacing w:val="-4"/>
          <w:sz w:val="21"/>
        </w:rPr>
        <w:t xml:space="preserve">purposes </w:t>
      </w:r>
      <w:r>
        <w:rPr>
          <w:rFonts w:ascii="Times New Roman;Times;serif" w:hAnsi="Times New Roman;Times;serif"/>
          <w:sz w:val="21"/>
        </w:rPr>
        <w:t xml:space="preserve">of </w:t>
      </w:r>
      <w:r>
        <w:rPr>
          <w:rFonts w:ascii="Times New Roman;Times;serif" w:hAnsi="Times New Roman;Times;serif"/>
          <w:spacing w:val="-4"/>
          <w:sz w:val="21"/>
        </w:rPr>
        <w:t xml:space="preserve">balance sheet classification </w:t>
      </w:r>
      <w:r>
        <w:rPr>
          <w:rFonts w:ascii="Times New Roman;Times;serif" w:hAnsi="Times New Roman;Times;serif"/>
          <w:spacing w:val="-3"/>
          <w:sz w:val="21"/>
        </w:rPr>
        <w:t xml:space="preserve">and the </w:t>
      </w:r>
      <w:r>
        <w:rPr>
          <w:rFonts w:ascii="Times New Roman;Times;serif" w:hAnsi="Times New Roman;Times;serif"/>
          <w:spacing w:val="-4"/>
          <w:sz w:val="21"/>
        </w:rPr>
        <w:t xml:space="preserve">statement </w:t>
      </w:r>
      <w:r>
        <w:rPr>
          <w:rFonts w:ascii="Times New Roman;Times;serif" w:hAnsi="Times New Roman;Times;serif"/>
          <w:spacing w:val="-3"/>
          <w:sz w:val="21"/>
        </w:rPr>
        <w:t xml:space="preserve">of </w:t>
      </w:r>
      <w:r>
        <w:rPr>
          <w:rFonts w:ascii="Times New Roman;Times;serif" w:hAnsi="Times New Roman;Times;serif"/>
          <w:spacing w:val="-4"/>
          <w:sz w:val="21"/>
        </w:rPr>
        <w:t>cash flows.</w:t>
      </w:r>
    </w:p>
    <w:p>
      <w:pPr>
        <w:pStyle w:val="TextBody"/>
        <w:bidi w:val="0"/>
        <w:spacing w:before="120" w:after="0"/>
        <w:ind w:left="879" w:right="257" w:hanging="0"/>
        <w:jc w:val="both"/>
        <w:rPr>
          <w:rFonts w:ascii="Times New Roman;Times;serif" w:hAnsi="Times New Roman;Times;serif"/>
          <w:sz w:val="21"/>
        </w:rPr>
      </w:pPr>
      <w:r>
        <w:rPr>
          <w:rFonts w:ascii="Times New Roman;Times;serif" w:hAnsi="Times New Roman;Times;serif"/>
          <w:b/>
          <w:i/>
          <w:spacing w:val="-4"/>
          <w:sz w:val="21"/>
        </w:rPr>
        <w:t xml:space="preserve">Restricted Cash. </w:t>
      </w:r>
      <w:r>
        <w:rPr>
          <w:rFonts w:ascii="Times New Roman;Times;serif" w:hAnsi="Times New Roman;Times;serif"/>
          <w:spacing w:val="-4"/>
          <w:sz w:val="21"/>
        </w:rPr>
        <w:t xml:space="preserve">Restricted </w:t>
      </w:r>
      <w:r>
        <w:rPr>
          <w:rFonts w:ascii="Times New Roman;Times;serif" w:hAnsi="Times New Roman;Times;serif"/>
          <w:spacing w:val="-3"/>
          <w:sz w:val="21"/>
        </w:rPr>
        <w:t xml:space="preserve">cash </w:t>
      </w:r>
      <w:r>
        <w:rPr>
          <w:rFonts w:ascii="Times New Roman;Times;serif" w:hAnsi="Times New Roman;Times;serif"/>
          <w:spacing w:val="-4"/>
          <w:sz w:val="21"/>
        </w:rPr>
        <w:t xml:space="preserve">consists primarily </w:t>
      </w:r>
      <w:r>
        <w:rPr>
          <w:rFonts w:ascii="Times New Roman;Times;serif" w:hAnsi="Times New Roman;Times;serif"/>
          <w:spacing w:val="-3"/>
          <w:sz w:val="21"/>
        </w:rPr>
        <w:t xml:space="preserve">of </w:t>
      </w:r>
      <w:r>
        <w:rPr>
          <w:rFonts w:ascii="Times New Roman;Times;serif" w:hAnsi="Times New Roman;Times;serif"/>
          <w:spacing w:val="-4"/>
          <w:sz w:val="21"/>
        </w:rPr>
        <w:t xml:space="preserve">deposits received </w:t>
      </w:r>
      <w:r>
        <w:rPr>
          <w:rFonts w:ascii="Times New Roman;Times;serif" w:hAnsi="Times New Roman;Times;serif"/>
          <w:spacing w:val="-3"/>
          <w:sz w:val="21"/>
        </w:rPr>
        <w:t xml:space="preserve">from </w:t>
      </w:r>
      <w:r>
        <w:rPr>
          <w:rFonts w:ascii="Times New Roman;Times;serif" w:hAnsi="Times New Roman;Times;serif"/>
          <w:spacing w:val="-4"/>
          <w:sz w:val="21"/>
        </w:rPr>
        <w:t xml:space="preserve">customers </w:t>
      </w:r>
      <w:r>
        <w:rPr>
          <w:rFonts w:ascii="Times New Roman;Times;serif" w:hAnsi="Times New Roman;Times;serif"/>
          <w:sz w:val="21"/>
        </w:rPr>
        <w:t xml:space="preserve">in </w:t>
      </w:r>
      <w:r>
        <w:rPr>
          <w:rFonts w:ascii="Times New Roman;Times;serif" w:hAnsi="Times New Roman;Times;serif"/>
          <w:spacing w:val="-4"/>
          <w:sz w:val="21"/>
        </w:rPr>
        <w:t xml:space="preserve">conjunction </w:t>
      </w:r>
      <w:r>
        <w:rPr>
          <w:rFonts w:ascii="Times New Roman;Times;serif" w:hAnsi="Times New Roman;Times;serif"/>
          <w:spacing w:val="-5"/>
          <w:sz w:val="21"/>
        </w:rPr>
        <w:t xml:space="preserve">with </w:t>
      </w:r>
      <w:r>
        <w:rPr>
          <w:rFonts w:ascii="Times New Roman;Times;serif" w:hAnsi="Times New Roman;Times;serif"/>
          <w:spacing w:val="-3"/>
          <w:sz w:val="21"/>
        </w:rPr>
        <w:t>the</w:t>
      </w:r>
      <w:r>
        <w:rPr>
          <w:rFonts w:ascii="Times New Roman;Times;serif" w:hAnsi="Times New Roman;Times;serif"/>
          <w:spacing w:val="-7"/>
          <w:sz w:val="21"/>
        </w:rPr>
        <w:t xml:space="preserve"> </w:t>
      </w:r>
      <w:r>
        <w:rPr>
          <w:rFonts w:ascii="Times New Roman;Times;serif" w:hAnsi="Times New Roman;Times;serif"/>
          <w:spacing w:val="-4"/>
          <w:sz w:val="21"/>
        </w:rPr>
        <w:t>anticipated</w:t>
      </w:r>
      <w:r>
        <w:rPr>
          <w:rFonts w:ascii="Times New Roman;Times;serif" w:hAnsi="Times New Roman;Times;serif"/>
          <w:spacing w:val="-7"/>
          <w:sz w:val="21"/>
        </w:rPr>
        <w:t xml:space="preserve"> </w:t>
      </w:r>
      <w:r>
        <w:rPr>
          <w:rFonts w:ascii="Times New Roman;Times;serif" w:hAnsi="Times New Roman;Times;serif"/>
          <w:spacing w:val="-4"/>
          <w:sz w:val="21"/>
        </w:rPr>
        <w:t>closing</w:t>
      </w:r>
      <w:r>
        <w:rPr>
          <w:rFonts w:ascii="Times New Roman;Times;serif" w:hAnsi="Times New Roman;Times;serif"/>
          <w:spacing w:val="-6"/>
          <w:sz w:val="21"/>
        </w:rPr>
        <w:t xml:space="preserve"> </w:t>
      </w:r>
      <w:r>
        <w:rPr>
          <w:rFonts w:ascii="Times New Roman;Times;serif" w:hAnsi="Times New Roman;Times;serif"/>
          <w:sz w:val="21"/>
        </w:rPr>
        <w:t>of</w:t>
      </w:r>
      <w:r>
        <w:rPr>
          <w:rFonts w:ascii="Times New Roman;Times;serif" w:hAnsi="Times New Roman;Times;serif"/>
          <w:spacing w:val="-8"/>
          <w:sz w:val="21"/>
        </w:rPr>
        <w:t xml:space="preserve"> </w:t>
      </w:r>
      <w:r>
        <w:rPr>
          <w:rFonts w:ascii="Times New Roman;Times;serif" w:hAnsi="Times New Roman;Times;serif"/>
          <w:spacing w:val="-4"/>
          <w:sz w:val="21"/>
        </w:rPr>
        <w:t>single-family</w:t>
      </w:r>
      <w:r>
        <w:rPr>
          <w:rFonts w:ascii="Times New Roman;Times;serif" w:hAnsi="Times New Roman;Times;serif"/>
          <w:spacing w:val="-6"/>
          <w:sz w:val="21"/>
        </w:rPr>
        <w:t xml:space="preserve"> </w:t>
      </w:r>
      <w:r>
        <w:rPr>
          <w:rFonts w:ascii="Times New Roman;Times;serif" w:hAnsi="Times New Roman;Times;serif"/>
          <w:spacing w:val="-4"/>
          <w:sz w:val="21"/>
        </w:rPr>
        <w:t>homes</w:t>
      </w:r>
      <w:r>
        <w:rPr>
          <w:rFonts w:ascii="Times New Roman;Times;serif" w:hAnsi="Times New Roman;Times;serif"/>
          <w:spacing w:val="-7"/>
          <w:sz w:val="21"/>
        </w:rPr>
        <w:t xml:space="preserve"> </w:t>
      </w:r>
      <w:r>
        <w:rPr>
          <w:rFonts w:ascii="Times New Roman;Times;serif" w:hAnsi="Times New Roman;Times;serif"/>
          <w:spacing w:val="-3"/>
          <w:sz w:val="21"/>
        </w:rPr>
        <w:t>and</w:t>
      </w:r>
      <w:r>
        <w:rPr>
          <w:rFonts w:ascii="Times New Roman;Times;serif" w:hAnsi="Times New Roman;Times;serif"/>
          <w:spacing w:val="-6"/>
          <w:sz w:val="21"/>
        </w:rPr>
        <w:t xml:space="preserve"> </w:t>
      </w:r>
      <w:r>
        <w:rPr>
          <w:rFonts w:ascii="Times New Roman;Times;serif" w:hAnsi="Times New Roman;Times;serif"/>
          <w:sz w:val="21"/>
        </w:rPr>
        <w:t>is</w:t>
      </w:r>
      <w:r>
        <w:rPr>
          <w:rFonts w:ascii="Times New Roman;Times;serif" w:hAnsi="Times New Roman;Times;serif"/>
          <w:spacing w:val="-7"/>
          <w:sz w:val="21"/>
        </w:rPr>
        <w:t xml:space="preserve"> </w:t>
      </w:r>
      <w:r>
        <w:rPr>
          <w:rFonts w:ascii="Times New Roman;Times;serif" w:hAnsi="Times New Roman;Times;serif"/>
          <w:spacing w:val="-3"/>
          <w:sz w:val="21"/>
        </w:rPr>
        <w:t>held</w:t>
      </w:r>
      <w:r>
        <w:rPr>
          <w:rFonts w:ascii="Times New Roman;Times;serif" w:hAnsi="Times New Roman;Times;serif"/>
          <w:spacing w:val="-6"/>
          <w:sz w:val="21"/>
        </w:rPr>
        <w:t xml:space="preserve"> </w:t>
      </w:r>
      <w:r>
        <w:rPr>
          <w:rFonts w:ascii="Times New Roman;Times;serif" w:hAnsi="Times New Roman;Times;serif"/>
          <w:sz w:val="21"/>
        </w:rPr>
        <w:t>in</w:t>
      </w:r>
      <w:r>
        <w:rPr>
          <w:rFonts w:ascii="Times New Roman;Times;serif" w:hAnsi="Times New Roman;Times;serif"/>
          <w:spacing w:val="-7"/>
          <w:sz w:val="21"/>
        </w:rPr>
        <w:t xml:space="preserve"> </w:t>
      </w:r>
      <w:r>
        <w:rPr>
          <w:rFonts w:ascii="Times New Roman;Times;serif" w:hAnsi="Times New Roman;Times;serif"/>
          <w:spacing w:val="-4"/>
          <w:sz w:val="21"/>
        </w:rPr>
        <w:t>escrow</w:t>
      </w:r>
      <w:r>
        <w:rPr>
          <w:rFonts w:ascii="Times New Roman;Times;serif" w:hAnsi="Times New Roman;Times;serif"/>
          <w:spacing w:val="-6"/>
          <w:sz w:val="21"/>
        </w:rPr>
        <w:t xml:space="preserve"> </w:t>
      </w:r>
      <w:r>
        <w:rPr>
          <w:rFonts w:ascii="Times New Roman;Times;serif" w:hAnsi="Times New Roman;Times;serif"/>
          <w:spacing w:val="-4"/>
          <w:sz w:val="21"/>
        </w:rPr>
        <w:t>accounts.</w:t>
      </w:r>
    </w:p>
    <w:p>
      <w:pPr>
        <w:pStyle w:val="TextBody"/>
        <w:bidi w:val="0"/>
        <w:spacing w:before="122" w:after="0"/>
        <w:ind w:left="879" w:right="250" w:hanging="0"/>
        <w:jc w:val="both"/>
        <w:rPr>
          <w:rFonts w:ascii="Times New Roman;Times;serif" w:hAnsi="Times New Roman;Times;serif"/>
          <w:sz w:val="21"/>
        </w:rPr>
      </w:pPr>
      <w:r>
        <w:rPr>
          <w:rFonts w:ascii="Times New Roman;Times;serif" w:hAnsi="Times New Roman;Times;serif"/>
          <w:b/>
          <w:i/>
          <w:spacing w:val="-4"/>
          <w:sz w:val="21"/>
        </w:rPr>
        <w:t xml:space="preserve">Property </w:t>
      </w:r>
      <w:r>
        <w:rPr>
          <w:rFonts w:ascii="Times New Roman;Times;serif" w:hAnsi="Times New Roman;Times;serif"/>
          <w:b/>
          <w:i/>
          <w:spacing w:val="-3"/>
          <w:sz w:val="21"/>
        </w:rPr>
        <w:t xml:space="preserve">and </w:t>
      </w:r>
      <w:r>
        <w:rPr>
          <w:rFonts w:ascii="Times New Roman;Times;serif" w:hAnsi="Times New Roman;Times;serif"/>
          <w:b/>
          <w:i/>
          <w:spacing w:val="-4"/>
          <w:sz w:val="21"/>
        </w:rPr>
        <w:t xml:space="preserve">Other Equipment. </w:t>
      </w:r>
      <w:r>
        <w:rPr>
          <w:rFonts w:ascii="Times New Roman;Times;serif" w:hAnsi="Times New Roman;Times;serif"/>
          <w:spacing w:val="-4"/>
          <w:sz w:val="21"/>
        </w:rPr>
        <w:t xml:space="preserve">Property </w:t>
      </w:r>
      <w:r>
        <w:rPr>
          <w:rFonts w:ascii="Times New Roman;Times;serif" w:hAnsi="Times New Roman;Times;serif"/>
          <w:sz w:val="21"/>
        </w:rPr>
        <w:t xml:space="preserve">and </w:t>
      </w:r>
      <w:r>
        <w:rPr>
          <w:rFonts w:ascii="Times New Roman;Times;serif" w:hAnsi="Times New Roman;Times;serif"/>
          <w:spacing w:val="-4"/>
          <w:sz w:val="21"/>
        </w:rPr>
        <w:t xml:space="preserve">other equipment </w:t>
      </w:r>
      <w:r>
        <w:rPr>
          <w:rFonts w:ascii="Times New Roman;Times;serif" w:hAnsi="Times New Roman;Times;serif"/>
          <w:spacing w:val="-3"/>
          <w:sz w:val="21"/>
        </w:rPr>
        <w:t xml:space="preserve">are </w:t>
      </w:r>
      <w:r>
        <w:rPr>
          <w:rFonts w:ascii="Times New Roman;Times;serif" w:hAnsi="Times New Roman;Times;serif"/>
          <w:spacing w:val="-4"/>
          <w:sz w:val="21"/>
        </w:rPr>
        <w:t xml:space="preserve">stated </w:t>
      </w:r>
      <w:r>
        <w:rPr>
          <w:rFonts w:ascii="Times New Roman;Times;serif" w:hAnsi="Times New Roman;Times;serif"/>
          <w:sz w:val="21"/>
        </w:rPr>
        <w:t xml:space="preserve">at </w:t>
      </w:r>
      <w:r>
        <w:rPr>
          <w:rFonts w:ascii="Times New Roman;Times;serif" w:hAnsi="Times New Roman;Times;serif"/>
          <w:spacing w:val="-4"/>
          <w:sz w:val="21"/>
        </w:rPr>
        <w:t xml:space="preserve">cost.  Depreciation </w:t>
      </w:r>
      <w:r>
        <w:rPr>
          <w:rFonts w:ascii="Times New Roman;Times;serif" w:hAnsi="Times New Roman;Times;serif"/>
          <w:sz w:val="21"/>
        </w:rPr>
        <w:t xml:space="preserve">is </w:t>
      </w:r>
      <w:r>
        <w:rPr>
          <w:rFonts w:ascii="Times New Roman;Times;serif" w:hAnsi="Times New Roman;Times;serif"/>
          <w:spacing w:val="-4"/>
          <w:sz w:val="21"/>
        </w:rPr>
        <w:t xml:space="preserve">provided </w:t>
      </w:r>
      <w:r>
        <w:rPr>
          <w:rFonts w:ascii="Times New Roman;Times;serif" w:hAnsi="Times New Roman;Times;serif"/>
          <w:sz w:val="21"/>
        </w:rPr>
        <w:t xml:space="preserve">by </w:t>
      </w:r>
      <w:r>
        <w:rPr>
          <w:rFonts w:ascii="Times New Roman;Times;serif" w:hAnsi="Times New Roman;Times;serif"/>
          <w:spacing w:val="-4"/>
          <w:sz w:val="21"/>
        </w:rPr>
        <w:t xml:space="preserve">using </w:t>
      </w:r>
      <w:r>
        <w:rPr>
          <w:rFonts w:ascii="Times New Roman;Times;serif" w:hAnsi="Times New Roman;Times;serif"/>
          <w:sz w:val="21"/>
        </w:rPr>
        <w:t xml:space="preserve">the </w:t>
      </w:r>
      <w:r>
        <w:rPr>
          <w:rFonts w:ascii="Times New Roman;Times;serif" w:hAnsi="Times New Roman;Times;serif"/>
          <w:spacing w:val="-4"/>
          <w:sz w:val="21"/>
        </w:rPr>
        <w:t xml:space="preserve">straight-line method </w:t>
      </w:r>
      <w:r>
        <w:rPr>
          <w:rFonts w:ascii="Times New Roman;Times;serif" w:hAnsi="Times New Roman;Times;serif"/>
          <w:spacing w:val="-3"/>
          <w:sz w:val="21"/>
        </w:rPr>
        <w:t xml:space="preserve">over </w:t>
      </w:r>
      <w:r>
        <w:rPr>
          <w:rFonts w:ascii="Times New Roman;Times;serif" w:hAnsi="Times New Roman;Times;serif"/>
          <w:sz w:val="21"/>
        </w:rPr>
        <w:t xml:space="preserve">the </w:t>
      </w:r>
      <w:r>
        <w:rPr>
          <w:rFonts w:ascii="Times New Roman;Times;serif" w:hAnsi="Times New Roman;Times;serif"/>
          <w:spacing w:val="-3"/>
          <w:sz w:val="21"/>
        </w:rPr>
        <w:t xml:space="preserve">estimated </w:t>
      </w:r>
      <w:r>
        <w:rPr>
          <w:rFonts w:ascii="Times New Roman;Times;serif" w:hAnsi="Times New Roman;Times;serif"/>
          <w:spacing w:val="-4"/>
          <w:sz w:val="21"/>
        </w:rPr>
        <w:t xml:space="preserve">useful </w:t>
      </w:r>
      <w:r>
        <w:rPr>
          <w:rFonts w:ascii="Times New Roman;Times;serif" w:hAnsi="Times New Roman;Times;serif"/>
          <w:spacing w:val="-3"/>
          <w:sz w:val="21"/>
        </w:rPr>
        <w:t xml:space="preserve">lives, </w:t>
      </w:r>
      <w:r>
        <w:rPr>
          <w:rFonts w:ascii="Times New Roman;Times;serif" w:hAnsi="Times New Roman;Times;serif"/>
          <w:spacing w:val="-4"/>
          <w:sz w:val="21"/>
        </w:rPr>
        <w:t xml:space="preserve">which range </w:t>
      </w:r>
      <w:r>
        <w:rPr>
          <w:rFonts w:ascii="Times New Roman;Times;serif" w:hAnsi="Times New Roman;Times;serif"/>
          <w:spacing w:val="-3"/>
          <w:sz w:val="21"/>
        </w:rPr>
        <w:t xml:space="preserve">from three </w:t>
      </w:r>
      <w:r>
        <w:rPr>
          <w:rFonts w:ascii="Times New Roman;Times;serif" w:hAnsi="Times New Roman;Times;serif"/>
          <w:sz w:val="21"/>
        </w:rPr>
        <w:t xml:space="preserve">to </w:t>
      </w:r>
      <w:r>
        <w:rPr>
          <w:rFonts w:ascii="Times New Roman;Times;serif" w:hAnsi="Times New Roman;Times;serif"/>
          <w:spacing w:val="-3"/>
          <w:sz w:val="21"/>
        </w:rPr>
        <w:t xml:space="preserve">seven </w:t>
      </w:r>
      <w:r>
        <w:rPr>
          <w:rFonts w:ascii="Times New Roman;Times;serif" w:hAnsi="Times New Roman;Times;serif"/>
          <w:spacing w:val="-4"/>
          <w:sz w:val="21"/>
        </w:rPr>
        <w:t xml:space="preserve">years. </w:t>
      </w:r>
      <w:r>
        <w:rPr>
          <w:rFonts w:ascii="Times New Roman;Times;serif" w:hAnsi="Times New Roman;Times;serif"/>
          <w:spacing w:val="-2"/>
          <w:sz w:val="21"/>
        </w:rPr>
        <w:t xml:space="preserve">The </w:t>
      </w:r>
      <w:r>
        <w:rPr>
          <w:rFonts w:ascii="Times New Roman;Times;serif" w:hAnsi="Times New Roman;Times;serif"/>
          <w:spacing w:val="-4"/>
          <w:sz w:val="21"/>
        </w:rPr>
        <w:t xml:space="preserve">costs </w:t>
      </w:r>
      <w:r>
        <w:rPr>
          <w:rFonts w:ascii="Times New Roman;Times;serif" w:hAnsi="Times New Roman;Times;serif"/>
          <w:sz w:val="21"/>
        </w:rPr>
        <w:t xml:space="preserve">of </w:t>
      </w:r>
      <w:r>
        <w:rPr>
          <w:rFonts w:ascii="Times New Roman;Times;serif" w:hAnsi="Times New Roman;Times;serif"/>
          <w:spacing w:val="-4"/>
          <w:sz w:val="21"/>
        </w:rPr>
        <w:t xml:space="preserve">maintenance </w:t>
      </w:r>
      <w:r>
        <w:rPr>
          <w:rFonts w:ascii="Times New Roman;Times;serif" w:hAnsi="Times New Roman;Times;serif"/>
          <w:spacing w:val="-3"/>
          <w:sz w:val="21"/>
        </w:rPr>
        <w:t xml:space="preserve">and </w:t>
      </w:r>
      <w:r>
        <w:rPr>
          <w:rFonts w:ascii="Times New Roman;Times;serif" w:hAnsi="Times New Roman;Times;serif"/>
          <w:spacing w:val="-4"/>
          <w:sz w:val="21"/>
        </w:rPr>
        <w:t xml:space="preserve">repairs </w:t>
      </w:r>
      <w:r>
        <w:rPr>
          <w:rFonts w:ascii="Times New Roman;Times;serif" w:hAnsi="Times New Roman;Times;serif"/>
          <w:spacing w:val="-3"/>
          <w:sz w:val="21"/>
        </w:rPr>
        <w:t xml:space="preserve">are </w:t>
      </w:r>
      <w:r>
        <w:rPr>
          <w:rFonts w:ascii="Times New Roman;Times;serif" w:hAnsi="Times New Roman;Times;serif"/>
          <w:spacing w:val="-4"/>
          <w:sz w:val="21"/>
        </w:rPr>
        <w:t xml:space="preserve">expensed </w:t>
      </w:r>
      <w:r>
        <w:rPr>
          <w:rFonts w:ascii="Times New Roman;Times;serif" w:hAnsi="Times New Roman;Times;serif"/>
          <w:sz w:val="21"/>
        </w:rPr>
        <w:t>as</w:t>
      </w:r>
      <w:r>
        <w:rPr>
          <w:rFonts w:ascii="Times New Roman;Times;serif" w:hAnsi="Times New Roman;Times;serif"/>
          <w:spacing w:val="-32"/>
          <w:sz w:val="21"/>
        </w:rPr>
        <w:t xml:space="preserve"> </w:t>
      </w:r>
      <w:r>
        <w:rPr>
          <w:rFonts w:ascii="Times New Roman;Times;serif" w:hAnsi="Times New Roman;Times;serif"/>
          <w:spacing w:val="-4"/>
          <w:sz w:val="21"/>
        </w:rPr>
        <w:t>incurred.</w:t>
      </w:r>
    </w:p>
    <w:p>
      <w:pPr>
        <w:pStyle w:val="TextBody"/>
        <w:bidi w:val="0"/>
        <w:spacing w:before="0" w:after="0"/>
        <w:ind w:left="0" w:right="0" w:hanging="0"/>
        <w:jc w:val="both"/>
        <w:rPr>
          <w:spacing w:val="-4"/>
        </w:rPr>
      </w:pPr>
      <w:r>
        <w:rPr>
          <w:spacing w:val="-4"/>
        </w:rPr>
        <w:t>​</w:t>
      </w:r>
    </w:p>
    <w:p>
      <w:pPr>
        <w:pStyle w:val="TextBody"/>
        <w:bidi w:val="0"/>
        <w:spacing w:before="0" w:after="0"/>
        <w:ind w:left="0" w:right="0" w:hanging="0"/>
        <w:jc w:val="left"/>
        <w:rPr/>
      </w:pPr>
      <w:r>
        <w:rPr/>
        <w:t>​</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shd w:fill="FFFFFF" w:val="clear"/>
        </w:rPr>
        <w:tab/>
      </w:r>
      <w:r>
        <w:rPr>
          <w:rFonts w:ascii="Times New Roman;Times;serif" w:hAnsi="Times New Roman;Times;serif"/>
          <w:sz w:val="22"/>
          <w:shd w:fill="FFFFFF" w:val="clear"/>
        </w:rPr>
        <w:tab/>
      </w:r>
      <w:r>
        <w:rPr>
          <w:rFonts w:ascii="Times New Roman;Times;serif" w:hAnsi="Times New Roman;Times;serif"/>
          <w:sz w:val="20"/>
          <w:shd w:fill="FFFFFF" w:val="clear"/>
        </w:rPr>
        <w:t>5</w:t>
      </w:r>
      <w:r>
        <mc:AlternateContent>
          <mc:Choice Requires="wps">
            <w:drawing>
              <wp:anchor behindDoc="0" distT="0" distB="0" distL="0" distR="0" simplePos="0" locked="0" layoutInCell="1" allowOverlap="1" relativeHeight="850">
                <wp:simplePos x="0" y="0"/>
                <wp:positionH relativeFrom="page">
                  <wp:posOffset>0</wp:posOffset>
                </wp:positionH>
                <wp:positionV relativeFrom="line">
                  <wp:posOffset>635</wp:posOffset>
                </wp:positionV>
                <wp:extent cx="6480175" cy="175260"/>
                <wp:effectExtent l="0" t="0" r="0" b="0"/>
                <wp:wrapNone/>
                <wp:docPr id="849" name="Frame8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LMWS, LLC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Financial Statements</w:t>
      </w:r>
    </w:p>
    <w:p>
      <w:pPr>
        <w:pStyle w:val="TextBody"/>
        <w:bidi w:val="0"/>
        <w:spacing w:before="8" w:after="0"/>
        <w:ind w:left="0" w:right="0" w:hanging="0"/>
        <w:jc w:val="left"/>
        <w:rPr/>
      </w:pPr>
      <w:r>
        <w:rPr/>
        <w:t>​</w:t>
      </w:r>
    </w:p>
    <w:p>
      <w:pPr>
        <w:pStyle w:val="TextBody"/>
        <w:bidi w:val="0"/>
        <w:ind w:left="160" w:right="0" w:hanging="0"/>
        <w:jc w:val="left"/>
        <w:rPr>
          <w:rFonts w:ascii="Arial;Helvetica;sans-serif" w:hAnsi="Arial;Helvetica;sans-serif"/>
          <w:b/>
          <w:sz w:val="21"/>
        </w:rPr>
      </w:pPr>
      <w:r>
        <w:rPr>
          <w:rFonts w:ascii="Arial;Helvetica;sans-serif" w:hAnsi="Arial;Helvetica;sans-serif"/>
          <w:b/>
          <w:sz w:val="21"/>
        </w:rPr>
        <w:t>2.</w:t>
      </w:r>
      <w:r>
        <w:rPr>
          <w:rFonts w:ascii="Arial;Helvetica;sans-serif" w:hAnsi="Arial;Helvetica;sans-serif"/>
          <w:b/>
          <w:spacing w:val="-4"/>
          <w:sz w:val="21"/>
        </w:rPr>
        <w:t xml:space="preserve">Summary </w:t>
      </w:r>
      <w:r>
        <w:rPr>
          <w:rFonts w:ascii="Arial;Helvetica;sans-serif" w:hAnsi="Arial;Helvetica;sans-serif"/>
          <w:b/>
          <w:sz w:val="21"/>
        </w:rPr>
        <w:t xml:space="preserve">of </w:t>
      </w:r>
      <w:r>
        <w:rPr>
          <w:rFonts w:ascii="Arial;Helvetica;sans-serif" w:hAnsi="Arial;Helvetica;sans-serif"/>
          <w:b/>
          <w:spacing w:val="-4"/>
          <w:sz w:val="21"/>
        </w:rPr>
        <w:t xml:space="preserve">Significant </w:t>
      </w:r>
      <w:r>
        <w:rPr>
          <w:rFonts w:ascii="Arial;Helvetica;sans-serif" w:hAnsi="Arial;Helvetica;sans-serif"/>
          <w:b/>
          <w:spacing w:val="-5"/>
          <w:sz w:val="21"/>
        </w:rPr>
        <w:t xml:space="preserve">Accounting </w:t>
      </w:r>
      <w:r>
        <w:rPr>
          <w:rFonts w:ascii="Arial;Helvetica;sans-serif" w:hAnsi="Arial;Helvetica;sans-serif"/>
          <w:b/>
          <w:spacing w:val="-4"/>
          <w:sz w:val="21"/>
        </w:rPr>
        <w:t>Policies</w:t>
      </w:r>
      <w:r>
        <w:rPr>
          <w:rFonts w:ascii="Arial;Helvetica;sans-serif" w:hAnsi="Arial;Helvetica;sans-serif"/>
          <w:b/>
          <w:spacing w:val="-20"/>
          <w:sz w:val="21"/>
        </w:rPr>
        <w:t xml:space="preserve"> </w:t>
      </w:r>
      <w:r>
        <w:rPr>
          <w:rFonts w:ascii="Arial;Helvetica;sans-serif" w:hAnsi="Arial;Helvetica;sans-serif"/>
          <w:b/>
          <w:spacing w:val="-4"/>
          <w:sz w:val="21"/>
        </w:rPr>
        <w:t>(Cont’d.)</w:t>
      </w:r>
    </w:p>
    <w:p>
      <w:pPr>
        <w:pStyle w:val="TextBody"/>
        <w:bidi w:val="0"/>
        <w:spacing w:before="118" w:after="0"/>
        <w:ind w:left="880" w:right="258" w:hanging="0"/>
        <w:jc w:val="both"/>
        <w:rPr>
          <w:rFonts w:ascii="Times New Roman;Times;serif" w:hAnsi="Times New Roman;Times;serif"/>
          <w:sz w:val="21"/>
        </w:rPr>
      </w:pPr>
      <w:r>
        <w:rPr>
          <w:rFonts w:ascii="Times New Roman;Times;serif" w:hAnsi="Times New Roman;Times;serif"/>
          <w:b/>
          <w:i/>
          <w:spacing w:val="-4"/>
          <w:sz w:val="21"/>
        </w:rPr>
        <w:t xml:space="preserve">Customer Deposits. </w:t>
      </w:r>
      <w:r>
        <w:rPr>
          <w:rFonts w:ascii="Times New Roman;Times;serif" w:hAnsi="Times New Roman;Times;serif"/>
          <w:sz w:val="21"/>
        </w:rPr>
        <w:t>Customer deposits represent cash deposits received related to sales contracts with homebuyers and are recorded as liabilities until the homes are closed</w:t>
      </w:r>
      <w:r>
        <w:rPr>
          <w:rFonts w:ascii="Times New Roman;Times;serif" w:hAnsi="Times New Roman;Times;serif"/>
          <w:spacing w:val="-4"/>
          <w:sz w:val="21"/>
        </w:rPr>
        <w:t>.</w:t>
      </w:r>
    </w:p>
    <w:p>
      <w:pPr>
        <w:pStyle w:val="TextBody"/>
        <w:bidi w:val="0"/>
        <w:spacing w:before="119" w:after="0"/>
        <w:ind w:left="879" w:right="256" w:hanging="0"/>
        <w:jc w:val="both"/>
        <w:rPr>
          <w:rFonts w:ascii="Times New Roman;Times;serif" w:hAnsi="Times New Roman;Times;serif"/>
          <w:sz w:val="21"/>
        </w:rPr>
      </w:pPr>
      <w:r>
        <w:rPr>
          <w:rFonts w:ascii="Times New Roman;Times;serif" w:hAnsi="Times New Roman;Times;serif"/>
          <w:b/>
          <w:i/>
          <w:sz w:val="21"/>
        </w:rPr>
        <w:t>Financing Costs.  </w:t>
      </w:r>
      <w:r>
        <w:rPr>
          <w:rFonts w:ascii="Times New Roman;Times;serif" w:hAnsi="Times New Roman;Times;serif"/>
          <w:spacing w:val="-4"/>
          <w:sz w:val="21"/>
        </w:rPr>
        <w:t xml:space="preserve">Financing costs </w:t>
      </w:r>
      <w:r>
        <w:rPr>
          <w:rFonts w:ascii="Times New Roman;Times;serif" w:hAnsi="Times New Roman;Times;serif"/>
          <w:spacing w:val="-3"/>
          <w:sz w:val="21"/>
        </w:rPr>
        <w:t xml:space="preserve">are </w:t>
      </w:r>
      <w:r>
        <w:rPr>
          <w:rFonts w:ascii="Times New Roman;Times;serif" w:hAnsi="Times New Roman;Times;serif"/>
          <w:spacing w:val="-4"/>
          <w:sz w:val="21"/>
        </w:rPr>
        <w:t xml:space="preserve">incurred </w:t>
      </w:r>
      <w:r>
        <w:rPr>
          <w:rFonts w:ascii="Times New Roman;Times;serif" w:hAnsi="Times New Roman;Times;serif"/>
          <w:sz w:val="21"/>
        </w:rPr>
        <w:t xml:space="preserve">in </w:t>
      </w:r>
      <w:r>
        <w:rPr>
          <w:rFonts w:ascii="Times New Roman;Times;serif" w:hAnsi="Times New Roman;Times;serif"/>
          <w:spacing w:val="-4"/>
          <w:sz w:val="21"/>
        </w:rPr>
        <w:t xml:space="preserve">connection </w:t>
      </w:r>
      <w:r>
        <w:rPr>
          <w:rFonts w:ascii="Times New Roman;Times;serif" w:hAnsi="Times New Roman;Times;serif"/>
          <w:spacing w:val="-3"/>
          <w:sz w:val="21"/>
        </w:rPr>
        <w:t xml:space="preserve">with </w:t>
      </w:r>
      <w:r>
        <w:rPr>
          <w:rFonts w:ascii="Times New Roman;Times;serif" w:hAnsi="Times New Roman;Times;serif"/>
          <w:spacing w:val="-4"/>
          <w:sz w:val="21"/>
        </w:rPr>
        <w:t xml:space="preserve">obtaining financing </w:t>
      </w:r>
      <w:r>
        <w:rPr>
          <w:rFonts w:ascii="Times New Roman;Times;serif" w:hAnsi="Times New Roman;Times;serif"/>
          <w:spacing w:val="-3"/>
          <w:sz w:val="21"/>
        </w:rPr>
        <w:t xml:space="preserve">from </w:t>
      </w:r>
      <w:r>
        <w:rPr>
          <w:rFonts w:ascii="Times New Roman;Times;serif" w:hAnsi="Times New Roman;Times;serif"/>
          <w:spacing w:val="-4"/>
          <w:sz w:val="21"/>
        </w:rPr>
        <w:t xml:space="preserve">third-party lenders </w:t>
      </w:r>
      <w:r>
        <w:rPr>
          <w:rFonts w:ascii="Times New Roman;Times;serif" w:hAnsi="Times New Roman;Times;serif"/>
          <w:spacing w:val="-3"/>
          <w:sz w:val="21"/>
        </w:rPr>
        <w:t xml:space="preserve">and are </w:t>
      </w:r>
      <w:r>
        <w:rPr>
          <w:rFonts w:ascii="Times New Roman;Times;serif" w:hAnsi="Times New Roman;Times;serif"/>
          <w:spacing w:val="-4"/>
          <w:sz w:val="21"/>
        </w:rPr>
        <w:t xml:space="preserve">presented </w:t>
      </w:r>
      <w:r>
        <w:rPr>
          <w:rFonts w:ascii="Times New Roman;Times;serif" w:hAnsi="Times New Roman;Times;serif"/>
          <w:spacing w:val="-3"/>
          <w:sz w:val="21"/>
        </w:rPr>
        <w:t xml:space="preserve">in the </w:t>
      </w:r>
      <w:r>
        <w:rPr>
          <w:rFonts w:ascii="Times New Roman;Times;serif" w:hAnsi="Times New Roman;Times;serif"/>
          <w:spacing w:val="-4"/>
          <w:sz w:val="21"/>
        </w:rPr>
        <w:t xml:space="preserve">balance sheet </w:t>
      </w:r>
      <w:r>
        <w:rPr>
          <w:rFonts w:ascii="Times New Roman;Times;serif" w:hAnsi="Times New Roman;Times;serif"/>
          <w:spacing w:val="-3"/>
          <w:sz w:val="21"/>
        </w:rPr>
        <w:t xml:space="preserve">as </w:t>
      </w:r>
      <w:r>
        <w:rPr>
          <w:rFonts w:ascii="Times New Roman;Times;serif" w:hAnsi="Times New Roman;Times;serif"/>
          <w:sz w:val="21"/>
        </w:rPr>
        <w:t xml:space="preserve">a </w:t>
      </w:r>
      <w:r>
        <w:rPr>
          <w:rFonts w:ascii="Times New Roman;Times;serif" w:hAnsi="Times New Roman;Times;serif"/>
          <w:spacing w:val="-4"/>
          <w:sz w:val="21"/>
        </w:rPr>
        <w:t xml:space="preserve">direct deduction from </w:t>
      </w:r>
      <w:r>
        <w:rPr>
          <w:rFonts w:ascii="Times New Roman;Times;serif" w:hAnsi="Times New Roman;Times;serif"/>
          <w:spacing w:val="-3"/>
          <w:sz w:val="21"/>
        </w:rPr>
        <w:t xml:space="preserve">the </w:t>
      </w:r>
      <w:r>
        <w:rPr>
          <w:rFonts w:ascii="Times New Roman;Times;serif" w:hAnsi="Times New Roman;Times;serif"/>
          <w:spacing w:val="-4"/>
          <w:sz w:val="21"/>
        </w:rPr>
        <w:t xml:space="preserve">carrying </w:t>
      </w:r>
      <w:r>
        <w:rPr>
          <w:rFonts w:ascii="Times New Roman;Times;serif" w:hAnsi="Times New Roman;Times;serif"/>
          <w:spacing w:val="-3"/>
          <w:sz w:val="21"/>
        </w:rPr>
        <w:t xml:space="preserve">value </w:t>
      </w:r>
      <w:r>
        <w:rPr>
          <w:rFonts w:ascii="Times New Roman;Times;serif" w:hAnsi="Times New Roman;Times;serif"/>
          <w:sz w:val="21"/>
        </w:rPr>
        <w:t xml:space="preserve">of the </w:t>
      </w:r>
      <w:r>
        <w:rPr>
          <w:rFonts w:ascii="Times New Roman;Times;serif" w:hAnsi="Times New Roman;Times;serif"/>
          <w:spacing w:val="-5"/>
          <w:sz w:val="21"/>
        </w:rPr>
        <w:t xml:space="preserve">associated </w:t>
      </w:r>
      <w:r>
        <w:rPr>
          <w:rFonts w:ascii="Times New Roman;Times;serif" w:hAnsi="Times New Roman;Times;serif"/>
          <w:spacing w:val="-3"/>
          <w:sz w:val="21"/>
        </w:rPr>
        <w:t xml:space="preserve">debt </w:t>
      </w:r>
      <w:r>
        <w:rPr>
          <w:rFonts w:ascii="Times New Roman;Times;serif" w:hAnsi="Times New Roman;Times;serif"/>
          <w:spacing w:val="-4"/>
          <w:sz w:val="21"/>
        </w:rPr>
        <w:t xml:space="preserve">liability. Financing costs </w:t>
      </w:r>
      <w:r>
        <w:rPr>
          <w:rFonts w:ascii="Times New Roman;Times;serif" w:hAnsi="Times New Roman;Times;serif"/>
          <w:spacing w:val="-3"/>
          <w:sz w:val="21"/>
        </w:rPr>
        <w:t xml:space="preserve">are </w:t>
      </w:r>
      <w:r>
        <w:rPr>
          <w:rFonts w:ascii="Times New Roman;Times;serif" w:hAnsi="Times New Roman;Times;serif"/>
          <w:spacing w:val="-4"/>
          <w:sz w:val="21"/>
        </w:rPr>
        <w:t xml:space="preserve">amortized </w:t>
      </w:r>
      <w:r>
        <w:rPr>
          <w:rFonts w:ascii="Times New Roman;Times;serif" w:hAnsi="Times New Roman;Times;serif"/>
          <w:spacing w:val="-3"/>
          <w:sz w:val="21"/>
        </w:rPr>
        <w:t xml:space="preserve">over </w:t>
      </w:r>
      <w:r>
        <w:rPr>
          <w:rFonts w:ascii="Times New Roman;Times;serif" w:hAnsi="Times New Roman;Times;serif"/>
          <w:sz w:val="21"/>
        </w:rPr>
        <w:t xml:space="preserve">the </w:t>
      </w:r>
      <w:r>
        <w:rPr>
          <w:rFonts w:ascii="Times New Roman;Times;serif" w:hAnsi="Times New Roman;Times;serif"/>
          <w:spacing w:val="-4"/>
          <w:sz w:val="21"/>
        </w:rPr>
        <w:t xml:space="preserve">estimated useful </w:t>
      </w:r>
      <w:r>
        <w:rPr>
          <w:rFonts w:ascii="Times New Roman;Times;serif" w:hAnsi="Times New Roman;Times;serif"/>
          <w:spacing w:val="-3"/>
          <w:sz w:val="21"/>
        </w:rPr>
        <w:t xml:space="preserve">life </w:t>
      </w:r>
      <w:r>
        <w:rPr>
          <w:rFonts w:ascii="Times New Roman;Times;serif" w:hAnsi="Times New Roman;Times;serif"/>
          <w:sz w:val="21"/>
        </w:rPr>
        <w:t xml:space="preserve">of </w:t>
      </w:r>
      <w:r>
        <w:rPr>
          <w:rFonts w:ascii="Times New Roman;Times;serif" w:hAnsi="Times New Roman;Times;serif"/>
          <w:spacing w:val="-3"/>
          <w:sz w:val="21"/>
        </w:rPr>
        <w:t xml:space="preserve">the </w:t>
      </w:r>
      <w:r>
        <w:rPr>
          <w:rFonts w:ascii="Times New Roman;Times;serif" w:hAnsi="Times New Roman;Times;serif"/>
          <w:spacing w:val="-4"/>
          <w:sz w:val="21"/>
        </w:rPr>
        <w:t xml:space="preserve">related </w:t>
      </w:r>
      <w:r>
        <w:rPr>
          <w:rFonts w:ascii="Times New Roman;Times;serif" w:hAnsi="Times New Roman;Times;serif"/>
          <w:spacing w:val="-3"/>
          <w:sz w:val="21"/>
        </w:rPr>
        <w:t xml:space="preserve">debt </w:t>
      </w:r>
      <w:r>
        <w:rPr>
          <w:rFonts w:ascii="Times New Roman;Times;serif" w:hAnsi="Times New Roman;Times;serif"/>
          <w:spacing w:val="-4"/>
          <w:sz w:val="21"/>
        </w:rPr>
        <w:t xml:space="preserve">using </w:t>
      </w:r>
      <w:r>
        <w:rPr>
          <w:rFonts w:ascii="Times New Roman;Times;serif" w:hAnsi="Times New Roman;Times;serif"/>
          <w:sz w:val="21"/>
        </w:rPr>
        <w:t xml:space="preserve">a </w:t>
      </w:r>
      <w:r>
        <w:rPr>
          <w:rFonts w:ascii="Times New Roman;Times;serif" w:hAnsi="Times New Roman;Times;serif"/>
          <w:spacing w:val="-4"/>
          <w:sz w:val="21"/>
        </w:rPr>
        <w:t xml:space="preserve">method </w:t>
      </w:r>
      <w:r>
        <w:rPr>
          <w:rFonts w:ascii="Times New Roman;Times;serif" w:hAnsi="Times New Roman;Times;serif"/>
          <w:spacing w:val="-3"/>
          <w:sz w:val="21"/>
        </w:rPr>
        <w:t xml:space="preserve">that </w:t>
      </w:r>
      <w:r>
        <w:rPr>
          <w:rFonts w:ascii="Times New Roman;Times;serif" w:hAnsi="Times New Roman;Times;serif"/>
          <w:spacing w:val="-4"/>
          <w:sz w:val="21"/>
        </w:rPr>
        <w:t xml:space="preserve">approximates </w:t>
      </w:r>
      <w:r>
        <w:rPr>
          <w:rFonts w:ascii="Times New Roman;Times;serif" w:hAnsi="Times New Roman;Times;serif"/>
          <w:spacing w:val="-3"/>
          <w:sz w:val="21"/>
        </w:rPr>
        <w:t xml:space="preserve">the </w:t>
      </w:r>
      <w:r>
        <w:rPr>
          <w:rFonts w:ascii="Times New Roman;Times;serif" w:hAnsi="Times New Roman;Times;serif"/>
          <w:spacing w:val="-4"/>
          <w:sz w:val="21"/>
        </w:rPr>
        <w:t xml:space="preserve">level-yield method. Amortization </w:t>
      </w:r>
      <w:r>
        <w:rPr>
          <w:rFonts w:ascii="Times New Roman;Times;serif" w:hAnsi="Times New Roman;Times;serif"/>
          <w:sz w:val="21"/>
        </w:rPr>
        <w:t xml:space="preserve">of </w:t>
      </w:r>
      <w:r>
        <w:rPr>
          <w:rFonts w:ascii="Times New Roman;Times;serif" w:hAnsi="Times New Roman;Times;serif"/>
          <w:spacing w:val="-4"/>
          <w:sz w:val="21"/>
        </w:rPr>
        <w:t xml:space="preserve">deferred financing costs during </w:t>
      </w:r>
      <w:r>
        <w:rPr>
          <w:rFonts w:ascii="Times New Roman;Times;serif" w:hAnsi="Times New Roman;Times;serif"/>
          <w:spacing w:val="-3"/>
          <w:sz w:val="21"/>
        </w:rPr>
        <w:t xml:space="preserve">the </w:t>
      </w:r>
      <w:r>
        <w:rPr>
          <w:rFonts w:ascii="Times New Roman;Times;serif" w:hAnsi="Times New Roman;Times;serif"/>
          <w:spacing w:val="-4"/>
          <w:sz w:val="21"/>
        </w:rPr>
        <w:t xml:space="preserve">construction period </w:t>
      </w:r>
      <w:r>
        <w:rPr>
          <w:rFonts w:ascii="Times New Roman;Times;serif" w:hAnsi="Times New Roman;Times;serif"/>
          <w:sz w:val="21"/>
        </w:rPr>
        <w:t xml:space="preserve">is </w:t>
      </w:r>
      <w:r>
        <w:rPr>
          <w:rFonts w:ascii="Times New Roman;Times;serif" w:hAnsi="Times New Roman;Times;serif"/>
          <w:spacing w:val="-4"/>
          <w:sz w:val="21"/>
        </w:rPr>
        <w:t xml:space="preserve">capitalized </w:t>
      </w:r>
      <w:r>
        <w:rPr>
          <w:rFonts w:ascii="Times New Roman;Times;serif" w:hAnsi="Times New Roman;Times;serif"/>
          <w:sz w:val="21"/>
        </w:rPr>
        <w:t xml:space="preserve">as </w:t>
      </w:r>
      <w:r>
        <w:rPr>
          <w:rFonts w:ascii="Times New Roman;Times;serif" w:hAnsi="Times New Roman;Times;serif"/>
          <w:spacing w:val="-4"/>
          <w:sz w:val="21"/>
        </w:rPr>
        <w:t xml:space="preserve">property costs </w:t>
      </w:r>
      <w:r>
        <w:rPr>
          <w:rFonts w:ascii="Times New Roman;Times;serif" w:hAnsi="Times New Roman;Times;serif"/>
          <w:sz w:val="21"/>
        </w:rPr>
        <w:t xml:space="preserve">to </w:t>
      </w:r>
      <w:r>
        <w:rPr>
          <w:rFonts w:ascii="Times New Roman;Times;serif" w:hAnsi="Times New Roman;Times;serif"/>
          <w:spacing w:val="-3"/>
          <w:sz w:val="21"/>
        </w:rPr>
        <w:t xml:space="preserve">real </w:t>
      </w:r>
      <w:r>
        <w:rPr>
          <w:rFonts w:ascii="Times New Roman;Times;serif" w:hAnsi="Times New Roman;Times;serif"/>
          <w:spacing w:val="-4"/>
          <w:sz w:val="21"/>
        </w:rPr>
        <w:t>estate inventory.</w:t>
      </w:r>
    </w:p>
    <w:p>
      <w:pPr>
        <w:pStyle w:val="TextBody"/>
        <w:bidi w:val="0"/>
        <w:spacing w:before="120" w:after="0"/>
        <w:ind w:left="880" w:right="259" w:hanging="0"/>
        <w:jc w:val="both"/>
        <w:rPr>
          <w:rFonts w:ascii="Times New Roman;Times;serif" w:hAnsi="Times New Roman;Times;serif"/>
          <w:sz w:val="21"/>
        </w:rPr>
      </w:pPr>
      <w:r>
        <w:rPr>
          <w:rFonts w:ascii="Times New Roman;Times;serif" w:hAnsi="Times New Roman;Times;serif"/>
          <w:b/>
          <w:i/>
          <w:sz w:val="21"/>
        </w:rPr>
        <w:t xml:space="preserve">Advertising. </w:t>
      </w:r>
      <w:r>
        <w:rPr>
          <w:rFonts w:ascii="Times New Roman;Times;serif" w:hAnsi="Times New Roman;Times;serif"/>
          <w:sz w:val="21"/>
        </w:rPr>
        <w:t>Advertising costs are expensed as incurred and amounted to $2,638, $1,303 and $1,106 (in thousands) during the years ending December 31, 2025, 2024 and 2023, respectively.</w:t>
      </w:r>
    </w:p>
    <w:p>
      <w:pPr>
        <w:pStyle w:val="TextBody"/>
        <w:bidi w:val="0"/>
        <w:spacing w:before="122" w:after="0"/>
        <w:ind w:left="879" w:right="255" w:hanging="0"/>
        <w:jc w:val="both"/>
        <w:rPr>
          <w:rFonts w:ascii="Times New Roman;Times;serif" w:hAnsi="Times New Roman;Times;serif"/>
          <w:sz w:val="21"/>
        </w:rPr>
      </w:pPr>
      <w:r>
        <w:rPr>
          <w:rFonts w:ascii="Times New Roman;Times;serif" w:hAnsi="Times New Roman;Times;serif"/>
          <w:b/>
          <w:i/>
          <w:sz w:val="21"/>
        </w:rPr>
        <w:t xml:space="preserve">Income Taxes. </w:t>
      </w:r>
      <w:r>
        <w:rPr>
          <w:rFonts w:ascii="Times New Roman;Times;serif" w:hAnsi="Times New Roman;Times;serif"/>
          <w:sz w:val="21"/>
        </w:rPr>
        <w:t>No provision has been made for income taxes in the accompanying financial statements since the Company is not directly subject to income taxes and the results of operations are included in the tax returns of the members. Accounting principles generally accepted in the United States require management to evaluate tax positions taken by the Company and recognize a tax liability (or asset) if the Company has taken an uncertain tax position that more likely than not would not be sustained upon examination by the Internal Revenue Service. Management has analyzed the tax positions taken by the Company and has concluded that as of December 31, 2025, there are no uncertain positions taken or expected to be taken that would require recognition of a liability (or asset) or disclosure in the financial statements. The Company is subject to routine audits by taxing jurisdictions; however, there are currently no audits for any tax periods in progress.</w:t>
      </w:r>
    </w:p>
    <w:p>
      <w:pPr>
        <w:pStyle w:val="TextBody"/>
        <w:bidi w:val="0"/>
        <w:spacing w:before="119" w:after="0"/>
        <w:ind w:left="879" w:right="257" w:hanging="0"/>
        <w:jc w:val="both"/>
        <w:rPr>
          <w:rFonts w:ascii="Times New Roman;Times;serif" w:hAnsi="Times New Roman;Times;serif"/>
          <w:sz w:val="21"/>
        </w:rPr>
      </w:pPr>
      <w:r>
        <w:rPr>
          <w:rFonts w:ascii="Times New Roman;Times;serif" w:hAnsi="Times New Roman;Times;serif"/>
          <w:b/>
          <w:i/>
          <w:spacing w:val="-4"/>
          <w:sz w:val="21"/>
        </w:rPr>
        <w:t xml:space="preserve">Business Risk. </w:t>
      </w:r>
      <w:r>
        <w:rPr>
          <w:rFonts w:ascii="Times New Roman;Times;serif" w:hAnsi="Times New Roman;Times;serif"/>
          <w:sz w:val="21"/>
        </w:rPr>
        <w:t xml:space="preserve">A </w:t>
      </w:r>
      <w:r>
        <w:rPr>
          <w:rFonts w:ascii="Times New Roman;Times;serif" w:hAnsi="Times New Roman;Times;serif"/>
          <w:spacing w:val="-4"/>
          <w:sz w:val="21"/>
        </w:rPr>
        <w:t xml:space="preserve">deterioration </w:t>
      </w:r>
      <w:r>
        <w:rPr>
          <w:rFonts w:ascii="Times New Roman;Times;serif" w:hAnsi="Times New Roman;Times;serif"/>
          <w:sz w:val="21"/>
        </w:rPr>
        <w:t xml:space="preserve">in </w:t>
      </w:r>
      <w:r>
        <w:rPr>
          <w:rFonts w:ascii="Times New Roman;Times;serif" w:hAnsi="Times New Roman;Times;serif"/>
          <w:spacing w:val="-4"/>
          <w:sz w:val="21"/>
        </w:rPr>
        <w:t xml:space="preserve">national, regional, </w:t>
      </w:r>
      <w:r>
        <w:rPr>
          <w:rFonts w:ascii="Times New Roman;Times;serif" w:hAnsi="Times New Roman;Times;serif"/>
          <w:spacing w:val="-3"/>
          <w:sz w:val="21"/>
        </w:rPr>
        <w:t xml:space="preserve">and </w:t>
      </w:r>
      <w:r>
        <w:rPr>
          <w:rFonts w:ascii="Times New Roman;Times;serif" w:hAnsi="Times New Roman;Times;serif"/>
          <w:spacing w:val="-4"/>
          <w:sz w:val="21"/>
        </w:rPr>
        <w:t xml:space="preserve">local economic conditions </w:t>
      </w:r>
      <w:r>
        <w:rPr>
          <w:rFonts w:ascii="Times New Roman;Times;serif" w:hAnsi="Times New Roman;Times;serif"/>
          <w:spacing w:val="-3"/>
          <w:sz w:val="21"/>
        </w:rPr>
        <w:t xml:space="preserve">could </w:t>
      </w:r>
      <w:r>
        <w:rPr>
          <w:rFonts w:ascii="Times New Roman;Times;serif" w:hAnsi="Times New Roman;Times;serif"/>
          <w:spacing w:val="-4"/>
          <w:sz w:val="21"/>
        </w:rPr>
        <w:t xml:space="preserve">adversely impact </w:t>
      </w:r>
      <w:r>
        <w:rPr>
          <w:rFonts w:ascii="Times New Roman;Times;serif" w:hAnsi="Times New Roman;Times;serif"/>
          <w:sz w:val="21"/>
        </w:rPr>
        <w:t xml:space="preserve">the </w:t>
      </w:r>
      <w:r>
        <w:rPr>
          <w:rFonts w:ascii="Times New Roman;Times;serif" w:hAnsi="Times New Roman;Times;serif"/>
          <w:spacing w:val="-4"/>
          <w:sz w:val="21"/>
        </w:rPr>
        <w:t xml:space="preserve">Company’s operations </w:t>
      </w:r>
      <w:r>
        <w:rPr>
          <w:rFonts w:ascii="Times New Roman;Times;serif" w:hAnsi="Times New Roman;Times;serif"/>
          <w:sz w:val="21"/>
        </w:rPr>
        <w:t xml:space="preserve">and </w:t>
      </w:r>
      <w:r>
        <w:rPr>
          <w:rFonts w:ascii="Times New Roman;Times;serif" w:hAnsi="Times New Roman;Times;serif"/>
          <w:spacing w:val="-4"/>
          <w:sz w:val="21"/>
        </w:rPr>
        <w:t xml:space="preserve">may </w:t>
      </w:r>
      <w:r>
        <w:rPr>
          <w:rFonts w:ascii="Times New Roman;Times;serif" w:hAnsi="Times New Roman;Times;serif"/>
          <w:spacing w:val="-3"/>
          <w:sz w:val="21"/>
        </w:rPr>
        <w:t xml:space="preserve">have </w:t>
      </w:r>
      <w:r>
        <w:rPr>
          <w:rFonts w:ascii="Times New Roman;Times;serif" w:hAnsi="Times New Roman;Times;serif"/>
          <w:sz w:val="21"/>
        </w:rPr>
        <w:t xml:space="preserve">a </w:t>
      </w:r>
      <w:r>
        <w:rPr>
          <w:rFonts w:ascii="Times New Roman;Times;serif" w:hAnsi="Times New Roman;Times;serif"/>
          <w:spacing w:val="-4"/>
          <w:sz w:val="21"/>
        </w:rPr>
        <w:t xml:space="preserve">material </w:t>
      </w:r>
      <w:r>
        <w:rPr>
          <w:rFonts w:ascii="Times New Roman;Times;serif" w:hAnsi="Times New Roman;Times;serif"/>
          <w:spacing w:val="-3"/>
          <w:sz w:val="21"/>
        </w:rPr>
        <w:t xml:space="preserve">impact </w:t>
      </w:r>
      <w:r>
        <w:rPr>
          <w:rFonts w:ascii="Times New Roman;Times;serif" w:hAnsi="Times New Roman;Times;serif"/>
          <w:sz w:val="21"/>
        </w:rPr>
        <w:t xml:space="preserve">on the </w:t>
      </w:r>
      <w:r>
        <w:rPr>
          <w:rFonts w:ascii="Times New Roman;Times;serif" w:hAnsi="Times New Roman;Times;serif"/>
          <w:spacing w:val="-4"/>
          <w:sz w:val="21"/>
        </w:rPr>
        <w:t xml:space="preserve">Company’s business. </w:t>
      </w:r>
      <w:r>
        <w:rPr>
          <w:rFonts w:ascii="Times New Roman;Times;serif" w:hAnsi="Times New Roman;Times;serif"/>
          <w:sz w:val="21"/>
        </w:rPr>
        <w:t xml:space="preserve">The </w:t>
      </w:r>
      <w:r>
        <w:rPr>
          <w:rFonts w:ascii="Times New Roman;Times;serif" w:hAnsi="Times New Roman;Times;serif"/>
          <w:spacing w:val="-5"/>
          <w:sz w:val="21"/>
        </w:rPr>
        <w:t xml:space="preserve">Company’s </w:t>
      </w:r>
      <w:r>
        <w:rPr>
          <w:rFonts w:ascii="Times New Roman;Times;serif" w:hAnsi="Times New Roman;Times;serif"/>
          <w:spacing w:val="-4"/>
          <w:sz w:val="21"/>
        </w:rPr>
        <w:t xml:space="preserve">revenues, financial condition, </w:t>
      </w:r>
      <w:r>
        <w:rPr>
          <w:rFonts w:ascii="Times New Roman;Times;serif" w:hAnsi="Times New Roman;Times;serif"/>
          <w:sz w:val="21"/>
        </w:rPr>
        <w:t xml:space="preserve">and </w:t>
      </w:r>
      <w:r>
        <w:rPr>
          <w:rFonts w:ascii="Times New Roman;Times;serif" w:hAnsi="Times New Roman;Times;serif"/>
          <w:spacing w:val="-4"/>
          <w:sz w:val="21"/>
        </w:rPr>
        <w:t xml:space="preserve">results </w:t>
      </w:r>
      <w:r>
        <w:rPr>
          <w:rFonts w:ascii="Times New Roman;Times;serif" w:hAnsi="Times New Roman;Times;serif"/>
          <w:spacing w:val="-3"/>
          <w:sz w:val="21"/>
        </w:rPr>
        <w:t xml:space="preserve">of </w:t>
      </w:r>
      <w:r>
        <w:rPr>
          <w:rFonts w:ascii="Times New Roman;Times;serif" w:hAnsi="Times New Roman;Times;serif"/>
          <w:spacing w:val="-4"/>
          <w:sz w:val="21"/>
        </w:rPr>
        <w:t xml:space="preserve">operations could decline </w:t>
      </w:r>
      <w:r>
        <w:rPr>
          <w:rFonts w:ascii="Times New Roman;Times;serif" w:hAnsi="Times New Roman;Times;serif"/>
          <w:spacing w:val="-3"/>
          <w:sz w:val="21"/>
        </w:rPr>
        <w:t xml:space="preserve">due </w:t>
      </w:r>
      <w:r>
        <w:rPr>
          <w:rFonts w:ascii="Times New Roman;Times;serif" w:hAnsi="Times New Roman;Times;serif"/>
          <w:sz w:val="21"/>
        </w:rPr>
        <w:t xml:space="preserve">to </w:t>
      </w:r>
      <w:r>
        <w:rPr>
          <w:rFonts w:ascii="Times New Roman;Times;serif" w:hAnsi="Times New Roman;Times;serif"/>
          <w:spacing w:val="-3"/>
          <w:sz w:val="21"/>
        </w:rPr>
        <w:t xml:space="preserve">this </w:t>
      </w:r>
      <w:r>
        <w:rPr>
          <w:rFonts w:ascii="Times New Roman;Times;serif" w:hAnsi="Times New Roman;Times;serif"/>
          <w:spacing w:val="-4"/>
          <w:sz w:val="21"/>
        </w:rPr>
        <w:t xml:space="preserve">deterioration </w:t>
      </w:r>
      <w:r>
        <w:rPr>
          <w:rFonts w:ascii="Times New Roman;Times;serif" w:hAnsi="Times New Roman;Times;serif"/>
          <w:sz w:val="21"/>
        </w:rPr>
        <w:t xml:space="preserve">of </w:t>
      </w:r>
      <w:r>
        <w:rPr>
          <w:rFonts w:ascii="Times New Roman;Times;serif" w:hAnsi="Times New Roman;Times;serif"/>
          <w:spacing w:val="-4"/>
          <w:sz w:val="21"/>
        </w:rPr>
        <w:t xml:space="preserve">national, regional </w:t>
      </w:r>
      <w:r>
        <w:rPr>
          <w:rFonts w:ascii="Times New Roman;Times;serif" w:hAnsi="Times New Roman;Times;serif"/>
          <w:spacing w:val="-3"/>
          <w:sz w:val="21"/>
        </w:rPr>
        <w:t xml:space="preserve">and </w:t>
      </w:r>
      <w:r>
        <w:rPr>
          <w:rFonts w:ascii="Times New Roman;Times;serif" w:hAnsi="Times New Roman;Times;serif"/>
          <w:spacing w:val="-4"/>
          <w:sz w:val="21"/>
        </w:rPr>
        <w:t>local</w:t>
      </w:r>
      <w:r>
        <w:rPr>
          <w:rFonts w:ascii="Times New Roman;Times;serif" w:hAnsi="Times New Roman;Times;serif"/>
          <w:spacing w:val="-14"/>
          <w:sz w:val="21"/>
        </w:rPr>
        <w:t xml:space="preserve"> </w:t>
      </w:r>
      <w:r>
        <w:rPr>
          <w:rFonts w:ascii="Times New Roman;Times;serif" w:hAnsi="Times New Roman;Times;serif"/>
          <w:spacing w:val="-4"/>
          <w:sz w:val="21"/>
        </w:rPr>
        <w:t>economies.</w:t>
      </w:r>
    </w:p>
    <w:p>
      <w:pPr>
        <w:pStyle w:val="TextBody"/>
        <w:bidi w:val="0"/>
        <w:spacing w:before="121" w:after="0"/>
        <w:ind w:left="879" w:right="252" w:hanging="0"/>
        <w:jc w:val="both"/>
        <w:rPr>
          <w:rFonts w:ascii="Times New Roman;Times;serif" w:hAnsi="Times New Roman;Times;serif"/>
          <w:sz w:val="21"/>
        </w:rPr>
      </w:pPr>
      <w:r>
        <w:rPr>
          <w:rFonts w:ascii="Times New Roman;Times;serif" w:hAnsi="Times New Roman;Times;serif"/>
          <w:b/>
          <w:i/>
          <w:spacing w:val="-4"/>
          <w:sz w:val="21"/>
        </w:rPr>
        <w:t xml:space="preserve">Impairment </w:t>
      </w:r>
      <w:r>
        <w:rPr>
          <w:rFonts w:ascii="Times New Roman;Times;serif" w:hAnsi="Times New Roman;Times;serif"/>
          <w:b/>
          <w:i/>
          <w:sz w:val="21"/>
        </w:rPr>
        <w:t xml:space="preserve">of </w:t>
      </w:r>
      <w:r>
        <w:rPr>
          <w:rFonts w:ascii="Times New Roman;Times;serif" w:hAnsi="Times New Roman;Times;serif"/>
          <w:b/>
          <w:i/>
          <w:spacing w:val="-4"/>
          <w:sz w:val="21"/>
        </w:rPr>
        <w:t xml:space="preserve">Long-lived Assets. </w:t>
      </w:r>
      <w:r>
        <w:rPr>
          <w:rFonts w:ascii="Times New Roman;Times;serif" w:hAnsi="Times New Roman;Times;serif"/>
          <w:spacing w:val="-3"/>
          <w:sz w:val="21"/>
        </w:rPr>
        <w:t xml:space="preserve">In accordance with </w:t>
      </w:r>
      <w:r>
        <w:rPr>
          <w:rFonts w:ascii="Times New Roman;Times;serif" w:hAnsi="Times New Roman;Times;serif"/>
          <w:sz w:val="21"/>
        </w:rPr>
        <w:t xml:space="preserve">the </w:t>
      </w:r>
      <w:r>
        <w:rPr>
          <w:rFonts w:ascii="Times New Roman;Times;serif" w:hAnsi="Times New Roman;Times;serif"/>
          <w:spacing w:val="-3"/>
          <w:sz w:val="21"/>
        </w:rPr>
        <w:t xml:space="preserve">applicable guidance, </w:t>
      </w:r>
      <w:r>
        <w:rPr>
          <w:rFonts w:ascii="Times New Roman;Times;serif" w:hAnsi="Times New Roman;Times;serif"/>
          <w:spacing w:val="-4"/>
          <w:sz w:val="21"/>
        </w:rPr>
        <w:t xml:space="preserve">long-lived </w:t>
      </w:r>
      <w:r>
        <w:rPr>
          <w:rFonts w:ascii="Times New Roman;Times;serif" w:hAnsi="Times New Roman;Times;serif"/>
          <w:spacing w:val="-3"/>
          <w:sz w:val="21"/>
        </w:rPr>
        <w:t xml:space="preserve">assets </w:t>
      </w:r>
      <w:r>
        <w:rPr>
          <w:rFonts w:ascii="Times New Roman;Times;serif" w:hAnsi="Times New Roman;Times;serif"/>
          <w:sz w:val="21"/>
        </w:rPr>
        <w:t xml:space="preserve">are </w:t>
      </w:r>
      <w:r>
        <w:rPr>
          <w:rFonts w:ascii="Times New Roman;Times;serif" w:hAnsi="Times New Roman;Times;serif"/>
          <w:spacing w:val="-3"/>
          <w:sz w:val="21"/>
        </w:rPr>
        <w:t xml:space="preserve">reviewed for </w:t>
      </w:r>
      <w:r>
        <w:rPr>
          <w:rFonts w:ascii="Times New Roman;Times;serif" w:hAnsi="Times New Roman;Times;serif"/>
          <w:spacing w:val="-4"/>
          <w:sz w:val="21"/>
        </w:rPr>
        <w:t xml:space="preserve">impairment whenever events </w:t>
      </w:r>
      <w:r>
        <w:rPr>
          <w:rFonts w:ascii="Times New Roman;Times;serif" w:hAnsi="Times New Roman;Times;serif"/>
          <w:sz w:val="21"/>
        </w:rPr>
        <w:t xml:space="preserve">or </w:t>
      </w:r>
      <w:r>
        <w:rPr>
          <w:rFonts w:ascii="Times New Roman;Times;serif" w:hAnsi="Times New Roman;Times;serif"/>
          <w:spacing w:val="-4"/>
          <w:sz w:val="21"/>
        </w:rPr>
        <w:t xml:space="preserve">changes </w:t>
      </w:r>
      <w:r>
        <w:rPr>
          <w:rFonts w:ascii="Times New Roman;Times;serif" w:hAnsi="Times New Roman;Times;serif"/>
          <w:spacing w:val="-3"/>
          <w:sz w:val="21"/>
        </w:rPr>
        <w:t xml:space="preserve">in </w:t>
      </w:r>
      <w:r>
        <w:rPr>
          <w:rFonts w:ascii="Times New Roman;Times;serif" w:hAnsi="Times New Roman;Times;serif"/>
          <w:spacing w:val="-4"/>
          <w:sz w:val="21"/>
        </w:rPr>
        <w:t xml:space="preserve">circumstances indicate </w:t>
      </w:r>
      <w:r>
        <w:rPr>
          <w:rFonts w:ascii="Times New Roman;Times;serif" w:hAnsi="Times New Roman;Times;serif"/>
          <w:spacing w:val="-3"/>
          <w:sz w:val="21"/>
        </w:rPr>
        <w:t xml:space="preserve">that the </w:t>
      </w:r>
      <w:r>
        <w:rPr>
          <w:rFonts w:ascii="Times New Roman;Times;serif" w:hAnsi="Times New Roman;Times;serif"/>
          <w:spacing w:val="-4"/>
          <w:sz w:val="21"/>
        </w:rPr>
        <w:t xml:space="preserve">carrying amount </w:t>
      </w:r>
      <w:r>
        <w:rPr>
          <w:rFonts w:ascii="Times New Roman;Times;serif" w:hAnsi="Times New Roman;Times;serif"/>
          <w:sz w:val="21"/>
        </w:rPr>
        <w:t xml:space="preserve">of an </w:t>
      </w:r>
      <w:r>
        <w:rPr>
          <w:rFonts w:ascii="Times New Roman;Times;serif" w:hAnsi="Times New Roman;Times;serif"/>
          <w:spacing w:val="-5"/>
          <w:sz w:val="21"/>
        </w:rPr>
        <w:t xml:space="preserve">asset </w:t>
      </w:r>
      <w:r>
        <w:rPr>
          <w:rFonts w:ascii="Times New Roman;Times;serif" w:hAnsi="Times New Roman;Times;serif"/>
          <w:spacing w:val="-4"/>
          <w:sz w:val="21"/>
        </w:rPr>
        <w:t xml:space="preserve">may </w:t>
      </w:r>
      <w:r>
        <w:rPr>
          <w:rFonts w:ascii="Times New Roman;Times;serif" w:hAnsi="Times New Roman;Times;serif"/>
          <w:sz w:val="21"/>
        </w:rPr>
        <w:t xml:space="preserve">not </w:t>
      </w:r>
      <w:r>
        <w:rPr>
          <w:rFonts w:ascii="Times New Roman;Times;serif" w:hAnsi="Times New Roman;Times;serif"/>
          <w:spacing w:val="-3"/>
          <w:sz w:val="21"/>
        </w:rPr>
        <w:t xml:space="preserve">be </w:t>
      </w:r>
      <w:r>
        <w:rPr>
          <w:rFonts w:ascii="Times New Roman;Times;serif" w:hAnsi="Times New Roman;Times;serif"/>
          <w:spacing w:val="-4"/>
          <w:sz w:val="21"/>
        </w:rPr>
        <w:t xml:space="preserve">recoverable. </w:t>
      </w:r>
      <w:r>
        <w:rPr>
          <w:rFonts w:ascii="Times New Roman;Times;serif" w:hAnsi="Times New Roman;Times;serif"/>
          <w:sz w:val="21"/>
        </w:rPr>
        <w:t xml:space="preserve">If </w:t>
      </w:r>
      <w:r>
        <w:rPr>
          <w:rFonts w:ascii="Times New Roman;Times;serif" w:hAnsi="Times New Roman;Times;serif"/>
          <w:spacing w:val="-4"/>
          <w:sz w:val="21"/>
        </w:rPr>
        <w:t xml:space="preserve">circumstances require </w:t>
      </w:r>
      <w:r>
        <w:rPr>
          <w:rFonts w:ascii="Times New Roman;Times;serif" w:hAnsi="Times New Roman;Times;serif"/>
          <w:sz w:val="21"/>
        </w:rPr>
        <w:t xml:space="preserve">an </w:t>
      </w:r>
      <w:r>
        <w:rPr>
          <w:rFonts w:ascii="Times New Roman;Times;serif" w:hAnsi="Times New Roman;Times;serif"/>
          <w:spacing w:val="-4"/>
          <w:sz w:val="21"/>
        </w:rPr>
        <w:t xml:space="preserve">asset </w:t>
      </w:r>
      <w:r>
        <w:rPr>
          <w:rFonts w:ascii="Times New Roman;Times;serif" w:hAnsi="Times New Roman;Times;serif"/>
          <w:sz w:val="21"/>
        </w:rPr>
        <w:t xml:space="preserve">to be </w:t>
      </w:r>
      <w:r>
        <w:rPr>
          <w:rFonts w:ascii="Times New Roman;Times;serif" w:hAnsi="Times New Roman;Times;serif"/>
          <w:spacing w:val="-4"/>
          <w:sz w:val="21"/>
        </w:rPr>
        <w:t xml:space="preserve">tested </w:t>
      </w:r>
      <w:r>
        <w:rPr>
          <w:rFonts w:ascii="Times New Roman;Times;serif" w:hAnsi="Times New Roman;Times;serif"/>
          <w:spacing w:val="-3"/>
          <w:sz w:val="21"/>
        </w:rPr>
        <w:t xml:space="preserve">for </w:t>
      </w:r>
      <w:r>
        <w:rPr>
          <w:rFonts w:ascii="Times New Roman;Times;serif" w:hAnsi="Times New Roman;Times;serif"/>
          <w:spacing w:val="-4"/>
          <w:sz w:val="21"/>
        </w:rPr>
        <w:t xml:space="preserve">possible impairment, </w:t>
      </w:r>
      <w:r>
        <w:rPr>
          <w:rFonts w:ascii="Times New Roman;Times;serif" w:hAnsi="Times New Roman;Times;serif"/>
          <w:spacing w:val="-3"/>
          <w:sz w:val="21"/>
        </w:rPr>
        <w:t xml:space="preserve">the </w:t>
      </w:r>
      <w:r>
        <w:rPr>
          <w:rFonts w:ascii="Times New Roman;Times;serif" w:hAnsi="Times New Roman;Times;serif"/>
          <w:spacing w:val="-4"/>
          <w:sz w:val="21"/>
        </w:rPr>
        <w:t xml:space="preserve">Company </w:t>
      </w:r>
      <w:r>
        <w:rPr>
          <w:rFonts w:ascii="Times New Roman;Times;serif" w:hAnsi="Times New Roman;Times;serif"/>
          <w:spacing w:val="-3"/>
          <w:sz w:val="21"/>
        </w:rPr>
        <w:t xml:space="preserve">first compares </w:t>
      </w:r>
      <w:r>
        <w:rPr>
          <w:rFonts w:ascii="Times New Roman;Times;serif" w:hAnsi="Times New Roman;Times;serif"/>
          <w:sz w:val="21"/>
        </w:rPr>
        <w:t xml:space="preserve">the </w:t>
      </w:r>
      <w:r>
        <w:rPr>
          <w:rFonts w:ascii="Times New Roman;Times;serif" w:hAnsi="Times New Roman;Times;serif"/>
          <w:spacing w:val="-4"/>
          <w:sz w:val="21"/>
        </w:rPr>
        <w:t xml:space="preserve">undiscounted </w:t>
      </w:r>
      <w:r>
        <w:rPr>
          <w:rFonts w:ascii="Times New Roman;Times;serif" w:hAnsi="Times New Roman;Times;serif"/>
          <w:spacing w:val="-3"/>
          <w:sz w:val="21"/>
        </w:rPr>
        <w:t xml:space="preserve">cash </w:t>
      </w:r>
      <w:r>
        <w:rPr>
          <w:rFonts w:ascii="Times New Roman;Times;serif" w:hAnsi="Times New Roman;Times;serif"/>
          <w:spacing w:val="-4"/>
          <w:sz w:val="21"/>
        </w:rPr>
        <w:t xml:space="preserve">flows </w:t>
      </w:r>
      <w:r>
        <w:rPr>
          <w:rFonts w:ascii="Times New Roman;Times;serif" w:hAnsi="Times New Roman;Times;serif"/>
          <w:spacing w:val="-3"/>
          <w:sz w:val="21"/>
        </w:rPr>
        <w:t xml:space="preserve">expected </w:t>
      </w:r>
      <w:r>
        <w:rPr>
          <w:rFonts w:ascii="Times New Roman;Times;serif" w:hAnsi="Times New Roman;Times;serif"/>
          <w:sz w:val="21"/>
        </w:rPr>
        <w:t xml:space="preserve">to be </w:t>
      </w:r>
      <w:r>
        <w:rPr>
          <w:rFonts w:ascii="Times New Roman;Times;serif" w:hAnsi="Times New Roman;Times;serif"/>
          <w:spacing w:val="-4"/>
          <w:sz w:val="21"/>
        </w:rPr>
        <w:t xml:space="preserve">generated </w:t>
      </w:r>
      <w:r>
        <w:rPr>
          <w:rFonts w:ascii="Times New Roman;Times;serif" w:hAnsi="Times New Roman;Times;serif"/>
          <w:sz w:val="21"/>
        </w:rPr>
        <w:t xml:space="preserve">by </w:t>
      </w:r>
      <w:r>
        <w:rPr>
          <w:rFonts w:ascii="Times New Roman;Times;serif" w:hAnsi="Times New Roman;Times;serif"/>
          <w:spacing w:val="-3"/>
          <w:sz w:val="21"/>
        </w:rPr>
        <w:t xml:space="preserve">that asset </w:t>
      </w:r>
      <w:r>
        <w:rPr>
          <w:rFonts w:ascii="Times New Roman;Times;serif" w:hAnsi="Times New Roman;Times;serif"/>
          <w:sz w:val="21"/>
        </w:rPr>
        <w:t xml:space="preserve">to its </w:t>
      </w:r>
      <w:r>
        <w:rPr>
          <w:rFonts w:ascii="Times New Roman;Times;serif" w:hAnsi="Times New Roman;Times;serif"/>
          <w:spacing w:val="-3"/>
          <w:sz w:val="21"/>
        </w:rPr>
        <w:t xml:space="preserve">carrying </w:t>
      </w:r>
      <w:r>
        <w:rPr>
          <w:rFonts w:ascii="Times New Roman;Times;serif" w:hAnsi="Times New Roman;Times;serif"/>
          <w:spacing w:val="-4"/>
          <w:sz w:val="21"/>
        </w:rPr>
        <w:t xml:space="preserve">value. </w:t>
      </w:r>
      <w:r>
        <w:rPr>
          <w:rFonts w:ascii="Times New Roman;Times;serif" w:hAnsi="Times New Roman;Times;serif"/>
          <w:sz w:val="21"/>
        </w:rPr>
        <w:t xml:space="preserve">If </w:t>
      </w:r>
      <w:r>
        <w:rPr>
          <w:rFonts w:ascii="Times New Roman;Times;serif" w:hAnsi="Times New Roman;Times;serif"/>
          <w:spacing w:val="-5"/>
          <w:sz w:val="21"/>
        </w:rPr>
        <w:t xml:space="preserve">the </w:t>
      </w:r>
      <w:r>
        <w:rPr>
          <w:rFonts w:ascii="Times New Roman;Times;serif" w:hAnsi="Times New Roman;Times;serif"/>
          <w:spacing w:val="-4"/>
          <w:sz w:val="21"/>
        </w:rPr>
        <w:t xml:space="preserve">carrying </w:t>
      </w:r>
      <w:r>
        <w:rPr>
          <w:rFonts w:ascii="Times New Roman;Times;serif" w:hAnsi="Times New Roman;Times;serif"/>
          <w:spacing w:val="-3"/>
          <w:sz w:val="21"/>
        </w:rPr>
        <w:t xml:space="preserve">value </w:t>
      </w:r>
      <w:r>
        <w:rPr>
          <w:rFonts w:ascii="Times New Roman;Times;serif" w:hAnsi="Times New Roman;Times;serif"/>
          <w:sz w:val="21"/>
        </w:rPr>
        <w:t xml:space="preserve">of the </w:t>
      </w:r>
      <w:r>
        <w:rPr>
          <w:rFonts w:ascii="Times New Roman;Times;serif" w:hAnsi="Times New Roman;Times;serif"/>
          <w:spacing w:val="-4"/>
          <w:sz w:val="21"/>
        </w:rPr>
        <w:t xml:space="preserve">asset </w:t>
      </w:r>
      <w:r>
        <w:rPr>
          <w:rFonts w:ascii="Times New Roman;Times;serif" w:hAnsi="Times New Roman;Times;serif"/>
          <w:sz w:val="21"/>
        </w:rPr>
        <w:t xml:space="preserve">is </w:t>
      </w:r>
      <w:r>
        <w:rPr>
          <w:rFonts w:ascii="Times New Roman;Times;serif" w:hAnsi="Times New Roman;Times;serif"/>
          <w:spacing w:val="-3"/>
          <w:sz w:val="21"/>
        </w:rPr>
        <w:t xml:space="preserve">not </w:t>
      </w:r>
      <w:r>
        <w:rPr>
          <w:rFonts w:ascii="Times New Roman;Times;serif" w:hAnsi="Times New Roman;Times;serif"/>
          <w:spacing w:val="-4"/>
          <w:sz w:val="21"/>
        </w:rPr>
        <w:t xml:space="preserve">recoverable </w:t>
      </w:r>
      <w:r>
        <w:rPr>
          <w:rFonts w:ascii="Times New Roman;Times;serif" w:hAnsi="Times New Roman;Times;serif"/>
          <w:sz w:val="21"/>
        </w:rPr>
        <w:t xml:space="preserve">on an </w:t>
      </w:r>
      <w:r>
        <w:rPr>
          <w:rFonts w:ascii="Times New Roman;Times;serif" w:hAnsi="Times New Roman;Times;serif"/>
          <w:spacing w:val="-4"/>
          <w:sz w:val="21"/>
        </w:rPr>
        <w:t xml:space="preserve">undiscounted </w:t>
      </w:r>
      <w:r>
        <w:rPr>
          <w:rFonts w:ascii="Times New Roman;Times;serif" w:hAnsi="Times New Roman;Times;serif"/>
          <w:spacing w:val="-3"/>
          <w:sz w:val="21"/>
        </w:rPr>
        <w:t xml:space="preserve">cash flow basis, </w:t>
      </w:r>
      <w:r>
        <w:rPr>
          <w:rFonts w:ascii="Times New Roman;Times;serif" w:hAnsi="Times New Roman;Times;serif"/>
          <w:sz w:val="21"/>
        </w:rPr>
        <w:t xml:space="preserve">an </w:t>
      </w:r>
      <w:r>
        <w:rPr>
          <w:rFonts w:ascii="Times New Roman;Times;serif" w:hAnsi="Times New Roman;Times;serif"/>
          <w:spacing w:val="-4"/>
          <w:sz w:val="21"/>
        </w:rPr>
        <w:t xml:space="preserve">impairment </w:t>
      </w:r>
      <w:r>
        <w:rPr>
          <w:rFonts w:ascii="Times New Roman;Times;serif" w:hAnsi="Times New Roman;Times;serif"/>
          <w:sz w:val="21"/>
        </w:rPr>
        <w:t xml:space="preserve">is </w:t>
      </w:r>
      <w:r>
        <w:rPr>
          <w:rFonts w:ascii="Times New Roman;Times;serif" w:hAnsi="Times New Roman;Times;serif"/>
          <w:spacing w:val="-4"/>
          <w:sz w:val="21"/>
        </w:rPr>
        <w:t xml:space="preserve">recognized </w:t>
      </w:r>
      <w:r>
        <w:rPr>
          <w:rFonts w:ascii="Times New Roman;Times;serif" w:hAnsi="Times New Roman;Times;serif"/>
          <w:sz w:val="21"/>
        </w:rPr>
        <w:t xml:space="preserve">to the </w:t>
      </w:r>
      <w:r>
        <w:rPr>
          <w:rFonts w:ascii="Times New Roman;Times;serif" w:hAnsi="Times New Roman;Times;serif"/>
          <w:spacing w:val="-4"/>
          <w:sz w:val="21"/>
        </w:rPr>
        <w:t xml:space="preserve">extent </w:t>
      </w:r>
      <w:r>
        <w:rPr>
          <w:rFonts w:ascii="Times New Roman;Times;serif" w:hAnsi="Times New Roman;Times;serif"/>
          <w:spacing w:val="-3"/>
          <w:sz w:val="21"/>
        </w:rPr>
        <w:t xml:space="preserve">that </w:t>
      </w:r>
      <w:r>
        <w:rPr>
          <w:rFonts w:ascii="Times New Roman;Times;serif" w:hAnsi="Times New Roman;Times;serif"/>
          <w:sz w:val="21"/>
        </w:rPr>
        <w:t xml:space="preserve">the </w:t>
      </w:r>
      <w:r>
        <w:rPr>
          <w:rFonts w:ascii="Times New Roman;Times;serif" w:hAnsi="Times New Roman;Times;serif"/>
          <w:spacing w:val="-4"/>
          <w:sz w:val="21"/>
        </w:rPr>
        <w:t xml:space="preserve">carrying value exceeds </w:t>
      </w:r>
      <w:r>
        <w:rPr>
          <w:rFonts w:ascii="Times New Roman;Times;serif" w:hAnsi="Times New Roman;Times;serif"/>
          <w:spacing w:val="-3"/>
          <w:sz w:val="21"/>
        </w:rPr>
        <w:t xml:space="preserve">its fair </w:t>
      </w:r>
      <w:r>
        <w:rPr>
          <w:rFonts w:ascii="Times New Roman;Times;serif" w:hAnsi="Times New Roman;Times;serif"/>
          <w:spacing w:val="-4"/>
          <w:sz w:val="21"/>
        </w:rPr>
        <w:t xml:space="preserve">value. Fair value </w:t>
      </w:r>
      <w:r>
        <w:rPr>
          <w:rFonts w:ascii="Times New Roman;Times;serif" w:hAnsi="Times New Roman;Times;serif"/>
          <w:sz w:val="21"/>
        </w:rPr>
        <w:t xml:space="preserve">is </w:t>
      </w:r>
      <w:r>
        <w:rPr>
          <w:rFonts w:ascii="Times New Roman;Times;serif" w:hAnsi="Times New Roman;Times;serif"/>
          <w:spacing w:val="-4"/>
          <w:sz w:val="21"/>
        </w:rPr>
        <w:t xml:space="preserve">determined through various valuation techniques including discounted </w:t>
      </w:r>
      <w:r>
        <w:rPr>
          <w:rFonts w:ascii="Times New Roman;Times;serif" w:hAnsi="Times New Roman;Times;serif"/>
          <w:spacing w:val="-3"/>
          <w:sz w:val="21"/>
        </w:rPr>
        <w:t xml:space="preserve">cash flow </w:t>
      </w:r>
      <w:r>
        <w:rPr>
          <w:rFonts w:ascii="Times New Roman;Times;serif" w:hAnsi="Times New Roman;Times;serif"/>
          <w:spacing w:val="-4"/>
          <w:sz w:val="21"/>
        </w:rPr>
        <w:t xml:space="preserve">models, quoted market values, </w:t>
      </w:r>
      <w:r>
        <w:rPr>
          <w:rFonts w:ascii="Times New Roman;Times;serif" w:hAnsi="Times New Roman;Times;serif"/>
          <w:sz w:val="21"/>
        </w:rPr>
        <w:t xml:space="preserve">and </w:t>
      </w:r>
      <w:r>
        <w:rPr>
          <w:rFonts w:ascii="Times New Roman;Times;serif" w:hAnsi="Times New Roman;Times;serif"/>
          <w:spacing w:val="-4"/>
          <w:sz w:val="21"/>
        </w:rPr>
        <w:t xml:space="preserve">third party independent appraisals, </w:t>
      </w:r>
      <w:r>
        <w:rPr>
          <w:rFonts w:ascii="Times New Roman;Times;serif" w:hAnsi="Times New Roman;Times;serif"/>
          <w:sz w:val="21"/>
        </w:rPr>
        <w:t xml:space="preserve">as </w:t>
      </w:r>
      <w:r>
        <w:rPr>
          <w:rFonts w:ascii="Times New Roman;Times;serif" w:hAnsi="Times New Roman;Times;serif"/>
          <w:spacing w:val="-4"/>
          <w:sz w:val="21"/>
        </w:rPr>
        <w:t xml:space="preserve">considered necessary. </w:t>
      </w:r>
      <w:r>
        <w:rPr>
          <w:rFonts w:ascii="Times New Roman;Times;serif" w:hAnsi="Times New Roman;Times;serif"/>
          <w:sz w:val="21"/>
        </w:rPr>
        <w:t xml:space="preserve">At </w:t>
      </w:r>
      <w:r>
        <w:rPr>
          <w:rFonts w:ascii="Times New Roman;Times;serif" w:hAnsi="Times New Roman;Times;serif"/>
          <w:spacing w:val="-4"/>
          <w:sz w:val="21"/>
        </w:rPr>
        <w:t xml:space="preserve">December </w:t>
      </w:r>
      <w:r>
        <w:rPr>
          <w:rFonts w:ascii="Times New Roman;Times;serif" w:hAnsi="Times New Roman;Times;serif"/>
          <w:spacing w:val="-3"/>
          <w:sz w:val="21"/>
        </w:rPr>
        <w:t xml:space="preserve">31, 2025 </w:t>
      </w:r>
      <w:r>
        <w:rPr>
          <w:rFonts w:ascii="Times New Roman;Times;serif" w:hAnsi="Times New Roman;Times;serif"/>
          <w:sz w:val="21"/>
        </w:rPr>
        <w:t xml:space="preserve">and </w:t>
      </w:r>
      <w:r>
        <w:rPr>
          <w:rFonts w:ascii="Times New Roman;Times;serif" w:hAnsi="Times New Roman;Times;serif"/>
          <w:spacing w:val="-3"/>
          <w:sz w:val="21"/>
        </w:rPr>
        <w:t xml:space="preserve">2024, </w:t>
      </w:r>
      <w:r>
        <w:rPr>
          <w:rFonts w:ascii="Times New Roman;Times;serif" w:hAnsi="Times New Roman;Times;serif"/>
          <w:sz w:val="21"/>
        </w:rPr>
        <w:t xml:space="preserve">no </w:t>
      </w:r>
      <w:r>
        <w:rPr>
          <w:rFonts w:ascii="Times New Roman;Times;serif" w:hAnsi="Times New Roman;Times;serif"/>
          <w:spacing w:val="-4"/>
          <w:sz w:val="21"/>
        </w:rPr>
        <w:t xml:space="preserve">impairment losses </w:t>
      </w:r>
      <w:r>
        <w:rPr>
          <w:rFonts w:ascii="Times New Roman;Times;serif" w:hAnsi="Times New Roman;Times;serif"/>
          <w:spacing w:val="-3"/>
          <w:sz w:val="21"/>
        </w:rPr>
        <w:t>were</w:t>
      </w:r>
      <w:r>
        <w:rPr>
          <w:rFonts w:ascii="Times New Roman;Times;serif" w:hAnsi="Times New Roman;Times;serif"/>
          <w:spacing w:val="-7"/>
          <w:sz w:val="21"/>
        </w:rPr>
        <w:t xml:space="preserve"> </w:t>
      </w:r>
      <w:r>
        <w:rPr>
          <w:rFonts w:ascii="Times New Roman;Times;serif" w:hAnsi="Times New Roman;Times;serif"/>
          <w:spacing w:val="-4"/>
          <w:sz w:val="21"/>
        </w:rPr>
        <w:t>recorded.</w:t>
      </w:r>
    </w:p>
    <w:p>
      <w:pPr>
        <w:pStyle w:val="TextBody"/>
        <w:bidi w:val="0"/>
        <w:spacing w:before="119" w:after="0"/>
        <w:ind w:left="880" w:right="257" w:hanging="0"/>
        <w:jc w:val="both"/>
        <w:rPr>
          <w:rFonts w:ascii="Times New Roman;Times;serif" w:hAnsi="Times New Roman;Times;serif"/>
          <w:sz w:val="21"/>
        </w:rPr>
      </w:pPr>
      <w:r>
        <w:rPr>
          <w:rFonts w:ascii="Times New Roman;Times;serif" w:hAnsi="Times New Roman;Times;serif"/>
          <w:b/>
          <w:i/>
          <w:sz w:val="21"/>
        </w:rPr>
        <w:t>Concentration of Risks and Uncertainties</w:t>
      </w:r>
      <w:r>
        <w:rPr>
          <w:rFonts w:ascii="Cambria" w:hAnsi="Cambria"/>
          <w:b/>
          <w:i/>
          <w:sz w:val="21"/>
        </w:rPr>
        <w:t xml:space="preserve">. </w:t>
      </w:r>
      <w:r>
        <w:rPr>
          <w:rFonts w:ascii="Times New Roman;Times;serif" w:hAnsi="Times New Roman;Times;serif"/>
          <w:sz w:val="21"/>
        </w:rPr>
        <w:t>All of the Company’s real estate assets are located in Bay County, Florida. Uncertain economic conditions could have an adverse impact on the Company’s operations and asset values. The Company is subject to risks from macroeconomic factors such as uncertainty over tariffs, inflation, elevated interest rates and higher insurance costs for consumers and overall consumer confidence, among other things, which have continued to produce economic headwinds and impacted buyer</w:t>
      </w:r>
      <w:r>
        <w:rPr>
          <w:rFonts w:ascii="Times New Roman;Times;serif" w:hAnsi="Times New Roman;Times;serif"/>
          <w:spacing w:val="-3"/>
          <w:sz w:val="21"/>
        </w:rPr>
        <w:t xml:space="preserve"> </w:t>
      </w:r>
      <w:r>
        <w:rPr>
          <w:rFonts w:ascii="Times New Roman;Times;serif" w:hAnsi="Times New Roman;Times;serif"/>
          <w:sz w:val="21"/>
        </w:rPr>
        <w:t>sentiment in many parts of the country.</w:t>
      </w:r>
    </w:p>
    <w:p>
      <w:pPr>
        <w:pStyle w:val="TextBody"/>
        <w:bidi w:val="0"/>
        <w:spacing w:before="121" w:after="0"/>
        <w:ind w:left="880" w:right="257" w:hanging="0"/>
        <w:jc w:val="both"/>
        <w:rPr>
          <w:rFonts w:ascii="Times New Roman;Times;serif" w:hAnsi="Times New Roman;Times;serif"/>
          <w:sz w:val="21"/>
        </w:rPr>
      </w:pPr>
      <w:r>
        <w:rPr>
          <w:rFonts w:ascii="Times New Roman;Times;serif" w:hAnsi="Times New Roman;Times;serif"/>
          <w:b/>
          <w:i/>
          <w:sz w:val="21"/>
        </w:rPr>
        <w:t xml:space="preserve">Subsequent Events. </w:t>
      </w:r>
      <w:r>
        <w:rPr>
          <w:rFonts w:ascii="Times New Roman;Times;serif" w:hAnsi="Times New Roman;Times;serif"/>
          <w:spacing w:val="-3"/>
          <w:sz w:val="21"/>
        </w:rPr>
        <w:t xml:space="preserve">The </w:t>
      </w:r>
      <w:r>
        <w:rPr>
          <w:rFonts w:ascii="Times New Roman;Times;serif" w:hAnsi="Times New Roman;Times;serif"/>
          <w:spacing w:val="-4"/>
          <w:sz w:val="21"/>
        </w:rPr>
        <w:t xml:space="preserve">Company </w:t>
      </w:r>
      <w:r>
        <w:rPr>
          <w:rFonts w:ascii="Times New Roman;Times;serif" w:hAnsi="Times New Roman;Times;serif"/>
          <w:spacing w:val="-3"/>
          <w:sz w:val="21"/>
        </w:rPr>
        <w:t xml:space="preserve">has </w:t>
      </w:r>
      <w:r>
        <w:rPr>
          <w:rFonts w:ascii="Times New Roman;Times;serif" w:hAnsi="Times New Roman;Times;serif"/>
          <w:spacing w:val="-4"/>
          <w:sz w:val="21"/>
        </w:rPr>
        <w:t xml:space="preserve">evaluated subsequent events through January </w:t>
      </w:r>
      <w:r>
        <w:rPr>
          <w:rFonts w:ascii="Times New Roman;Times;serif" w:hAnsi="Times New Roman;Times;serif"/>
          <w:sz w:val="21"/>
        </w:rPr>
        <w:t xml:space="preserve">30, </w:t>
      </w:r>
      <w:r>
        <w:rPr>
          <w:rFonts w:ascii="Times New Roman;Times;serif" w:hAnsi="Times New Roman;Times;serif"/>
          <w:spacing w:val="-3"/>
          <w:sz w:val="21"/>
        </w:rPr>
        <w:t xml:space="preserve">2026, </w:t>
      </w:r>
      <w:r>
        <w:rPr>
          <w:rFonts w:ascii="Times New Roman;Times;serif" w:hAnsi="Times New Roman;Times;serif"/>
          <w:sz w:val="21"/>
        </w:rPr>
        <w:t xml:space="preserve">the </w:t>
      </w:r>
      <w:r>
        <w:rPr>
          <w:rFonts w:ascii="Times New Roman;Times;serif" w:hAnsi="Times New Roman;Times;serif"/>
          <w:spacing w:val="-3"/>
          <w:sz w:val="21"/>
        </w:rPr>
        <w:t xml:space="preserve">date these </w:t>
      </w:r>
      <w:r>
        <w:rPr>
          <w:rFonts w:ascii="Times New Roman;Times;serif" w:hAnsi="Times New Roman;Times;serif"/>
          <w:spacing w:val="-4"/>
          <w:sz w:val="21"/>
        </w:rPr>
        <w:t xml:space="preserve">financial statements </w:t>
      </w:r>
      <w:r>
        <w:rPr>
          <w:rFonts w:ascii="Times New Roman;Times;serif" w:hAnsi="Times New Roman;Times;serif"/>
          <w:spacing w:val="-3"/>
          <w:sz w:val="21"/>
        </w:rPr>
        <w:t xml:space="preserve">were </w:t>
      </w:r>
      <w:r>
        <w:rPr>
          <w:rFonts w:ascii="Times New Roman;Times;serif" w:hAnsi="Times New Roman;Times;serif"/>
          <w:spacing w:val="-4"/>
          <w:sz w:val="21"/>
        </w:rPr>
        <w:t xml:space="preserve">available </w:t>
      </w:r>
      <w:r>
        <w:rPr>
          <w:rFonts w:ascii="Times New Roman;Times;serif" w:hAnsi="Times New Roman;Times;serif"/>
          <w:sz w:val="21"/>
        </w:rPr>
        <w:t xml:space="preserve">to be </w:t>
      </w:r>
      <w:r>
        <w:rPr>
          <w:rFonts w:ascii="Times New Roman;Times;serif" w:hAnsi="Times New Roman;Times;serif"/>
          <w:spacing w:val="-4"/>
          <w:sz w:val="21"/>
        </w:rPr>
        <w:t>issued</w:t>
      </w:r>
      <w:r>
        <w:rPr>
          <w:rFonts w:ascii="Times New Roman;Times;serif" w:hAnsi="Times New Roman;Times;serif"/>
          <w:sz w:val="21"/>
        </w:rPr>
        <w:t>.</w:t>
      </w:r>
    </w:p>
    <w:p>
      <w:pPr>
        <w:pStyle w:val="TextBody"/>
        <w:bidi w:val="0"/>
        <w:spacing w:before="8" w:after="0"/>
        <w:ind w:left="0" w:right="0" w:hanging="0"/>
        <w:jc w:val="left"/>
        <w:rPr/>
      </w:pPr>
      <w:r>
        <w:rPr/>
        <w:t>​</w:t>
      </w:r>
    </w:p>
    <w:p>
      <w:pPr>
        <w:pStyle w:val="TextBody"/>
        <w:bidi w:val="0"/>
        <w:spacing w:before="1" w:after="283"/>
        <w:ind w:left="160" w:right="0" w:hanging="0"/>
        <w:jc w:val="left"/>
        <w:rPr>
          <w:rFonts w:ascii="Arial;Helvetica;sans-serif" w:hAnsi="Arial;Helvetica;sans-serif"/>
          <w:b/>
          <w:sz w:val="21"/>
        </w:rPr>
      </w:pPr>
      <w:r>
        <w:rPr>
          <w:rFonts w:ascii="Arial;Helvetica;sans-serif" w:hAnsi="Arial;Helvetica;sans-serif"/>
          <w:b/>
          <w:sz w:val="21"/>
        </w:rPr>
        <w:t>3.</w:t>
      </w:r>
      <w:r>
        <w:rPr>
          <w:rFonts w:ascii="Arial;Helvetica;sans-serif" w:hAnsi="Arial;Helvetica;sans-serif"/>
          <w:b/>
          <w:spacing w:val="-4"/>
          <w:sz w:val="21"/>
        </w:rPr>
        <w:t xml:space="preserve">Concentration </w:t>
      </w:r>
      <w:r>
        <w:rPr>
          <w:rFonts w:ascii="Arial;Helvetica;sans-serif" w:hAnsi="Arial;Helvetica;sans-serif"/>
          <w:b/>
          <w:sz w:val="21"/>
        </w:rPr>
        <w:t xml:space="preserve">of </w:t>
      </w:r>
      <w:r>
        <w:rPr>
          <w:rFonts w:ascii="Arial;Helvetica;sans-serif" w:hAnsi="Arial;Helvetica;sans-serif"/>
          <w:b/>
          <w:spacing w:val="-4"/>
          <w:sz w:val="21"/>
        </w:rPr>
        <w:t>Credit</w:t>
      </w:r>
      <w:r>
        <w:rPr>
          <w:rFonts w:ascii="Arial;Helvetica;sans-serif" w:hAnsi="Arial;Helvetica;sans-serif"/>
          <w:b/>
          <w:spacing w:val="-17"/>
          <w:sz w:val="21"/>
        </w:rPr>
        <w:t xml:space="preserve"> </w:t>
      </w:r>
      <w:r>
        <w:rPr>
          <w:rFonts w:ascii="Arial;Helvetica;sans-serif" w:hAnsi="Arial;Helvetica;sans-serif"/>
          <w:b/>
          <w:spacing w:val="-4"/>
          <w:sz w:val="21"/>
        </w:rPr>
        <w:t>Risk</w:t>
      </w:r>
    </w:p>
    <w:p>
      <w:pPr>
        <w:pStyle w:val="TextBody"/>
        <w:bidi w:val="0"/>
        <w:spacing w:before="119" w:after="0"/>
        <w:ind w:left="879" w:right="257" w:hanging="0"/>
        <w:jc w:val="both"/>
        <w:rPr>
          <w:rFonts w:ascii="Times New Roman;Times;serif" w:hAnsi="Times New Roman;Times;serif"/>
          <w:sz w:val="21"/>
        </w:rPr>
      </w:pPr>
      <w:r>
        <w:rPr>
          <w:rFonts w:ascii="Times New Roman;Times;serif" w:hAnsi="Times New Roman;Times;serif"/>
          <w:sz w:val="21"/>
        </w:rPr>
        <w:t>The Company maintains its cash balances at various financial institutions. The balances are insured by the Federal Deposit Insurance Corporation. As of December 31, 2025 and 2024, the Company had a balance in excess of the insured limit.</w:t>
      </w:r>
    </w:p>
    <w:p>
      <w:pPr>
        <w:pStyle w:val="TextBody"/>
        <w:bidi w:val="0"/>
        <w:spacing w:before="119" w:after="0"/>
        <w:ind w:left="879" w:right="257" w:hanging="0"/>
        <w:jc w:val="both"/>
        <w:rPr/>
      </w:pPr>
      <w:r>
        <w:rPr/>
        <w:t>​</w:t>
      </w:r>
    </w:p>
    <w:p>
      <w:pPr>
        <w:pStyle w:val="TextBody"/>
        <w:bidi w:val="0"/>
        <w:spacing w:before="119" w:after="0"/>
        <w:ind w:left="879" w:right="257" w:hanging="0"/>
        <w:jc w:val="both"/>
        <w:rPr/>
      </w:pPr>
      <w:r>
        <w:rPr/>
        <w:t>​</w:t>
      </w:r>
    </w:p>
    <w:p>
      <w:pPr>
        <w:pStyle w:val="TextBody"/>
        <w:bidi w:val="0"/>
        <w:spacing w:before="119" w:after="0"/>
        <w:ind w:left="879" w:right="257"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shd w:fill="FFFFFF" w:val="clear"/>
        </w:rPr>
        <w:tab/>
      </w:r>
      <w:r>
        <w:rPr>
          <w:rFonts w:ascii="Times New Roman;Times;serif" w:hAnsi="Times New Roman;Times;serif"/>
          <w:sz w:val="22"/>
          <w:shd w:fill="FFFFFF" w:val="clear"/>
        </w:rPr>
        <w:tab/>
      </w:r>
      <w:r>
        <w:rPr>
          <w:rFonts w:ascii="Times New Roman;Times;serif" w:hAnsi="Times New Roman;Times;serif"/>
          <w:sz w:val="20"/>
          <w:shd w:fill="FFFFFF" w:val="clear"/>
        </w:rPr>
        <w:t>6</w:t>
      </w:r>
      <w:r>
        <mc:AlternateContent>
          <mc:Choice Requires="wps">
            <w:drawing>
              <wp:anchor behindDoc="0" distT="0" distB="0" distL="0" distR="0" simplePos="0" locked="0" layoutInCell="1" allowOverlap="1" relativeHeight="851">
                <wp:simplePos x="0" y="0"/>
                <wp:positionH relativeFrom="page">
                  <wp:posOffset>0</wp:posOffset>
                </wp:positionH>
                <wp:positionV relativeFrom="line">
                  <wp:posOffset>635</wp:posOffset>
                </wp:positionV>
                <wp:extent cx="6480175" cy="175260"/>
                <wp:effectExtent l="0" t="0" r="0" b="0"/>
                <wp:wrapNone/>
                <wp:docPr id="850" name="Frame8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LMWS, LLC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Financial Statements</w:t>
      </w:r>
    </w:p>
    <w:p>
      <w:pPr>
        <w:pStyle w:val="TextBody"/>
        <w:bidi w:val="0"/>
        <w:spacing w:before="0" w:after="0"/>
        <w:ind w:left="0" w:right="0" w:hanging="0"/>
        <w:jc w:val="left"/>
        <w:rPr/>
      </w:pPr>
      <w:r>
        <w:rPr/>
        <w:t>​</w:t>
      </w:r>
    </w:p>
    <w:p>
      <w:pPr>
        <w:pStyle w:val="TextBody"/>
        <w:bidi w:val="0"/>
        <w:spacing w:before="8" w:after="0"/>
        <w:ind w:left="0" w:right="0" w:hanging="0"/>
        <w:jc w:val="left"/>
        <w:rPr/>
      </w:pPr>
      <w:r>
        <w:rPr/>
        <w:t>​</w:t>
      </w:r>
    </w:p>
    <w:p>
      <w:pPr>
        <w:pStyle w:val="TextBody"/>
        <w:bidi w:val="0"/>
        <w:spacing w:before="0" w:after="0"/>
        <w:ind w:left="160" w:right="0" w:hanging="0"/>
        <w:jc w:val="left"/>
        <w:rPr>
          <w:rFonts w:ascii="Arial;Helvetica;sans-serif" w:hAnsi="Arial;Helvetica;sans-serif"/>
          <w:b/>
          <w:sz w:val="21"/>
        </w:rPr>
      </w:pPr>
      <w:r>
        <w:rPr>
          <w:rFonts w:ascii="Arial;Helvetica;sans-serif" w:hAnsi="Arial;Helvetica;sans-serif"/>
          <w:b/>
          <w:sz w:val="21"/>
        </w:rPr>
        <w:t>4.</w:t>
      </w:r>
      <w:r>
        <w:rPr>
          <w:rFonts w:ascii="Arial;Helvetica;sans-serif" w:hAnsi="Arial;Helvetica;sans-serif"/>
          <w:b/>
          <w:spacing w:val="-3"/>
          <w:sz w:val="21"/>
        </w:rPr>
        <w:t xml:space="preserve">Fair </w:t>
      </w:r>
      <w:r>
        <w:rPr>
          <w:rFonts w:ascii="Arial;Helvetica;sans-serif" w:hAnsi="Arial;Helvetica;sans-serif"/>
          <w:b/>
          <w:spacing w:val="-4"/>
          <w:sz w:val="21"/>
        </w:rPr>
        <w:t>Value Measurements</w:t>
      </w:r>
    </w:p>
    <w:p>
      <w:pPr>
        <w:pStyle w:val="TextBody"/>
        <w:bidi w:val="0"/>
        <w:spacing w:before="118" w:after="283"/>
        <w:ind w:left="878" w:right="0" w:hanging="0"/>
        <w:jc w:val="both"/>
        <w:rPr>
          <w:rFonts w:ascii="Arial;Helvetica;sans-serif" w:hAnsi="Arial;Helvetica;sans-serif"/>
          <w:b/>
          <w:sz w:val="22"/>
        </w:rPr>
      </w:pPr>
      <w:r>
        <w:rPr>
          <w:rFonts w:ascii="Times New Roman;Times;serif" w:hAnsi="Times New Roman;Times;serif"/>
          <w:b/>
          <w:i/>
          <w:sz w:val="22"/>
        </w:rPr>
        <w:t>(a)</w:t>
      </w:r>
      <w:r>
        <w:rPr>
          <w:rFonts w:ascii="Times New Roman;Times;serif" w:hAnsi="Times New Roman;Times;serif"/>
          <w:b/>
          <w:i/>
          <w:spacing w:val="-3"/>
          <w:sz w:val="22"/>
        </w:rPr>
        <w:t xml:space="preserve">Fair </w:t>
      </w:r>
      <w:r>
        <w:rPr>
          <w:rFonts w:ascii="Times New Roman;Times;serif" w:hAnsi="Times New Roman;Times;serif"/>
          <w:b/>
          <w:i/>
          <w:spacing w:val="-4"/>
          <w:sz w:val="22"/>
        </w:rPr>
        <w:t xml:space="preserve">Value </w:t>
      </w:r>
      <w:r>
        <w:rPr>
          <w:rFonts w:ascii="Times New Roman;Times;serif" w:hAnsi="Times New Roman;Times;serif"/>
          <w:b/>
          <w:i/>
          <w:sz w:val="22"/>
        </w:rPr>
        <w:t xml:space="preserve">of </w:t>
      </w:r>
      <w:r>
        <w:rPr>
          <w:rFonts w:ascii="Times New Roman;Times;serif" w:hAnsi="Times New Roman;Times;serif"/>
          <w:b/>
          <w:i/>
          <w:spacing w:val="-4"/>
          <w:sz w:val="22"/>
        </w:rPr>
        <w:t>Financial</w:t>
      </w:r>
      <w:r>
        <w:rPr>
          <w:rFonts w:ascii="Arial;Helvetica;sans-serif" w:hAnsi="Arial;Helvetica;sans-serif"/>
          <w:b/>
          <w:spacing w:val="-21"/>
          <w:sz w:val="22"/>
        </w:rPr>
        <w:t xml:space="preserve"> </w:t>
      </w:r>
      <w:r>
        <w:rPr>
          <w:rFonts w:ascii="Times New Roman;Times;serif" w:hAnsi="Times New Roman;Times;serif"/>
          <w:b/>
          <w:i/>
          <w:spacing w:val="-4"/>
          <w:sz w:val="22"/>
        </w:rPr>
        <w:t>Instruments</w:t>
      </w:r>
    </w:p>
    <w:p>
      <w:pPr>
        <w:pStyle w:val="TextBody"/>
        <w:bidi w:val="0"/>
        <w:spacing w:before="121" w:after="0"/>
        <w:ind w:left="1240" w:right="257" w:hanging="0"/>
        <w:jc w:val="both"/>
        <w:rPr>
          <w:rFonts w:ascii="Times New Roman;Times;serif" w:hAnsi="Times New Roman;Times;serif"/>
          <w:sz w:val="21"/>
        </w:rPr>
      </w:pPr>
      <w:r>
        <w:rPr>
          <w:rFonts w:ascii="Times New Roman;Times;serif" w:hAnsi="Times New Roman;Times;serif"/>
          <w:spacing w:val="-3"/>
          <w:sz w:val="21"/>
        </w:rPr>
        <w:t xml:space="preserve">The </w:t>
      </w:r>
      <w:r>
        <w:rPr>
          <w:rFonts w:ascii="Times New Roman;Times;serif" w:hAnsi="Times New Roman;Times;serif"/>
          <w:spacing w:val="-4"/>
          <w:sz w:val="21"/>
        </w:rPr>
        <w:t xml:space="preserve">following methods </w:t>
      </w:r>
      <w:r>
        <w:rPr>
          <w:rFonts w:ascii="Times New Roman;Times;serif" w:hAnsi="Times New Roman;Times;serif"/>
          <w:sz w:val="21"/>
        </w:rPr>
        <w:t xml:space="preserve">and </w:t>
      </w:r>
      <w:r>
        <w:rPr>
          <w:rFonts w:ascii="Times New Roman;Times;serif" w:hAnsi="Times New Roman;Times;serif"/>
          <w:spacing w:val="-4"/>
          <w:sz w:val="21"/>
        </w:rPr>
        <w:t xml:space="preserve">assumptions </w:t>
      </w:r>
      <w:r>
        <w:rPr>
          <w:rFonts w:ascii="Times New Roman;Times;serif" w:hAnsi="Times New Roman;Times;serif"/>
          <w:spacing w:val="-3"/>
          <w:sz w:val="21"/>
        </w:rPr>
        <w:t xml:space="preserve">were used </w:t>
      </w:r>
      <w:r>
        <w:rPr>
          <w:rFonts w:ascii="Times New Roman;Times;serif" w:hAnsi="Times New Roman;Times;serif"/>
          <w:sz w:val="21"/>
        </w:rPr>
        <w:t xml:space="preserve">to </w:t>
      </w:r>
      <w:r>
        <w:rPr>
          <w:rFonts w:ascii="Times New Roman;Times;serif" w:hAnsi="Times New Roman;Times;serif"/>
          <w:spacing w:val="-4"/>
          <w:sz w:val="21"/>
        </w:rPr>
        <w:t xml:space="preserve">estimate </w:t>
      </w:r>
      <w:r>
        <w:rPr>
          <w:rFonts w:ascii="Times New Roman;Times;serif" w:hAnsi="Times New Roman;Times;serif"/>
          <w:sz w:val="21"/>
        </w:rPr>
        <w:t xml:space="preserve">the </w:t>
      </w:r>
      <w:r>
        <w:rPr>
          <w:rFonts w:ascii="Times New Roman;Times;serif" w:hAnsi="Times New Roman;Times;serif"/>
          <w:spacing w:val="-3"/>
          <w:sz w:val="21"/>
        </w:rPr>
        <w:t xml:space="preserve">fair </w:t>
      </w:r>
      <w:r>
        <w:rPr>
          <w:rFonts w:ascii="Times New Roman;Times;serif" w:hAnsi="Times New Roman;Times;serif"/>
          <w:spacing w:val="-4"/>
          <w:sz w:val="21"/>
        </w:rPr>
        <w:t xml:space="preserve">value </w:t>
      </w:r>
      <w:r>
        <w:rPr>
          <w:rFonts w:ascii="Times New Roman;Times;serif" w:hAnsi="Times New Roman;Times;serif"/>
          <w:sz w:val="21"/>
        </w:rPr>
        <w:t xml:space="preserve">of </w:t>
      </w:r>
      <w:r>
        <w:rPr>
          <w:rFonts w:ascii="Times New Roman;Times;serif" w:hAnsi="Times New Roman;Times;serif"/>
          <w:spacing w:val="-3"/>
          <w:sz w:val="21"/>
        </w:rPr>
        <w:t xml:space="preserve">the </w:t>
      </w:r>
      <w:r>
        <w:rPr>
          <w:rFonts w:ascii="Times New Roman;Times;serif" w:hAnsi="Times New Roman;Times;serif"/>
          <w:spacing w:val="-4"/>
          <w:sz w:val="21"/>
        </w:rPr>
        <w:t xml:space="preserve">Company’s financial instruments </w:t>
      </w:r>
      <w:r>
        <w:rPr>
          <w:rFonts w:ascii="Times New Roman;Times;serif" w:hAnsi="Times New Roman;Times;serif"/>
          <w:sz w:val="21"/>
        </w:rPr>
        <w:t xml:space="preserve">at </w:t>
      </w:r>
      <w:r>
        <w:rPr>
          <w:rFonts w:ascii="Times New Roman;Times;serif" w:hAnsi="Times New Roman;Times;serif"/>
          <w:spacing w:val="-4"/>
          <w:sz w:val="21"/>
        </w:rPr>
        <w:t xml:space="preserve">December </w:t>
      </w:r>
      <w:r>
        <w:rPr>
          <w:rFonts w:ascii="Times New Roman;Times;serif" w:hAnsi="Times New Roman;Times;serif"/>
          <w:spacing w:val="-3"/>
          <w:sz w:val="21"/>
        </w:rPr>
        <w:t>31, 2025 and 2024:</w:t>
      </w:r>
    </w:p>
    <w:tbl>
      <w:tblPr>
        <w:tblW w:w="10205" w:type="dxa"/>
        <w:jc w:val="left"/>
        <w:tblInd w:w="0" w:type="dxa"/>
        <w:tblLayout w:type="fixed"/>
        <w:tblCellMar>
          <w:top w:w="0" w:type="dxa"/>
          <w:left w:w="0" w:type="dxa"/>
          <w:bottom w:w="0" w:type="dxa"/>
          <w:right w:w="0" w:type="dxa"/>
        </w:tblCellMar>
      </w:tblPr>
      <w:tblGrid>
        <w:gridCol w:w="23"/>
        <w:gridCol w:w="110"/>
        <w:gridCol w:w="1004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4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3"/>
                <w:sz w:val="22"/>
              </w:rPr>
              <w:t xml:space="preserve">The </w:t>
            </w:r>
            <w:r>
              <w:rPr>
                <w:rFonts w:ascii="Times New Roman;Times;serif" w:hAnsi="Times New Roman;Times;serif"/>
                <w:b w:val="false"/>
                <w:i w:val="false"/>
                <w:caps w:val="false"/>
                <w:smallCaps w:val="false"/>
                <w:spacing w:val="-4"/>
                <w:sz w:val="22"/>
              </w:rPr>
              <w:t xml:space="preserve">carrying value </w:t>
            </w:r>
            <w:r>
              <w:rPr>
                <w:rFonts w:ascii="Times New Roman;Times;serif" w:hAnsi="Times New Roman;Times;serif"/>
                <w:b w:val="false"/>
                <w:i w:val="false"/>
                <w:caps w:val="false"/>
                <w:smallCaps w:val="false"/>
                <w:sz w:val="22"/>
              </w:rPr>
              <w:t xml:space="preserve">of </w:t>
            </w:r>
            <w:r>
              <w:rPr>
                <w:rFonts w:ascii="Times New Roman;Times;serif" w:hAnsi="Times New Roman;Times;serif"/>
                <w:b w:val="false"/>
                <w:i w:val="false"/>
                <w:caps w:val="false"/>
                <w:smallCaps w:val="false"/>
                <w:spacing w:val="-3"/>
                <w:sz w:val="22"/>
              </w:rPr>
              <w:t xml:space="preserve">cash and cash </w:t>
            </w:r>
            <w:r>
              <w:rPr>
                <w:rFonts w:ascii="Times New Roman;Times;serif" w:hAnsi="Times New Roman;Times;serif"/>
                <w:b w:val="false"/>
                <w:i w:val="false"/>
                <w:caps w:val="false"/>
                <w:smallCaps w:val="false"/>
                <w:spacing w:val="-4"/>
                <w:sz w:val="22"/>
              </w:rPr>
              <w:t xml:space="preserve">equivalents, restricted cash, accounts receivable, prepaid </w:t>
            </w:r>
            <w:r>
              <w:rPr>
                <w:rFonts w:ascii="Times New Roman;Times;serif" w:hAnsi="Times New Roman;Times;serif"/>
                <w:b w:val="false"/>
                <w:i w:val="false"/>
                <w:caps w:val="false"/>
                <w:smallCaps w:val="false"/>
                <w:spacing w:val="-3"/>
                <w:sz w:val="22"/>
              </w:rPr>
              <w:t xml:space="preserve">expenses </w:t>
            </w:r>
            <w:r>
              <w:rPr>
                <w:rFonts w:ascii="Times New Roman;Times;serif" w:hAnsi="Times New Roman;Times;serif"/>
                <w:b w:val="false"/>
                <w:i w:val="false"/>
                <w:caps w:val="false"/>
                <w:smallCaps w:val="false"/>
                <w:sz w:val="22"/>
              </w:rPr>
              <w:t xml:space="preserve">and </w:t>
            </w:r>
            <w:r>
              <w:rPr>
                <w:rFonts w:ascii="Times New Roman;Times;serif" w:hAnsi="Times New Roman;Times;serif"/>
                <w:b w:val="false"/>
                <w:i w:val="false"/>
                <w:caps w:val="false"/>
                <w:smallCaps w:val="false"/>
                <w:spacing w:val="-3"/>
                <w:sz w:val="22"/>
              </w:rPr>
              <w:t xml:space="preserve">other assets, </w:t>
            </w:r>
            <w:r>
              <w:rPr>
                <w:rFonts w:ascii="Times New Roman;Times;serif" w:hAnsi="Times New Roman;Times;serif"/>
                <w:b w:val="false"/>
                <w:i w:val="false"/>
                <w:caps w:val="false"/>
                <w:smallCaps w:val="false"/>
                <w:spacing w:val="-4"/>
                <w:sz w:val="22"/>
              </w:rPr>
              <w:t xml:space="preserve">accounts payable </w:t>
            </w:r>
            <w:r>
              <w:rPr>
                <w:rFonts w:ascii="Times New Roman;Times;serif" w:hAnsi="Times New Roman;Times;serif"/>
                <w:b w:val="false"/>
                <w:i w:val="false"/>
                <w:caps w:val="false"/>
                <w:smallCaps w:val="false"/>
                <w:sz w:val="22"/>
              </w:rPr>
              <w:t xml:space="preserve">and </w:t>
            </w:r>
            <w:r>
              <w:rPr>
                <w:rFonts w:ascii="Times New Roman;Times;serif" w:hAnsi="Times New Roman;Times;serif"/>
                <w:b w:val="false"/>
                <w:i w:val="false"/>
                <w:caps w:val="false"/>
                <w:smallCaps w:val="false"/>
                <w:spacing w:val="-3"/>
                <w:sz w:val="22"/>
              </w:rPr>
              <w:t xml:space="preserve">accrued </w:t>
            </w:r>
            <w:r>
              <w:rPr>
                <w:rFonts w:ascii="Times New Roman;Times;serif" w:hAnsi="Times New Roman;Times;serif"/>
                <w:b w:val="false"/>
                <w:i w:val="false"/>
                <w:caps w:val="false"/>
                <w:smallCaps w:val="false"/>
                <w:spacing w:val="-4"/>
                <w:sz w:val="22"/>
              </w:rPr>
              <w:t xml:space="preserve">expenses </w:t>
            </w:r>
            <w:r>
              <w:rPr>
                <w:rFonts w:ascii="Times New Roman;Times;serif" w:hAnsi="Times New Roman;Times;serif"/>
                <w:b w:val="false"/>
                <w:i w:val="false"/>
                <w:caps w:val="false"/>
                <w:smallCaps w:val="false"/>
                <w:sz w:val="22"/>
              </w:rPr>
              <w:t xml:space="preserve">and </w:t>
            </w:r>
            <w:r>
              <w:rPr>
                <w:rFonts w:ascii="Times New Roman;Times;serif" w:hAnsi="Times New Roman;Times;serif"/>
                <w:b w:val="false"/>
                <w:i w:val="false"/>
                <w:caps w:val="false"/>
                <w:smallCaps w:val="false"/>
                <w:spacing w:val="-3"/>
                <w:sz w:val="22"/>
              </w:rPr>
              <w:t xml:space="preserve">customer </w:t>
            </w:r>
            <w:r>
              <w:rPr>
                <w:rFonts w:ascii="Times New Roman;Times;serif" w:hAnsi="Times New Roman;Times;serif"/>
                <w:b w:val="false"/>
                <w:i w:val="false"/>
                <w:caps w:val="false"/>
                <w:smallCaps w:val="false"/>
                <w:spacing w:val="-4"/>
                <w:sz w:val="22"/>
              </w:rPr>
              <w:t xml:space="preserve">deposits approximate </w:t>
            </w:r>
            <w:r>
              <w:rPr>
                <w:rFonts w:ascii="Times New Roman;Times;serif" w:hAnsi="Times New Roman;Times;serif"/>
                <w:b w:val="false"/>
                <w:i w:val="false"/>
                <w:caps w:val="false"/>
                <w:smallCaps w:val="false"/>
                <w:spacing w:val="-3"/>
                <w:sz w:val="22"/>
              </w:rPr>
              <w:t xml:space="preserve">fair </w:t>
            </w:r>
            <w:r>
              <w:rPr>
                <w:rFonts w:ascii="Times New Roman;Times;serif" w:hAnsi="Times New Roman;Times;serif"/>
                <w:b w:val="false"/>
                <w:i w:val="false"/>
                <w:caps w:val="false"/>
                <w:smallCaps w:val="false"/>
                <w:spacing w:val="-4"/>
                <w:sz w:val="22"/>
              </w:rPr>
              <w:t xml:space="preserve">value </w:t>
            </w:r>
            <w:r>
              <w:rPr>
                <w:rFonts w:ascii="Times New Roman;Times;serif" w:hAnsi="Times New Roman;Times;serif"/>
                <w:b w:val="false"/>
                <w:i w:val="false"/>
                <w:caps w:val="false"/>
                <w:smallCaps w:val="false"/>
                <w:spacing w:val="-3"/>
                <w:sz w:val="22"/>
              </w:rPr>
              <w:t xml:space="preserve">due </w:t>
            </w:r>
            <w:r>
              <w:rPr>
                <w:rFonts w:ascii="Times New Roman;Times;serif" w:hAnsi="Times New Roman;Times;serif"/>
                <w:b w:val="false"/>
                <w:i w:val="false"/>
                <w:caps w:val="false"/>
                <w:smallCaps w:val="false"/>
                <w:sz w:val="22"/>
              </w:rPr>
              <w:t xml:space="preserve">to </w:t>
            </w:r>
            <w:r>
              <w:rPr>
                <w:rFonts w:ascii="Times New Roman;Times;serif" w:hAnsi="Times New Roman;Times;serif"/>
                <w:b w:val="false"/>
                <w:i w:val="false"/>
                <w:caps w:val="false"/>
                <w:smallCaps w:val="false"/>
                <w:spacing w:val="-3"/>
                <w:sz w:val="22"/>
              </w:rPr>
              <w:t xml:space="preserve">the </w:t>
            </w:r>
            <w:r>
              <w:rPr>
                <w:rFonts w:ascii="Times New Roman;Times;serif" w:hAnsi="Times New Roman;Times;serif"/>
                <w:b w:val="false"/>
                <w:i w:val="false"/>
                <w:caps w:val="false"/>
                <w:smallCaps w:val="false"/>
                <w:spacing w:val="-4"/>
                <w:sz w:val="22"/>
              </w:rPr>
              <w:t xml:space="preserve">short maturity </w:t>
            </w:r>
            <w:r>
              <w:rPr>
                <w:rFonts w:ascii="Times New Roman;Times;serif" w:hAnsi="Times New Roman;Times;serif"/>
                <w:b w:val="false"/>
                <w:i w:val="false"/>
                <w:caps w:val="false"/>
                <w:smallCaps w:val="false"/>
                <w:sz w:val="22"/>
              </w:rPr>
              <w:t xml:space="preserve">of </w:t>
            </w:r>
            <w:r>
              <w:rPr>
                <w:rFonts w:ascii="Times New Roman;Times;serif" w:hAnsi="Times New Roman;Times;serif"/>
                <w:b w:val="false"/>
                <w:i w:val="false"/>
                <w:caps w:val="false"/>
                <w:smallCaps w:val="false"/>
                <w:spacing w:val="-4"/>
                <w:sz w:val="22"/>
              </w:rPr>
              <w:t>these</w:t>
            </w:r>
            <w:r>
              <w:rPr>
                <w:caps w:val="false"/>
                <w:smallCaps w:val="false"/>
                <w:spacing w:val="-40"/>
              </w:rPr>
              <w:t xml:space="preserve"> </w:t>
            </w:r>
            <w:r>
              <w:rPr>
                <w:rFonts w:ascii="Times New Roman;Times;serif" w:hAnsi="Times New Roman;Times;serif"/>
                <w:b w:val="false"/>
                <w:i w:val="false"/>
                <w:caps w:val="false"/>
                <w:smallCaps w:val="false"/>
                <w:spacing w:val="-4"/>
                <w:sz w:val="22"/>
              </w:rPr>
              <w:t>instruments.</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10"/>
        <w:gridCol w:w="1004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4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xml:space="preserve">The </w:t>
            </w:r>
            <w:r>
              <w:rPr>
                <w:rFonts w:ascii="Times New Roman;Times;serif" w:hAnsi="Times New Roman;Times;serif"/>
                <w:b w:val="false"/>
                <w:i w:val="false"/>
                <w:caps w:val="false"/>
                <w:smallCaps w:val="false"/>
                <w:spacing w:val="-4"/>
                <w:sz w:val="22"/>
              </w:rPr>
              <w:t xml:space="preserve">carrying value </w:t>
            </w:r>
            <w:r>
              <w:rPr>
                <w:rFonts w:ascii="Times New Roman;Times;serif" w:hAnsi="Times New Roman;Times;serif"/>
                <w:b w:val="false"/>
                <w:i w:val="false"/>
                <w:caps w:val="false"/>
                <w:smallCaps w:val="false"/>
                <w:sz w:val="22"/>
              </w:rPr>
              <w:t xml:space="preserve">of </w:t>
            </w:r>
            <w:r>
              <w:rPr>
                <w:rFonts w:ascii="Times New Roman;Times;serif" w:hAnsi="Times New Roman;Times;serif"/>
                <w:b w:val="false"/>
                <w:i w:val="false"/>
                <w:caps w:val="false"/>
                <w:smallCaps w:val="false"/>
                <w:spacing w:val="-4"/>
                <w:sz w:val="22"/>
              </w:rPr>
              <w:t xml:space="preserve">mortgage notes payable approximates </w:t>
            </w:r>
            <w:r>
              <w:rPr>
                <w:rFonts w:ascii="Times New Roman;Times;serif" w:hAnsi="Times New Roman;Times;serif"/>
                <w:b w:val="false"/>
                <w:i w:val="false"/>
                <w:caps w:val="false"/>
                <w:smallCaps w:val="false"/>
                <w:sz w:val="22"/>
              </w:rPr>
              <w:t xml:space="preserve">the </w:t>
            </w:r>
            <w:r>
              <w:rPr>
                <w:rFonts w:ascii="Times New Roman;Times;serif" w:hAnsi="Times New Roman;Times;serif"/>
                <w:b w:val="false"/>
                <w:i w:val="false"/>
                <w:caps w:val="false"/>
                <w:smallCaps w:val="false"/>
                <w:spacing w:val="-3"/>
                <w:sz w:val="22"/>
              </w:rPr>
              <w:t xml:space="preserve">fair </w:t>
            </w:r>
            <w:r>
              <w:rPr>
                <w:rFonts w:ascii="Times New Roman;Times;serif" w:hAnsi="Times New Roman;Times;serif"/>
                <w:b w:val="false"/>
                <w:i w:val="false"/>
                <w:caps w:val="false"/>
                <w:smallCaps w:val="false"/>
                <w:spacing w:val="-4"/>
                <w:sz w:val="22"/>
              </w:rPr>
              <w:t xml:space="preserve">value </w:t>
            </w:r>
            <w:r>
              <w:rPr>
                <w:rFonts w:ascii="Times New Roman;Times;serif" w:hAnsi="Times New Roman;Times;serif"/>
                <w:b w:val="false"/>
                <w:i w:val="false"/>
                <w:caps w:val="false"/>
                <w:smallCaps w:val="false"/>
                <w:sz w:val="22"/>
              </w:rPr>
              <w:t xml:space="preserve">as </w:t>
            </w:r>
            <w:r>
              <w:rPr>
                <w:rFonts w:ascii="Times New Roman;Times;serif" w:hAnsi="Times New Roman;Times;serif"/>
                <w:b w:val="false"/>
                <w:i w:val="false"/>
                <w:caps w:val="false"/>
                <w:smallCaps w:val="false"/>
                <w:spacing w:val="-3"/>
                <w:sz w:val="22"/>
              </w:rPr>
              <w:t xml:space="preserve">such debt resets </w:t>
            </w:r>
            <w:r>
              <w:rPr>
                <w:rFonts w:ascii="Times New Roman;Times;serif" w:hAnsi="Times New Roman;Times;serif"/>
                <w:b w:val="false"/>
                <w:i w:val="false"/>
                <w:caps w:val="false"/>
                <w:smallCaps w:val="false"/>
                <w:sz w:val="22"/>
              </w:rPr>
              <w:t xml:space="preserve">to </w:t>
            </w:r>
            <w:r>
              <w:rPr>
                <w:rFonts w:ascii="Times New Roman;Times;serif" w:hAnsi="Times New Roman;Times;serif"/>
                <w:b w:val="false"/>
                <w:i w:val="false"/>
                <w:caps w:val="false"/>
                <w:smallCaps w:val="false"/>
                <w:spacing w:val="-4"/>
                <w:sz w:val="22"/>
              </w:rPr>
              <w:t xml:space="preserve">the market interest </w:t>
            </w:r>
            <w:r>
              <w:rPr>
                <w:rFonts w:ascii="Times New Roman;Times;serif" w:hAnsi="Times New Roman;Times;serif"/>
                <w:b w:val="false"/>
                <w:i w:val="false"/>
                <w:caps w:val="false"/>
                <w:smallCaps w:val="false"/>
                <w:spacing w:val="-3"/>
                <w:sz w:val="22"/>
              </w:rPr>
              <w:t>rate</w:t>
            </w:r>
            <w:r>
              <w:rPr>
                <w:caps w:val="false"/>
                <w:smallCaps w:val="false"/>
                <w:spacing w:val="-13"/>
              </w:rPr>
              <w:t xml:space="preserve"> </w:t>
            </w:r>
            <w:r>
              <w:rPr>
                <w:rFonts w:ascii="Times New Roman;Times;serif" w:hAnsi="Times New Roman;Times;serif"/>
                <w:b w:val="false"/>
                <w:i w:val="false"/>
                <w:caps w:val="false"/>
                <w:smallCaps w:val="false"/>
                <w:spacing w:val="-4"/>
                <w:sz w:val="22"/>
              </w:rPr>
              <w:t>periodically.</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ind w:left="1240" w:right="257" w:hanging="0"/>
        <w:jc w:val="both"/>
        <w:rPr>
          <w:rFonts w:ascii="Times New Roman;Times;serif" w:hAnsi="Times New Roman;Times;serif"/>
          <w:sz w:val="21"/>
        </w:rPr>
      </w:pPr>
      <w:r>
        <w:rPr>
          <w:rFonts w:ascii="Times New Roman;Times;serif" w:hAnsi="Times New Roman;Times;serif"/>
          <w:spacing w:val="-3"/>
          <w:sz w:val="21"/>
        </w:rPr>
        <w:t xml:space="preserve">The fair </w:t>
      </w:r>
      <w:r>
        <w:rPr>
          <w:rFonts w:ascii="Times New Roman;Times;serif" w:hAnsi="Times New Roman;Times;serif"/>
          <w:spacing w:val="-4"/>
          <w:sz w:val="21"/>
        </w:rPr>
        <w:t xml:space="preserve">value estimates are </w:t>
      </w:r>
      <w:r>
        <w:rPr>
          <w:rFonts w:ascii="Times New Roman;Times;serif" w:hAnsi="Times New Roman;Times;serif"/>
          <w:spacing w:val="-3"/>
          <w:sz w:val="21"/>
        </w:rPr>
        <w:t xml:space="preserve">made </w:t>
      </w:r>
      <w:r>
        <w:rPr>
          <w:rFonts w:ascii="Times New Roman;Times;serif" w:hAnsi="Times New Roman;Times;serif"/>
          <w:sz w:val="21"/>
        </w:rPr>
        <w:t xml:space="preserve">at a </w:t>
      </w:r>
      <w:r>
        <w:rPr>
          <w:rFonts w:ascii="Times New Roman;Times;serif" w:hAnsi="Times New Roman;Times;serif"/>
          <w:spacing w:val="-4"/>
          <w:sz w:val="21"/>
        </w:rPr>
        <w:t xml:space="preserve">specific point </w:t>
      </w:r>
      <w:r>
        <w:rPr>
          <w:rFonts w:ascii="Times New Roman;Times;serif" w:hAnsi="Times New Roman;Times;serif"/>
          <w:sz w:val="21"/>
        </w:rPr>
        <w:t xml:space="preserve">in </w:t>
      </w:r>
      <w:r>
        <w:rPr>
          <w:rFonts w:ascii="Times New Roman;Times;serif" w:hAnsi="Times New Roman;Times;serif"/>
          <w:spacing w:val="-4"/>
          <w:sz w:val="21"/>
        </w:rPr>
        <w:t xml:space="preserve">time, based </w:t>
      </w:r>
      <w:r>
        <w:rPr>
          <w:rFonts w:ascii="Times New Roman;Times;serif" w:hAnsi="Times New Roman;Times;serif"/>
          <w:sz w:val="21"/>
        </w:rPr>
        <w:t xml:space="preserve">on </w:t>
      </w:r>
      <w:r>
        <w:rPr>
          <w:rFonts w:ascii="Times New Roman;Times;serif" w:hAnsi="Times New Roman;Times;serif"/>
          <w:spacing w:val="-4"/>
          <w:sz w:val="21"/>
        </w:rPr>
        <w:t xml:space="preserve">relevant market information </w:t>
      </w:r>
      <w:r>
        <w:rPr>
          <w:rFonts w:ascii="Times New Roman;Times;serif" w:hAnsi="Times New Roman;Times;serif"/>
          <w:spacing w:val="-3"/>
          <w:sz w:val="21"/>
        </w:rPr>
        <w:t xml:space="preserve">and </w:t>
      </w:r>
      <w:r>
        <w:rPr>
          <w:rFonts w:ascii="Times New Roman;Times;serif" w:hAnsi="Times New Roman;Times;serif"/>
          <w:spacing w:val="-4"/>
          <w:sz w:val="21"/>
        </w:rPr>
        <w:t xml:space="preserve">information </w:t>
      </w:r>
      <w:r>
        <w:rPr>
          <w:rFonts w:ascii="Times New Roman;Times;serif" w:hAnsi="Times New Roman;Times;serif"/>
          <w:spacing w:val="-3"/>
          <w:sz w:val="21"/>
        </w:rPr>
        <w:t xml:space="preserve">about </w:t>
      </w:r>
      <w:r>
        <w:rPr>
          <w:rFonts w:ascii="Times New Roman;Times;serif" w:hAnsi="Times New Roman;Times;serif"/>
          <w:sz w:val="21"/>
        </w:rPr>
        <w:t xml:space="preserve">the </w:t>
      </w:r>
      <w:r>
        <w:rPr>
          <w:rFonts w:ascii="Times New Roman;Times;serif" w:hAnsi="Times New Roman;Times;serif"/>
          <w:spacing w:val="-4"/>
          <w:sz w:val="21"/>
        </w:rPr>
        <w:t xml:space="preserve">financial </w:t>
      </w:r>
      <w:r>
        <w:rPr>
          <w:rFonts w:ascii="Times New Roman;Times;serif" w:hAnsi="Times New Roman;Times;serif"/>
          <w:spacing w:val="-3"/>
          <w:sz w:val="21"/>
        </w:rPr>
        <w:t xml:space="preserve">instruments. These </w:t>
      </w:r>
      <w:r>
        <w:rPr>
          <w:rFonts w:ascii="Times New Roman;Times;serif" w:hAnsi="Times New Roman;Times;serif"/>
          <w:spacing w:val="-4"/>
          <w:sz w:val="21"/>
        </w:rPr>
        <w:t xml:space="preserve">estimates </w:t>
      </w:r>
      <w:r>
        <w:rPr>
          <w:rFonts w:ascii="Times New Roman;Times;serif" w:hAnsi="Times New Roman;Times;serif"/>
          <w:sz w:val="21"/>
        </w:rPr>
        <w:t xml:space="preserve">are </w:t>
      </w:r>
      <w:r>
        <w:rPr>
          <w:rFonts w:ascii="Times New Roman;Times;serif" w:hAnsi="Times New Roman;Times;serif"/>
          <w:spacing w:val="-4"/>
          <w:sz w:val="21"/>
        </w:rPr>
        <w:t xml:space="preserve">subjective </w:t>
      </w:r>
      <w:r>
        <w:rPr>
          <w:rFonts w:ascii="Times New Roman;Times;serif" w:hAnsi="Times New Roman;Times;serif"/>
          <w:spacing w:val="-3"/>
          <w:sz w:val="21"/>
        </w:rPr>
        <w:t xml:space="preserve">in nature </w:t>
      </w:r>
      <w:r>
        <w:rPr>
          <w:rFonts w:ascii="Times New Roman;Times;serif" w:hAnsi="Times New Roman;Times;serif"/>
          <w:sz w:val="21"/>
        </w:rPr>
        <w:t xml:space="preserve">and </w:t>
      </w:r>
      <w:r>
        <w:rPr>
          <w:rFonts w:ascii="Times New Roman;Times;serif" w:hAnsi="Times New Roman;Times;serif"/>
          <w:spacing w:val="-3"/>
          <w:sz w:val="21"/>
        </w:rPr>
        <w:t xml:space="preserve">involve </w:t>
      </w:r>
      <w:r>
        <w:rPr>
          <w:rFonts w:ascii="Times New Roman;Times;serif" w:hAnsi="Times New Roman;Times;serif"/>
          <w:spacing w:val="-4"/>
          <w:sz w:val="21"/>
        </w:rPr>
        <w:t xml:space="preserve">uncertainties </w:t>
      </w:r>
      <w:r>
        <w:rPr>
          <w:rFonts w:ascii="Times New Roman;Times;serif" w:hAnsi="Times New Roman;Times;serif"/>
          <w:sz w:val="21"/>
        </w:rPr>
        <w:t xml:space="preserve">and </w:t>
      </w:r>
      <w:r>
        <w:rPr>
          <w:rFonts w:ascii="Times New Roman;Times;serif" w:hAnsi="Times New Roman;Times;serif"/>
          <w:spacing w:val="-4"/>
          <w:sz w:val="21"/>
        </w:rPr>
        <w:t xml:space="preserve">matters </w:t>
      </w:r>
      <w:r>
        <w:rPr>
          <w:rFonts w:ascii="Times New Roman;Times;serif" w:hAnsi="Times New Roman;Times;serif"/>
          <w:sz w:val="21"/>
        </w:rPr>
        <w:t xml:space="preserve">of </w:t>
      </w:r>
      <w:r>
        <w:rPr>
          <w:rFonts w:ascii="Times New Roman;Times;serif" w:hAnsi="Times New Roman;Times;serif"/>
          <w:spacing w:val="-4"/>
          <w:sz w:val="21"/>
        </w:rPr>
        <w:t xml:space="preserve">significant </w:t>
      </w:r>
      <w:r>
        <w:rPr>
          <w:rFonts w:ascii="Times New Roman;Times;serif" w:hAnsi="Times New Roman;Times;serif"/>
          <w:spacing w:val="-3"/>
          <w:sz w:val="21"/>
        </w:rPr>
        <w:t xml:space="preserve">judgment and, </w:t>
      </w:r>
      <w:r>
        <w:rPr>
          <w:rFonts w:ascii="Times New Roman;Times;serif" w:hAnsi="Times New Roman;Times;serif"/>
          <w:spacing w:val="-4"/>
          <w:sz w:val="21"/>
        </w:rPr>
        <w:t xml:space="preserve">therefore, </w:t>
      </w:r>
      <w:r>
        <w:rPr>
          <w:rFonts w:ascii="Times New Roman;Times;serif" w:hAnsi="Times New Roman;Times;serif"/>
          <w:spacing w:val="-3"/>
          <w:sz w:val="21"/>
        </w:rPr>
        <w:t xml:space="preserve">cannot </w:t>
      </w:r>
      <w:r>
        <w:rPr>
          <w:rFonts w:ascii="Times New Roman;Times;serif" w:hAnsi="Times New Roman;Times;serif"/>
          <w:sz w:val="21"/>
        </w:rPr>
        <w:t xml:space="preserve">be </w:t>
      </w:r>
      <w:r>
        <w:rPr>
          <w:rFonts w:ascii="Times New Roman;Times;serif" w:hAnsi="Times New Roman;Times;serif"/>
          <w:spacing w:val="-4"/>
          <w:sz w:val="21"/>
        </w:rPr>
        <w:t xml:space="preserve">determined </w:t>
      </w:r>
      <w:r>
        <w:rPr>
          <w:rFonts w:ascii="Times New Roman;Times;serif" w:hAnsi="Times New Roman;Times;serif"/>
          <w:spacing w:val="-3"/>
          <w:sz w:val="21"/>
        </w:rPr>
        <w:t xml:space="preserve">with </w:t>
      </w:r>
      <w:r>
        <w:rPr>
          <w:rFonts w:ascii="Times New Roman;Times;serif" w:hAnsi="Times New Roman;Times;serif"/>
          <w:spacing w:val="-4"/>
          <w:sz w:val="21"/>
        </w:rPr>
        <w:t xml:space="preserve">precision. Changes </w:t>
      </w:r>
      <w:r>
        <w:rPr>
          <w:rFonts w:ascii="Times New Roman;Times;serif" w:hAnsi="Times New Roman;Times;serif"/>
          <w:sz w:val="21"/>
        </w:rPr>
        <w:t xml:space="preserve">in </w:t>
      </w:r>
      <w:r>
        <w:rPr>
          <w:rFonts w:ascii="Times New Roman;Times;serif" w:hAnsi="Times New Roman;Times;serif"/>
          <w:spacing w:val="-4"/>
          <w:sz w:val="21"/>
        </w:rPr>
        <w:t xml:space="preserve">assumptions could significantly affect </w:t>
      </w:r>
      <w:r>
        <w:rPr>
          <w:rFonts w:ascii="Times New Roman;Times;serif" w:hAnsi="Times New Roman;Times;serif"/>
          <w:spacing w:val="-3"/>
          <w:sz w:val="21"/>
        </w:rPr>
        <w:t xml:space="preserve">the </w:t>
      </w:r>
      <w:r>
        <w:rPr>
          <w:rFonts w:ascii="Times New Roman;Times;serif" w:hAnsi="Times New Roman;Times;serif"/>
          <w:spacing w:val="-4"/>
          <w:sz w:val="21"/>
        </w:rPr>
        <w:t>estimates.</w:t>
      </w:r>
    </w:p>
    <w:p>
      <w:pPr>
        <w:pStyle w:val="TextBody"/>
        <w:bidi w:val="0"/>
        <w:spacing w:before="118" w:after="283"/>
        <w:ind w:left="878" w:right="0" w:hanging="0"/>
        <w:jc w:val="both"/>
        <w:rPr>
          <w:rFonts w:ascii="Arial;Helvetica;sans-serif" w:hAnsi="Arial;Helvetica;sans-serif"/>
          <w:b/>
          <w:sz w:val="22"/>
        </w:rPr>
      </w:pPr>
      <w:r>
        <w:rPr>
          <w:rFonts w:ascii="Times New Roman;Times;serif" w:hAnsi="Times New Roman;Times;serif"/>
          <w:b/>
          <w:i/>
          <w:sz w:val="22"/>
        </w:rPr>
        <w:t>(b)</w:t>
      </w:r>
      <w:r>
        <w:rPr>
          <w:rFonts w:ascii="Times New Roman;Times;serif" w:hAnsi="Times New Roman;Times;serif"/>
          <w:b/>
          <w:i/>
          <w:spacing w:val="-3"/>
          <w:sz w:val="22"/>
        </w:rPr>
        <w:t>Fair Value Hierarchy</w:t>
      </w:r>
    </w:p>
    <w:p>
      <w:pPr>
        <w:pStyle w:val="TextBody"/>
        <w:bidi w:val="0"/>
        <w:spacing w:before="119" w:after="0"/>
        <w:ind w:left="1240" w:right="254" w:hanging="0"/>
        <w:jc w:val="both"/>
        <w:rPr>
          <w:rFonts w:ascii="Times New Roman;Times;serif" w:hAnsi="Times New Roman;Times;serif"/>
          <w:sz w:val="21"/>
        </w:rPr>
      </w:pPr>
      <w:r>
        <w:rPr>
          <w:rFonts w:ascii="Times New Roman;Times;serif" w:hAnsi="Times New Roman;Times;serif"/>
          <w:sz w:val="21"/>
        </w:rPr>
        <w:t xml:space="preserve">The </w:t>
      </w:r>
      <w:r>
        <w:rPr>
          <w:rFonts w:ascii="Times New Roman;Times;serif" w:hAnsi="Times New Roman;Times;serif"/>
          <w:spacing w:val="-4"/>
          <w:sz w:val="21"/>
        </w:rPr>
        <w:t xml:space="preserve">Company applies </w:t>
      </w:r>
      <w:r>
        <w:rPr>
          <w:rFonts w:ascii="Times New Roman;Times;serif" w:hAnsi="Times New Roman;Times;serif"/>
          <w:sz w:val="21"/>
        </w:rPr>
        <w:t xml:space="preserve">the </w:t>
      </w:r>
      <w:r>
        <w:rPr>
          <w:rFonts w:ascii="Times New Roman;Times;serif" w:hAnsi="Times New Roman;Times;serif"/>
          <w:spacing w:val="-3"/>
          <w:sz w:val="21"/>
        </w:rPr>
        <w:t xml:space="preserve">provisions </w:t>
      </w:r>
      <w:r>
        <w:rPr>
          <w:rFonts w:ascii="Times New Roman;Times;serif" w:hAnsi="Times New Roman;Times;serif"/>
          <w:sz w:val="21"/>
        </w:rPr>
        <w:t xml:space="preserve">of the </w:t>
      </w:r>
      <w:r>
        <w:rPr>
          <w:rFonts w:ascii="Times New Roman;Times;serif" w:hAnsi="Times New Roman;Times;serif"/>
          <w:spacing w:val="-3"/>
          <w:sz w:val="21"/>
        </w:rPr>
        <w:t xml:space="preserve">applicable </w:t>
      </w:r>
      <w:r>
        <w:rPr>
          <w:rFonts w:ascii="Times New Roman;Times;serif" w:hAnsi="Times New Roman;Times;serif"/>
          <w:spacing w:val="-4"/>
          <w:sz w:val="21"/>
        </w:rPr>
        <w:t xml:space="preserve">guidance, </w:t>
      </w:r>
      <w:r>
        <w:rPr>
          <w:rFonts w:ascii="Times New Roman;Times;serif" w:hAnsi="Times New Roman;Times;serif"/>
          <w:sz w:val="21"/>
        </w:rPr>
        <w:t xml:space="preserve">for </w:t>
      </w:r>
      <w:r>
        <w:rPr>
          <w:rFonts w:ascii="Times New Roman;Times;serif" w:hAnsi="Times New Roman;Times;serif"/>
          <w:spacing w:val="-3"/>
          <w:sz w:val="21"/>
        </w:rPr>
        <w:t xml:space="preserve">fair value measurements </w:t>
      </w:r>
      <w:r>
        <w:rPr>
          <w:rFonts w:ascii="Times New Roman;Times;serif" w:hAnsi="Times New Roman;Times;serif"/>
          <w:sz w:val="21"/>
        </w:rPr>
        <w:t xml:space="preserve">of </w:t>
      </w:r>
      <w:r>
        <w:rPr>
          <w:rFonts w:ascii="Times New Roman;Times;serif" w:hAnsi="Times New Roman;Times;serif"/>
          <w:spacing w:val="-4"/>
          <w:sz w:val="21"/>
        </w:rPr>
        <w:t xml:space="preserve">financial </w:t>
      </w:r>
      <w:r>
        <w:rPr>
          <w:rFonts w:ascii="Times New Roman;Times;serif" w:hAnsi="Times New Roman;Times;serif"/>
          <w:spacing w:val="-3"/>
          <w:sz w:val="21"/>
        </w:rPr>
        <w:t xml:space="preserve">assets </w:t>
      </w:r>
      <w:r>
        <w:rPr>
          <w:rFonts w:ascii="Times New Roman;Times;serif" w:hAnsi="Times New Roman;Times;serif"/>
          <w:sz w:val="21"/>
        </w:rPr>
        <w:t xml:space="preserve">and </w:t>
      </w:r>
      <w:r>
        <w:rPr>
          <w:rFonts w:ascii="Times New Roman;Times;serif" w:hAnsi="Times New Roman;Times;serif"/>
          <w:spacing w:val="-4"/>
          <w:sz w:val="21"/>
        </w:rPr>
        <w:t xml:space="preserve">financial liabilities </w:t>
      </w:r>
      <w:r>
        <w:rPr>
          <w:rFonts w:ascii="Times New Roman;Times;serif" w:hAnsi="Times New Roman;Times;serif"/>
          <w:sz w:val="21"/>
        </w:rPr>
        <w:t xml:space="preserve">and </w:t>
      </w:r>
      <w:r>
        <w:rPr>
          <w:rFonts w:ascii="Times New Roman;Times;serif" w:hAnsi="Times New Roman;Times;serif"/>
          <w:spacing w:val="-3"/>
          <w:sz w:val="21"/>
        </w:rPr>
        <w:t xml:space="preserve">for fair </w:t>
      </w:r>
      <w:r>
        <w:rPr>
          <w:rFonts w:ascii="Times New Roman;Times;serif" w:hAnsi="Times New Roman;Times;serif"/>
          <w:spacing w:val="-4"/>
          <w:sz w:val="21"/>
        </w:rPr>
        <w:t xml:space="preserve">value measurements </w:t>
      </w:r>
      <w:r>
        <w:rPr>
          <w:rFonts w:ascii="Times New Roman;Times;serif" w:hAnsi="Times New Roman;Times;serif"/>
          <w:spacing w:val="-3"/>
          <w:sz w:val="21"/>
        </w:rPr>
        <w:t xml:space="preserve">of </w:t>
      </w:r>
      <w:r>
        <w:rPr>
          <w:rFonts w:ascii="Times New Roman;Times;serif" w:hAnsi="Times New Roman;Times;serif"/>
          <w:spacing w:val="-4"/>
          <w:sz w:val="21"/>
        </w:rPr>
        <w:t xml:space="preserve">nonfinancial items </w:t>
      </w:r>
      <w:r>
        <w:rPr>
          <w:rFonts w:ascii="Times New Roman;Times;serif" w:hAnsi="Times New Roman;Times;serif"/>
          <w:spacing w:val="-3"/>
          <w:sz w:val="21"/>
        </w:rPr>
        <w:t xml:space="preserve">that are </w:t>
      </w:r>
      <w:r>
        <w:rPr>
          <w:rFonts w:ascii="Times New Roman;Times;serif" w:hAnsi="Times New Roman;Times;serif"/>
          <w:spacing w:val="-4"/>
          <w:sz w:val="21"/>
        </w:rPr>
        <w:t xml:space="preserve">recognized </w:t>
      </w:r>
      <w:r>
        <w:rPr>
          <w:rFonts w:ascii="Times New Roman;Times;serif" w:hAnsi="Times New Roman;Times;serif"/>
          <w:sz w:val="21"/>
        </w:rPr>
        <w:t xml:space="preserve">or </w:t>
      </w:r>
      <w:r>
        <w:rPr>
          <w:rFonts w:ascii="Times New Roman;Times;serif" w:hAnsi="Times New Roman;Times;serif"/>
          <w:spacing w:val="-4"/>
          <w:sz w:val="21"/>
        </w:rPr>
        <w:t xml:space="preserve">disclosed </w:t>
      </w:r>
      <w:r>
        <w:rPr>
          <w:rFonts w:ascii="Times New Roman;Times;serif" w:hAnsi="Times New Roman;Times;serif"/>
          <w:sz w:val="21"/>
        </w:rPr>
        <w:t xml:space="preserve">at </w:t>
      </w:r>
      <w:r>
        <w:rPr>
          <w:rFonts w:ascii="Times New Roman;Times;serif" w:hAnsi="Times New Roman;Times;serif"/>
          <w:spacing w:val="-3"/>
          <w:sz w:val="21"/>
        </w:rPr>
        <w:t xml:space="preserve">fair </w:t>
      </w:r>
      <w:r>
        <w:rPr>
          <w:rFonts w:ascii="Times New Roman;Times;serif" w:hAnsi="Times New Roman;Times;serif"/>
          <w:spacing w:val="-4"/>
          <w:sz w:val="21"/>
        </w:rPr>
        <w:t xml:space="preserve">value </w:t>
      </w:r>
      <w:r>
        <w:rPr>
          <w:rFonts w:ascii="Times New Roman;Times;serif" w:hAnsi="Times New Roman;Times;serif"/>
          <w:sz w:val="21"/>
        </w:rPr>
        <w:t xml:space="preserve">in the </w:t>
      </w:r>
      <w:r>
        <w:rPr>
          <w:rFonts w:ascii="Times New Roman;Times;serif" w:hAnsi="Times New Roman;Times;serif"/>
          <w:spacing w:val="-4"/>
          <w:sz w:val="21"/>
        </w:rPr>
        <w:t xml:space="preserve">statements </w:t>
      </w:r>
      <w:r>
        <w:rPr>
          <w:rFonts w:ascii="Times New Roman;Times;serif" w:hAnsi="Times New Roman;Times;serif"/>
          <w:sz w:val="21"/>
        </w:rPr>
        <w:t xml:space="preserve">of </w:t>
      </w:r>
      <w:r>
        <w:rPr>
          <w:rFonts w:ascii="Times New Roman;Times;serif" w:hAnsi="Times New Roman;Times;serif"/>
          <w:spacing w:val="-4"/>
          <w:sz w:val="21"/>
        </w:rPr>
        <w:t xml:space="preserve">financial position </w:t>
      </w:r>
      <w:r>
        <w:rPr>
          <w:rFonts w:ascii="Times New Roman;Times;serif" w:hAnsi="Times New Roman;Times;serif"/>
          <w:sz w:val="21"/>
        </w:rPr>
        <w:t xml:space="preserve">on a </w:t>
      </w:r>
      <w:r>
        <w:rPr>
          <w:rFonts w:ascii="Times New Roman;Times;serif" w:hAnsi="Times New Roman;Times;serif"/>
          <w:spacing w:val="-4"/>
          <w:sz w:val="21"/>
        </w:rPr>
        <w:t xml:space="preserve">recurring basis. </w:t>
      </w:r>
      <w:r>
        <w:rPr>
          <w:rFonts w:ascii="Times New Roman;Times;serif" w:hAnsi="Times New Roman;Times;serif"/>
          <w:sz w:val="21"/>
        </w:rPr>
        <w:t xml:space="preserve">The </w:t>
      </w:r>
      <w:r>
        <w:rPr>
          <w:rFonts w:ascii="Times New Roman;Times;serif" w:hAnsi="Times New Roman;Times;serif"/>
          <w:spacing w:val="-4"/>
          <w:sz w:val="21"/>
        </w:rPr>
        <w:t xml:space="preserve">applicable guidance defines </w:t>
      </w:r>
      <w:r>
        <w:rPr>
          <w:rFonts w:ascii="Times New Roman;Times;serif" w:hAnsi="Times New Roman;Times;serif"/>
          <w:spacing w:val="-3"/>
          <w:sz w:val="21"/>
        </w:rPr>
        <w:t xml:space="preserve">fair </w:t>
      </w:r>
      <w:r>
        <w:rPr>
          <w:rFonts w:ascii="Times New Roman;Times;serif" w:hAnsi="Times New Roman;Times;serif"/>
          <w:spacing w:val="-4"/>
          <w:sz w:val="21"/>
        </w:rPr>
        <w:t xml:space="preserve">value </w:t>
      </w:r>
      <w:r>
        <w:rPr>
          <w:rFonts w:ascii="Times New Roman;Times;serif" w:hAnsi="Times New Roman;Times;serif"/>
          <w:sz w:val="21"/>
        </w:rPr>
        <w:t xml:space="preserve">as </w:t>
      </w:r>
      <w:r>
        <w:rPr>
          <w:rFonts w:ascii="Times New Roman;Times;serif" w:hAnsi="Times New Roman;Times;serif"/>
          <w:spacing w:val="-3"/>
          <w:sz w:val="21"/>
        </w:rPr>
        <w:t xml:space="preserve">the </w:t>
      </w:r>
      <w:r>
        <w:rPr>
          <w:rFonts w:ascii="Times New Roman;Times;serif" w:hAnsi="Times New Roman;Times;serif"/>
          <w:spacing w:val="-4"/>
          <w:sz w:val="21"/>
        </w:rPr>
        <w:t xml:space="preserve">price </w:t>
      </w:r>
      <w:r>
        <w:rPr>
          <w:rFonts w:ascii="Times New Roman;Times;serif" w:hAnsi="Times New Roman;Times;serif"/>
          <w:spacing w:val="-3"/>
          <w:sz w:val="21"/>
        </w:rPr>
        <w:t xml:space="preserve">that </w:t>
      </w:r>
      <w:r>
        <w:rPr>
          <w:rFonts w:ascii="Times New Roman;Times;serif" w:hAnsi="Times New Roman;Times;serif"/>
          <w:spacing w:val="-4"/>
          <w:sz w:val="21"/>
        </w:rPr>
        <w:t xml:space="preserve">would </w:t>
      </w:r>
      <w:r>
        <w:rPr>
          <w:rFonts w:ascii="Times New Roman;Times;serif" w:hAnsi="Times New Roman;Times;serif"/>
          <w:sz w:val="21"/>
        </w:rPr>
        <w:t xml:space="preserve">be </w:t>
      </w:r>
      <w:r>
        <w:rPr>
          <w:rFonts w:ascii="Times New Roman;Times;serif" w:hAnsi="Times New Roman;Times;serif"/>
          <w:spacing w:val="-4"/>
          <w:sz w:val="21"/>
        </w:rPr>
        <w:t xml:space="preserve">received </w:t>
      </w:r>
      <w:r>
        <w:rPr>
          <w:rFonts w:ascii="Times New Roman;Times;serif" w:hAnsi="Times New Roman;Times;serif"/>
          <w:sz w:val="21"/>
        </w:rPr>
        <w:t xml:space="preserve">to </w:t>
      </w:r>
      <w:r>
        <w:rPr>
          <w:rFonts w:ascii="Times New Roman;Times;serif" w:hAnsi="Times New Roman;Times;serif"/>
          <w:spacing w:val="-3"/>
          <w:sz w:val="21"/>
        </w:rPr>
        <w:t xml:space="preserve">sell </w:t>
      </w:r>
      <w:r>
        <w:rPr>
          <w:rFonts w:ascii="Times New Roman;Times;serif" w:hAnsi="Times New Roman;Times;serif"/>
          <w:sz w:val="21"/>
        </w:rPr>
        <w:t xml:space="preserve">an </w:t>
      </w:r>
      <w:r>
        <w:rPr>
          <w:rFonts w:ascii="Times New Roman;Times;serif" w:hAnsi="Times New Roman;Times;serif"/>
          <w:spacing w:val="-4"/>
          <w:sz w:val="21"/>
        </w:rPr>
        <w:t xml:space="preserve">asset </w:t>
      </w:r>
      <w:r>
        <w:rPr>
          <w:rFonts w:ascii="Times New Roman;Times;serif" w:hAnsi="Times New Roman;Times;serif"/>
          <w:sz w:val="21"/>
        </w:rPr>
        <w:t xml:space="preserve">or </w:t>
      </w:r>
      <w:r>
        <w:rPr>
          <w:rFonts w:ascii="Times New Roman;Times;serif" w:hAnsi="Times New Roman;Times;serif"/>
          <w:spacing w:val="-3"/>
          <w:sz w:val="21"/>
        </w:rPr>
        <w:t xml:space="preserve">paid </w:t>
      </w:r>
      <w:r>
        <w:rPr>
          <w:rFonts w:ascii="Times New Roman;Times;serif" w:hAnsi="Times New Roman;Times;serif"/>
          <w:sz w:val="21"/>
        </w:rPr>
        <w:t xml:space="preserve">to </w:t>
      </w:r>
      <w:r>
        <w:rPr>
          <w:rFonts w:ascii="Times New Roman;Times;serif" w:hAnsi="Times New Roman;Times;serif"/>
          <w:spacing w:val="-4"/>
          <w:sz w:val="21"/>
        </w:rPr>
        <w:t xml:space="preserve">transfer </w:t>
      </w:r>
      <w:r>
        <w:rPr>
          <w:rFonts w:ascii="Times New Roman;Times;serif" w:hAnsi="Times New Roman;Times;serif"/>
          <w:sz w:val="21"/>
        </w:rPr>
        <w:t xml:space="preserve">a </w:t>
      </w:r>
      <w:r>
        <w:rPr>
          <w:rFonts w:ascii="Times New Roman;Times;serif" w:hAnsi="Times New Roman;Times;serif"/>
          <w:spacing w:val="-4"/>
          <w:sz w:val="21"/>
        </w:rPr>
        <w:t xml:space="preserve">liability </w:t>
      </w:r>
      <w:r>
        <w:rPr>
          <w:rFonts w:ascii="Times New Roman;Times;serif" w:hAnsi="Times New Roman;Times;serif"/>
          <w:sz w:val="21"/>
        </w:rPr>
        <w:t xml:space="preserve">in an </w:t>
      </w:r>
      <w:r>
        <w:rPr>
          <w:rFonts w:ascii="Times New Roman;Times;serif" w:hAnsi="Times New Roman;Times;serif"/>
          <w:spacing w:val="-4"/>
          <w:sz w:val="21"/>
        </w:rPr>
        <w:t xml:space="preserve">orderly transaction between market participants </w:t>
      </w:r>
      <w:r>
        <w:rPr>
          <w:rFonts w:ascii="Times New Roman;Times;serif" w:hAnsi="Times New Roman;Times;serif"/>
          <w:sz w:val="21"/>
        </w:rPr>
        <w:t xml:space="preserve">at the </w:t>
      </w:r>
      <w:r>
        <w:rPr>
          <w:rFonts w:ascii="Times New Roman;Times;serif" w:hAnsi="Times New Roman;Times;serif"/>
          <w:spacing w:val="-4"/>
          <w:sz w:val="21"/>
        </w:rPr>
        <w:t xml:space="preserve">measurement date. </w:t>
      </w:r>
      <w:r>
        <w:rPr>
          <w:rFonts w:ascii="Times New Roman;Times;serif" w:hAnsi="Times New Roman;Times;serif"/>
          <w:sz w:val="21"/>
        </w:rPr>
        <w:t xml:space="preserve">The </w:t>
      </w:r>
      <w:r>
        <w:rPr>
          <w:rFonts w:ascii="Times New Roman;Times;serif" w:hAnsi="Times New Roman;Times;serif"/>
          <w:spacing w:val="-4"/>
          <w:sz w:val="21"/>
        </w:rPr>
        <w:t xml:space="preserve">applicable </w:t>
      </w:r>
      <w:r>
        <w:rPr>
          <w:rFonts w:ascii="Times New Roman;Times;serif" w:hAnsi="Times New Roman;Times;serif"/>
          <w:spacing w:val="-5"/>
          <w:sz w:val="21"/>
        </w:rPr>
        <w:t xml:space="preserve">guidance </w:t>
      </w:r>
      <w:r>
        <w:rPr>
          <w:rFonts w:ascii="Times New Roman;Times;serif" w:hAnsi="Times New Roman;Times;serif"/>
          <w:spacing w:val="-3"/>
          <w:sz w:val="21"/>
        </w:rPr>
        <w:t xml:space="preserve">also </w:t>
      </w:r>
      <w:r>
        <w:rPr>
          <w:rFonts w:ascii="Times New Roman;Times;serif" w:hAnsi="Times New Roman;Times;serif"/>
          <w:spacing w:val="-4"/>
          <w:sz w:val="21"/>
        </w:rPr>
        <w:t xml:space="preserve">establishes </w:t>
      </w:r>
      <w:r>
        <w:rPr>
          <w:rFonts w:ascii="Times New Roman;Times;serif" w:hAnsi="Times New Roman;Times;serif"/>
          <w:sz w:val="21"/>
        </w:rPr>
        <w:t xml:space="preserve">a </w:t>
      </w:r>
      <w:r>
        <w:rPr>
          <w:rFonts w:ascii="Times New Roman;Times;serif" w:hAnsi="Times New Roman;Times;serif"/>
          <w:spacing w:val="-4"/>
          <w:sz w:val="21"/>
        </w:rPr>
        <w:t xml:space="preserve">framework </w:t>
      </w:r>
      <w:r>
        <w:rPr>
          <w:rFonts w:ascii="Times New Roman;Times;serif" w:hAnsi="Times New Roman;Times;serif"/>
          <w:spacing w:val="-3"/>
          <w:sz w:val="21"/>
        </w:rPr>
        <w:t xml:space="preserve">for </w:t>
      </w:r>
      <w:r>
        <w:rPr>
          <w:rFonts w:ascii="Times New Roman;Times;serif" w:hAnsi="Times New Roman;Times;serif"/>
          <w:spacing w:val="-4"/>
          <w:sz w:val="21"/>
        </w:rPr>
        <w:t xml:space="preserve">measuring </w:t>
      </w:r>
      <w:r>
        <w:rPr>
          <w:rFonts w:ascii="Times New Roman;Times;serif" w:hAnsi="Times New Roman;Times;serif"/>
          <w:spacing w:val="-3"/>
          <w:sz w:val="21"/>
        </w:rPr>
        <w:t xml:space="preserve">fair </w:t>
      </w:r>
      <w:r>
        <w:rPr>
          <w:rFonts w:ascii="Times New Roman;Times;serif" w:hAnsi="Times New Roman;Times;serif"/>
          <w:spacing w:val="-4"/>
          <w:sz w:val="21"/>
        </w:rPr>
        <w:t xml:space="preserve">value </w:t>
      </w:r>
      <w:r>
        <w:rPr>
          <w:rFonts w:ascii="Times New Roman;Times;serif" w:hAnsi="Times New Roman;Times;serif"/>
          <w:spacing w:val="-3"/>
          <w:sz w:val="21"/>
        </w:rPr>
        <w:t xml:space="preserve">and </w:t>
      </w:r>
      <w:r>
        <w:rPr>
          <w:rFonts w:ascii="Times New Roman;Times;serif" w:hAnsi="Times New Roman;Times;serif"/>
          <w:spacing w:val="-4"/>
          <w:sz w:val="21"/>
        </w:rPr>
        <w:t xml:space="preserve">expands disclosures about </w:t>
      </w:r>
      <w:r>
        <w:rPr>
          <w:rFonts w:ascii="Times New Roman;Times;serif" w:hAnsi="Times New Roman;Times;serif"/>
          <w:spacing w:val="-3"/>
          <w:sz w:val="21"/>
        </w:rPr>
        <w:t xml:space="preserve">fair </w:t>
      </w:r>
      <w:r>
        <w:rPr>
          <w:rFonts w:ascii="Times New Roman;Times;serif" w:hAnsi="Times New Roman;Times;serif"/>
          <w:spacing w:val="-4"/>
          <w:sz w:val="21"/>
        </w:rPr>
        <w:t>value measurements.</w:t>
      </w:r>
    </w:p>
    <w:p>
      <w:pPr>
        <w:pStyle w:val="TextBody"/>
        <w:bidi w:val="0"/>
        <w:spacing w:before="121" w:after="0"/>
        <w:ind w:left="1240" w:right="257" w:hanging="0"/>
        <w:jc w:val="both"/>
        <w:rPr>
          <w:rFonts w:ascii="Times New Roman;Times;serif" w:hAnsi="Times New Roman;Times;serif"/>
          <w:sz w:val="21"/>
        </w:rPr>
      </w:pPr>
      <w:r>
        <w:rPr>
          <w:rFonts w:ascii="Times New Roman;Times;serif" w:hAnsi="Times New Roman;Times;serif"/>
          <w:spacing w:val="-3"/>
          <w:sz w:val="21"/>
        </w:rPr>
        <w:t xml:space="preserve">The </w:t>
      </w:r>
      <w:r>
        <w:rPr>
          <w:rFonts w:ascii="Times New Roman;Times;serif" w:hAnsi="Times New Roman;Times;serif"/>
          <w:spacing w:val="-4"/>
          <w:sz w:val="21"/>
        </w:rPr>
        <w:t xml:space="preserve">applicable guidance establishes </w:t>
      </w:r>
      <w:r>
        <w:rPr>
          <w:rFonts w:ascii="Times New Roman;Times;serif" w:hAnsi="Times New Roman;Times;serif"/>
          <w:sz w:val="21"/>
        </w:rPr>
        <w:t xml:space="preserve">a </w:t>
      </w:r>
      <w:r>
        <w:rPr>
          <w:rFonts w:ascii="Times New Roman;Times;serif" w:hAnsi="Times New Roman;Times;serif"/>
          <w:spacing w:val="-3"/>
          <w:sz w:val="21"/>
        </w:rPr>
        <w:t xml:space="preserve">fair </w:t>
      </w:r>
      <w:r>
        <w:rPr>
          <w:rFonts w:ascii="Times New Roman;Times;serif" w:hAnsi="Times New Roman;Times;serif"/>
          <w:spacing w:val="-4"/>
          <w:sz w:val="21"/>
        </w:rPr>
        <w:t xml:space="preserve">value hierarchy </w:t>
      </w:r>
      <w:r>
        <w:rPr>
          <w:rFonts w:ascii="Times New Roman;Times;serif" w:hAnsi="Times New Roman;Times;serif"/>
          <w:spacing w:val="-3"/>
          <w:sz w:val="21"/>
        </w:rPr>
        <w:t xml:space="preserve">that </w:t>
      </w:r>
      <w:r>
        <w:rPr>
          <w:rFonts w:ascii="Times New Roman;Times;serif" w:hAnsi="Times New Roman;Times;serif"/>
          <w:spacing w:val="-4"/>
          <w:sz w:val="21"/>
        </w:rPr>
        <w:t xml:space="preserve">prioritizes </w:t>
      </w:r>
      <w:r>
        <w:rPr>
          <w:rFonts w:ascii="Times New Roman;Times;serif" w:hAnsi="Times New Roman;Times;serif"/>
          <w:spacing w:val="-3"/>
          <w:sz w:val="21"/>
        </w:rPr>
        <w:t xml:space="preserve">the </w:t>
      </w:r>
      <w:r>
        <w:rPr>
          <w:rFonts w:ascii="Times New Roman;Times;serif" w:hAnsi="Times New Roman;Times;serif"/>
          <w:spacing w:val="-4"/>
          <w:sz w:val="21"/>
        </w:rPr>
        <w:t xml:space="preserve">inputs </w:t>
      </w:r>
      <w:r>
        <w:rPr>
          <w:rFonts w:ascii="Times New Roman;Times;serif" w:hAnsi="Times New Roman;Times;serif"/>
          <w:sz w:val="21"/>
        </w:rPr>
        <w:t xml:space="preserve">to </w:t>
      </w:r>
      <w:r>
        <w:rPr>
          <w:rFonts w:ascii="Times New Roman;Times;serif" w:hAnsi="Times New Roman;Times;serif"/>
          <w:spacing w:val="-4"/>
          <w:sz w:val="21"/>
        </w:rPr>
        <w:t xml:space="preserve">valuation techniques </w:t>
      </w:r>
      <w:r>
        <w:rPr>
          <w:rFonts w:ascii="Times New Roman;Times;serif" w:hAnsi="Times New Roman;Times;serif"/>
          <w:spacing w:val="-3"/>
          <w:sz w:val="21"/>
        </w:rPr>
        <w:t xml:space="preserve">used </w:t>
      </w:r>
      <w:r>
        <w:rPr>
          <w:rFonts w:ascii="Times New Roman;Times;serif" w:hAnsi="Times New Roman;Times;serif"/>
          <w:sz w:val="21"/>
        </w:rPr>
        <w:t xml:space="preserve">to </w:t>
      </w:r>
      <w:r>
        <w:rPr>
          <w:rFonts w:ascii="Times New Roman;Times;serif" w:hAnsi="Times New Roman;Times;serif"/>
          <w:spacing w:val="-4"/>
          <w:sz w:val="21"/>
        </w:rPr>
        <w:t xml:space="preserve">measure </w:t>
      </w:r>
      <w:r>
        <w:rPr>
          <w:rFonts w:ascii="Times New Roman;Times;serif" w:hAnsi="Times New Roman;Times;serif"/>
          <w:spacing w:val="-3"/>
          <w:sz w:val="21"/>
        </w:rPr>
        <w:t xml:space="preserve">fair </w:t>
      </w:r>
      <w:r>
        <w:rPr>
          <w:rFonts w:ascii="Times New Roman;Times;serif" w:hAnsi="Times New Roman;Times;serif"/>
          <w:spacing w:val="-4"/>
          <w:sz w:val="21"/>
        </w:rPr>
        <w:t xml:space="preserve">value. </w:t>
      </w:r>
      <w:r>
        <w:rPr>
          <w:rFonts w:ascii="Times New Roman;Times;serif" w:hAnsi="Times New Roman;Times;serif"/>
          <w:spacing w:val="-3"/>
          <w:sz w:val="21"/>
        </w:rPr>
        <w:t xml:space="preserve">The </w:t>
      </w:r>
      <w:r>
        <w:rPr>
          <w:rFonts w:ascii="Times New Roman;Times;serif" w:hAnsi="Times New Roman;Times;serif"/>
          <w:spacing w:val="-4"/>
          <w:sz w:val="21"/>
        </w:rPr>
        <w:t xml:space="preserve">hierarchy gives </w:t>
      </w:r>
      <w:r>
        <w:rPr>
          <w:rFonts w:ascii="Times New Roman;Times;serif" w:hAnsi="Times New Roman;Times;serif"/>
          <w:spacing w:val="-3"/>
          <w:sz w:val="21"/>
        </w:rPr>
        <w:t xml:space="preserve">the </w:t>
      </w:r>
      <w:r>
        <w:rPr>
          <w:rFonts w:ascii="Times New Roman;Times;serif" w:hAnsi="Times New Roman;Times;serif"/>
          <w:spacing w:val="-4"/>
          <w:sz w:val="21"/>
        </w:rPr>
        <w:t xml:space="preserve">highest priority </w:t>
      </w:r>
      <w:r>
        <w:rPr>
          <w:rFonts w:ascii="Times New Roman;Times;serif" w:hAnsi="Times New Roman;Times;serif"/>
          <w:sz w:val="21"/>
        </w:rPr>
        <w:t xml:space="preserve">to </w:t>
      </w:r>
      <w:r>
        <w:rPr>
          <w:rFonts w:ascii="Times New Roman;Times;serif" w:hAnsi="Times New Roman;Times;serif"/>
          <w:spacing w:val="-4"/>
          <w:sz w:val="21"/>
        </w:rPr>
        <w:t xml:space="preserve">unadjusted quoted </w:t>
      </w:r>
      <w:r>
        <w:rPr>
          <w:rFonts w:ascii="Times New Roman;Times;serif" w:hAnsi="Times New Roman;Times;serif"/>
          <w:spacing w:val="-3"/>
          <w:sz w:val="21"/>
        </w:rPr>
        <w:t xml:space="preserve">prices </w:t>
      </w:r>
      <w:r>
        <w:rPr>
          <w:rFonts w:ascii="Times New Roman;Times;serif" w:hAnsi="Times New Roman;Times;serif"/>
          <w:sz w:val="21"/>
        </w:rPr>
        <w:t xml:space="preserve">in </w:t>
      </w:r>
      <w:r>
        <w:rPr>
          <w:rFonts w:ascii="Times New Roman;Times;serif" w:hAnsi="Times New Roman;Times;serif"/>
          <w:spacing w:val="-4"/>
          <w:sz w:val="21"/>
        </w:rPr>
        <w:t xml:space="preserve">active markets </w:t>
      </w:r>
      <w:r>
        <w:rPr>
          <w:rFonts w:ascii="Times New Roman;Times;serif" w:hAnsi="Times New Roman;Times;serif"/>
          <w:spacing w:val="-3"/>
          <w:sz w:val="21"/>
        </w:rPr>
        <w:t xml:space="preserve">for identical assets </w:t>
      </w:r>
      <w:r>
        <w:rPr>
          <w:rFonts w:ascii="Times New Roman;Times;serif" w:hAnsi="Times New Roman;Times;serif"/>
          <w:sz w:val="21"/>
        </w:rPr>
        <w:t xml:space="preserve">or </w:t>
      </w:r>
      <w:r>
        <w:rPr>
          <w:rFonts w:ascii="Times New Roman;Times;serif" w:hAnsi="Times New Roman;Times;serif"/>
          <w:spacing w:val="-3"/>
          <w:sz w:val="21"/>
        </w:rPr>
        <w:t xml:space="preserve">liabilities (level </w:t>
      </w:r>
      <w:r>
        <w:rPr>
          <w:rFonts w:ascii="Times New Roman;Times;serif" w:hAnsi="Times New Roman;Times;serif"/>
          <w:sz w:val="21"/>
        </w:rPr>
        <w:t xml:space="preserve">1 </w:t>
      </w:r>
      <w:r>
        <w:rPr>
          <w:rFonts w:ascii="Times New Roman;Times;serif" w:hAnsi="Times New Roman;Times;serif"/>
          <w:spacing w:val="-3"/>
          <w:sz w:val="21"/>
        </w:rPr>
        <w:t xml:space="preserve">measurements) </w:t>
      </w:r>
      <w:r>
        <w:rPr>
          <w:rFonts w:ascii="Times New Roman;Times;serif" w:hAnsi="Times New Roman;Times;serif"/>
          <w:sz w:val="21"/>
        </w:rPr>
        <w:t xml:space="preserve">and the </w:t>
      </w:r>
      <w:r>
        <w:rPr>
          <w:rFonts w:ascii="Times New Roman;Times;serif" w:hAnsi="Times New Roman;Times;serif"/>
          <w:spacing w:val="-3"/>
          <w:sz w:val="21"/>
        </w:rPr>
        <w:t xml:space="preserve">lowest </w:t>
      </w:r>
      <w:r>
        <w:rPr>
          <w:rFonts w:ascii="Times New Roman;Times;serif" w:hAnsi="Times New Roman;Times;serif"/>
          <w:spacing w:val="-4"/>
          <w:sz w:val="21"/>
        </w:rPr>
        <w:t xml:space="preserve">priority </w:t>
      </w:r>
      <w:r>
        <w:rPr>
          <w:rFonts w:ascii="Times New Roman;Times;serif" w:hAnsi="Times New Roman;Times;serif"/>
          <w:spacing w:val="-3"/>
          <w:sz w:val="21"/>
        </w:rPr>
        <w:t xml:space="preserve">to </w:t>
      </w:r>
      <w:r>
        <w:rPr>
          <w:rFonts w:ascii="Times New Roman;Times;serif" w:hAnsi="Times New Roman;Times;serif"/>
          <w:spacing w:val="-4"/>
          <w:sz w:val="21"/>
        </w:rPr>
        <w:t xml:space="preserve">measurements involving significant unobservable inputs (level </w:t>
      </w:r>
      <w:r>
        <w:rPr>
          <w:rFonts w:ascii="Times New Roman;Times;serif" w:hAnsi="Times New Roman;Times;serif"/>
          <w:sz w:val="21"/>
        </w:rPr>
        <w:t>3</w:t>
      </w:r>
      <w:r>
        <w:rPr>
          <w:rFonts w:ascii="Times New Roman;Times;serif" w:hAnsi="Times New Roman;Times;serif"/>
          <w:spacing w:val="-19"/>
          <w:sz w:val="21"/>
        </w:rPr>
        <w:t xml:space="preserve"> </w:t>
      </w:r>
      <w:r>
        <w:rPr>
          <w:rFonts w:ascii="Times New Roman;Times;serif" w:hAnsi="Times New Roman;Times;serif"/>
          <w:spacing w:val="-4"/>
          <w:sz w:val="21"/>
        </w:rPr>
        <w:t>measurements).</w:t>
      </w:r>
    </w:p>
    <w:p>
      <w:pPr>
        <w:pStyle w:val="TextBody"/>
        <w:bidi w:val="0"/>
        <w:spacing w:before="118" w:after="0"/>
        <w:ind w:left="880" w:right="0" w:hanging="0"/>
        <w:jc w:val="left"/>
        <w:rPr>
          <w:rFonts w:ascii="Times New Roman;Times;serif" w:hAnsi="Times New Roman;Times;serif"/>
          <w:sz w:val="21"/>
        </w:rPr>
      </w:pPr>
      <w:r>
        <w:rPr>
          <w:rFonts w:ascii="Times New Roman;Times;serif" w:hAnsi="Times New Roman;Times;serif"/>
          <w:sz w:val="21"/>
        </w:rPr>
        <w:t>The three levels of the fair value hierarchy under the applicable guidance are described below:</w:t>
      </w:r>
    </w:p>
    <w:tbl>
      <w:tblPr>
        <w:tblW w:w="10205" w:type="dxa"/>
        <w:jc w:val="left"/>
        <w:tblInd w:w="0" w:type="dxa"/>
        <w:tblLayout w:type="fixed"/>
        <w:tblCellMar>
          <w:top w:w="0" w:type="dxa"/>
          <w:left w:w="0" w:type="dxa"/>
          <w:bottom w:w="0" w:type="dxa"/>
          <w:right w:w="0" w:type="dxa"/>
        </w:tblCellMar>
      </w:tblPr>
      <w:tblGrid>
        <w:gridCol w:w="23"/>
        <w:gridCol w:w="573"/>
        <w:gridCol w:w="9609"/>
      </w:tblGrid>
      <w:tr>
        <w:trPr/>
        <w:tc>
          <w:tcPr>
            <w:tcW w:w="2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122" w:after="0"/>
              <w:jc w:val="left"/>
              <w:rPr>
                <w:rFonts w:ascii="Times New Roman;Times;serif" w:hAnsi="Times New Roman;Times;serif"/>
                <w:sz w:val="21"/>
              </w:rPr>
            </w:pPr>
            <w:r>
              <w:rPr>
                <w:rFonts w:ascii="Times New Roman;Times;serif" w:hAnsi="Times New Roman;Times;serif"/>
                <w:b/>
                <w:i/>
                <w:spacing w:val="-3"/>
                <w:sz w:val="21"/>
              </w:rPr>
              <w:t>Level</w:t>
            </w:r>
            <w:r>
              <w:rPr>
                <w:rFonts w:ascii="Times New Roman;Times;serif" w:hAnsi="Times New Roman;Times;serif"/>
                <w:spacing w:val="-5"/>
                <w:sz w:val="21"/>
              </w:rPr>
              <w:t xml:space="preserve"> </w:t>
            </w:r>
            <w:r>
              <w:rPr>
                <w:rFonts w:ascii="Times New Roman;Times;serif" w:hAnsi="Times New Roman;Times;serif"/>
                <w:b/>
                <w:i/>
                <w:sz w:val="21"/>
              </w:rPr>
              <w:t>1</w:t>
            </w:r>
          </w:p>
        </w:tc>
        <w:tc>
          <w:tcPr>
            <w:tcW w:w="9609" w:type="dxa"/>
            <w:tcBorders/>
            <w:vAlign w:val="center"/>
          </w:tcPr>
          <w:p>
            <w:pPr>
              <w:pStyle w:val="TableContents"/>
              <w:bidi w:val="0"/>
              <w:spacing w:before="122" w:after="0"/>
              <w:jc w:val="left"/>
              <w:rPr>
                <w:rFonts w:ascii="Times New Roman;Times;serif" w:hAnsi="Times New Roman;Times;serif"/>
                <w:sz w:val="21"/>
              </w:rPr>
            </w:pPr>
            <w:r>
              <w:rPr>
                <w:rFonts w:ascii="Times New Roman;Times;serif" w:hAnsi="Times New Roman;Times;serif"/>
                <w:spacing w:val="-4"/>
                <w:sz w:val="21"/>
              </w:rPr>
              <w:t xml:space="preserve">Inputs </w:t>
            </w:r>
            <w:r>
              <w:rPr>
                <w:rFonts w:ascii="Times New Roman;Times;serif" w:hAnsi="Times New Roman;Times;serif"/>
                <w:sz w:val="21"/>
              </w:rPr>
              <w:t xml:space="preserve">to </w:t>
            </w:r>
            <w:r>
              <w:rPr>
                <w:rFonts w:ascii="Times New Roman;Times;serif" w:hAnsi="Times New Roman;Times;serif"/>
                <w:spacing w:val="-3"/>
                <w:sz w:val="21"/>
              </w:rPr>
              <w:t xml:space="preserve">the </w:t>
            </w:r>
            <w:r>
              <w:rPr>
                <w:rFonts w:ascii="Times New Roman;Times;serif" w:hAnsi="Times New Roman;Times;serif"/>
                <w:spacing w:val="-4"/>
                <w:sz w:val="21"/>
              </w:rPr>
              <w:t xml:space="preserve">valuation methodology </w:t>
            </w:r>
            <w:r>
              <w:rPr>
                <w:rFonts w:ascii="Times New Roman;Times;serif" w:hAnsi="Times New Roman;Times;serif"/>
                <w:spacing w:val="-3"/>
                <w:sz w:val="21"/>
              </w:rPr>
              <w:t xml:space="preserve">are </w:t>
            </w:r>
            <w:r>
              <w:rPr>
                <w:rFonts w:ascii="Times New Roman;Times;serif" w:hAnsi="Times New Roman;Times;serif"/>
                <w:spacing w:val="-4"/>
                <w:sz w:val="21"/>
              </w:rPr>
              <w:t xml:space="preserve">unadjusted quoted prices </w:t>
            </w:r>
            <w:r>
              <w:rPr>
                <w:rFonts w:ascii="Times New Roman;Times;serif" w:hAnsi="Times New Roman;Times;serif"/>
                <w:spacing w:val="-3"/>
                <w:sz w:val="21"/>
              </w:rPr>
              <w:t xml:space="preserve">for </w:t>
            </w:r>
            <w:r>
              <w:rPr>
                <w:rFonts w:ascii="Times New Roman;Times;serif" w:hAnsi="Times New Roman;Times;serif"/>
                <w:spacing w:val="-4"/>
                <w:sz w:val="21"/>
              </w:rPr>
              <w:t xml:space="preserve">identical assets </w:t>
            </w:r>
            <w:r>
              <w:rPr>
                <w:rFonts w:ascii="Times New Roman;Times;serif" w:hAnsi="Times New Roman;Times;serif"/>
                <w:sz w:val="21"/>
              </w:rPr>
              <w:t xml:space="preserve">or </w:t>
            </w:r>
            <w:r>
              <w:rPr>
                <w:rFonts w:ascii="Times New Roman;Times;serif" w:hAnsi="Times New Roman;Times;serif"/>
                <w:spacing w:val="-4"/>
                <w:sz w:val="21"/>
              </w:rPr>
              <w:t xml:space="preserve">liabilities </w:t>
            </w:r>
            <w:r>
              <w:rPr>
                <w:rFonts w:ascii="Times New Roman;Times;serif" w:hAnsi="Times New Roman;Times;serif"/>
                <w:sz w:val="21"/>
              </w:rPr>
              <w:t>in</w:t>
            </w:r>
            <w:r>
              <w:rPr>
                <w:rFonts w:ascii="Times New Roman;Times;serif" w:hAnsi="Times New Roman;Times;serif"/>
                <w:spacing w:val="-6"/>
                <w:sz w:val="21"/>
              </w:rPr>
              <w:t xml:space="preserve"> </w:t>
            </w:r>
            <w:r>
              <w:rPr>
                <w:rFonts w:ascii="Times New Roman;Times;serif" w:hAnsi="Times New Roman;Times;serif"/>
                <w:spacing w:val="-4"/>
                <w:sz w:val="21"/>
              </w:rPr>
              <w:t>active</w:t>
            </w:r>
            <w:r>
              <w:rPr>
                <w:rFonts w:ascii="Times New Roman;Times;serif" w:hAnsi="Times New Roman;Times;serif"/>
                <w:spacing w:val="-6"/>
                <w:sz w:val="21"/>
              </w:rPr>
              <w:t xml:space="preserve"> </w:t>
            </w:r>
            <w:r>
              <w:rPr>
                <w:rFonts w:ascii="Times New Roman;Times;serif" w:hAnsi="Times New Roman;Times;serif"/>
                <w:spacing w:val="-4"/>
                <w:sz w:val="21"/>
              </w:rPr>
              <w:t>markets</w:t>
            </w:r>
            <w:r>
              <w:rPr>
                <w:rFonts w:ascii="Times New Roman;Times;serif" w:hAnsi="Times New Roman;Times;serif"/>
                <w:spacing w:val="-6"/>
                <w:sz w:val="21"/>
              </w:rPr>
              <w:t xml:space="preserve"> </w:t>
            </w:r>
            <w:r>
              <w:rPr>
                <w:rFonts w:ascii="Times New Roman;Times;serif" w:hAnsi="Times New Roman;Times;serif"/>
                <w:spacing w:val="-3"/>
                <w:sz w:val="21"/>
              </w:rPr>
              <w:t>that</w:t>
            </w:r>
            <w:r>
              <w:rPr>
                <w:rFonts w:ascii="Times New Roman;Times;serif" w:hAnsi="Times New Roman;Times;serif"/>
                <w:spacing w:val="-6"/>
                <w:sz w:val="21"/>
              </w:rPr>
              <w:t xml:space="preserve"> </w:t>
            </w:r>
            <w:r>
              <w:rPr>
                <w:rFonts w:ascii="Times New Roman;Times;serif" w:hAnsi="Times New Roman;Times;serif"/>
                <w:spacing w:val="-3"/>
                <w:sz w:val="21"/>
              </w:rPr>
              <w:t>the</w:t>
            </w:r>
            <w:r>
              <w:rPr>
                <w:rFonts w:ascii="Times New Roman;Times;serif" w:hAnsi="Times New Roman;Times;serif"/>
                <w:spacing w:val="-7"/>
                <w:sz w:val="21"/>
              </w:rPr>
              <w:t xml:space="preserve"> </w:t>
            </w:r>
            <w:r>
              <w:rPr>
                <w:rFonts w:ascii="Times New Roman;Times;serif" w:hAnsi="Times New Roman;Times;serif"/>
                <w:spacing w:val="-4"/>
                <w:sz w:val="21"/>
              </w:rPr>
              <w:t>Company</w:t>
            </w:r>
            <w:r>
              <w:rPr>
                <w:rFonts w:ascii="Times New Roman;Times;serif" w:hAnsi="Times New Roman;Times;serif"/>
                <w:spacing w:val="-7"/>
                <w:sz w:val="21"/>
              </w:rPr>
              <w:t xml:space="preserve"> </w:t>
            </w:r>
            <w:r>
              <w:rPr>
                <w:rFonts w:ascii="Times New Roman;Times;serif" w:hAnsi="Times New Roman;Times;serif"/>
                <w:spacing w:val="-3"/>
                <w:sz w:val="21"/>
              </w:rPr>
              <w:t>has</w:t>
            </w:r>
            <w:r>
              <w:rPr>
                <w:rFonts w:ascii="Times New Roman;Times;serif" w:hAnsi="Times New Roman;Times;serif"/>
                <w:spacing w:val="-5"/>
                <w:sz w:val="21"/>
              </w:rPr>
              <w:t xml:space="preserve"> </w:t>
            </w:r>
            <w:r>
              <w:rPr>
                <w:rFonts w:ascii="Times New Roman;Times;serif" w:hAnsi="Times New Roman;Times;serif"/>
                <w:spacing w:val="-3"/>
                <w:sz w:val="21"/>
              </w:rPr>
              <w:t>the</w:t>
            </w:r>
            <w:r>
              <w:rPr>
                <w:rFonts w:ascii="Times New Roman;Times;serif" w:hAnsi="Times New Roman;Times;serif"/>
                <w:spacing w:val="-5"/>
                <w:sz w:val="21"/>
              </w:rPr>
              <w:t xml:space="preserve"> </w:t>
            </w:r>
            <w:r>
              <w:rPr>
                <w:rFonts w:ascii="Times New Roman;Times;serif" w:hAnsi="Times New Roman;Times;serif"/>
                <w:spacing w:val="-4"/>
                <w:sz w:val="21"/>
              </w:rPr>
              <w:t>ability</w:t>
            </w:r>
            <w:r>
              <w:rPr>
                <w:rFonts w:ascii="Times New Roman;Times;serif" w:hAnsi="Times New Roman;Times;serif"/>
                <w:spacing w:val="-9"/>
                <w:sz w:val="21"/>
              </w:rPr>
              <w:t xml:space="preserve"> </w:t>
            </w:r>
            <w:r>
              <w:rPr>
                <w:rFonts w:ascii="Times New Roman;Times;serif" w:hAnsi="Times New Roman;Times;serif"/>
                <w:sz w:val="21"/>
              </w:rPr>
              <w:t>to</w:t>
            </w:r>
            <w:r>
              <w:rPr>
                <w:rFonts w:ascii="Times New Roman;Times;serif" w:hAnsi="Times New Roman;Times;serif"/>
                <w:spacing w:val="-6"/>
                <w:sz w:val="21"/>
              </w:rPr>
              <w:t xml:space="preserve"> </w:t>
            </w:r>
            <w:r>
              <w:rPr>
                <w:rFonts w:ascii="Times New Roman;Times;serif" w:hAnsi="Times New Roman;Times;serif"/>
                <w:spacing w:val="-4"/>
                <w:sz w:val="21"/>
              </w:rPr>
              <w:t>access</w:t>
            </w:r>
            <w:r>
              <w:rPr>
                <w:rFonts w:ascii="Times New Roman;Times;serif" w:hAnsi="Times New Roman;Times;serif"/>
                <w:spacing w:val="-5"/>
                <w:sz w:val="21"/>
              </w:rPr>
              <w:t xml:space="preserve"> </w:t>
            </w:r>
            <w:r>
              <w:rPr>
                <w:rFonts w:ascii="Times New Roman;Times;serif" w:hAnsi="Times New Roman;Times;serif"/>
                <w:sz w:val="21"/>
              </w:rPr>
              <w:t>at</w:t>
            </w:r>
            <w:r>
              <w:rPr>
                <w:rFonts w:ascii="Times New Roman;Times;serif" w:hAnsi="Times New Roman;Times;serif"/>
                <w:spacing w:val="-6"/>
                <w:sz w:val="21"/>
              </w:rPr>
              <w:t xml:space="preserve"> </w:t>
            </w:r>
            <w:r>
              <w:rPr>
                <w:rFonts w:ascii="Times New Roman;Times;serif" w:hAnsi="Times New Roman;Times;serif"/>
                <w:spacing w:val="-3"/>
                <w:sz w:val="21"/>
              </w:rPr>
              <w:t>the</w:t>
            </w:r>
            <w:r>
              <w:rPr>
                <w:rFonts w:ascii="Times New Roman;Times;serif" w:hAnsi="Times New Roman;Times;serif"/>
                <w:spacing w:val="-6"/>
                <w:sz w:val="21"/>
              </w:rPr>
              <w:t xml:space="preserve"> </w:t>
            </w:r>
            <w:r>
              <w:rPr>
                <w:rFonts w:ascii="Times New Roman;Times;serif" w:hAnsi="Times New Roman;Times;serif"/>
                <w:spacing w:val="-4"/>
                <w:sz w:val="21"/>
              </w:rPr>
              <w:t>measurement</w:t>
            </w:r>
            <w:r>
              <w:rPr>
                <w:rFonts w:ascii="Times New Roman;Times;serif" w:hAnsi="Times New Roman;Times;serif"/>
                <w:spacing w:val="-6"/>
                <w:sz w:val="21"/>
              </w:rPr>
              <w:t xml:space="preserve"> </w:t>
            </w:r>
            <w:r>
              <w:rPr>
                <w:rFonts w:ascii="Times New Roman;Times;serif" w:hAnsi="Times New Roman;Times;serif"/>
                <w:spacing w:val="-4"/>
                <w:sz w:val="21"/>
              </w:rPr>
              <w:t>date.</w:t>
            </w:r>
          </w:p>
        </w:tc>
      </w:tr>
    </w:tbl>
    <w:p>
      <w:pPr>
        <w:pStyle w:val="TextBody"/>
        <w:bidi w:val="0"/>
        <w:spacing w:before="118" w:after="0"/>
        <w:ind w:left="880" w:right="0" w:hanging="0"/>
        <w:jc w:val="left"/>
        <w:rPr>
          <w:rFonts w:ascii="Times New Roman;Times;serif" w:hAnsi="Times New Roman;Times;serif"/>
          <w:sz w:val="21"/>
        </w:rPr>
      </w:pPr>
      <w:r>
        <w:rPr>
          <w:rFonts w:ascii="Times New Roman;Times;serif" w:hAnsi="Times New Roman;Times;serif"/>
          <w:b/>
          <w:i/>
          <w:spacing w:val="-3"/>
          <w:sz w:val="21"/>
        </w:rPr>
        <w:t>Level</w:t>
      </w:r>
      <w:r>
        <w:rPr>
          <w:rFonts w:ascii="Times New Roman;Times;serif" w:hAnsi="Times New Roman;Times;serif"/>
          <w:spacing w:val="-5"/>
          <w:sz w:val="21"/>
        </w:rPr>
        <w:t xml:space="preserve"> </w:t>
      </w:r>
      <w:r>
        <w:rPr>
          <w:rFonts w:ascii="Times New Roman;Times;serif" w:hAnsi="Times New Roman;Times;serif"/>
          <w:b/>
          <w:i/>
          <w:sz w:val="21"/>
        </w:rPr>
        <w:t>2</w:t>
      </w:r>
      <w:r>
        <w:rPr>
          <w:rFonts w:ascii="Times New Roman;Times;serif" w:hAnsi="Times New Roman;Times;serif"/>
          <w:spacing w:val="-4"/>
          <w:sz w:val="21"/>
        </w:rPr>
        <w:t xml:space="preserve">Inputs </w:t>
      </w:r>
      <w:r>
        <w:rPr>
          <w:rFonts w:ascii="Times New Roman;Times;serif" w:hAnsi="Times New Roman;Times;serif"/>
          <w:sz w:val="21"/>
        </w:rPr>
        <w:t xml:space="preserve">to </w:t>
      </w:r>
      <w:r>
        <w:rPr>
          <w:rFonts w:ascii="Times New Roman;Times;serif" w:hAnsi="Times New Roman;Times;serif"/>
          <w:spacing w:val="-3"/>
          <w:sz w:val="21"/>
        </w:rPr>
        <w:t xml:space="preserve">the </w:t>
      </w:r>
      <w:r>
        <w:rPr>
          <w:rFonts w:ascii="Times New Roman;Times;serif" w:hAnsi="Times New Roman;Times;serif"/>
          <w:spacing w:val="-4"/>
          <w:sz w:val="21"/>
        </w:rPr>
        <w:t>valuation methodology</w:t>
      </w:r>
      <w:r>
        <w:rPr>
          <w:rFonts w:ascii="Times New Roman;Times;serif" w:hAnsi="Times New Roman;Times;serif"/>
          <w:spacing w:val="-23"/>
          <w:sz w:val="21"/>
        </w:rPr>
        <w:t xml:space="preserve"> </w:t>
      </w:r>
      <w:r>
        <w:rPr>
          <w:rFonts w:ascii="Times New Roman;Times;serif" w:hAnsi="Times New Roman;Times;serif"/>
          <w:spacing w:val="-4"/>
          <w:sz w:val="21"/>
        </w:rPr>
        <w:t>include:</w:t>
      </w:r>
    </w:p>
    <w:tbl>
      <w:tblPr>
        <w:tblW w:w="5859" w:type="dxa"/>
        <w:jc w:val="left"/>
        <w:tblInd w:w="0" w:type="dxa"/>
        <w:tblLayout w:type="fixed"/>
        <w:tblCellMar>
          <w:top w:w="0" w:type="dxa"/>
          <w:left w:w="0" w:type="dxa"/>
          <w:bottom w:w="0" w:type="dxa"/>
          <w:right w:w="0" w:type="dxa"/>
        </w:tblCellMar>
      </w:tblPr>
      <w:tblGrid>
        <w:gridCol w:w="23"/>
        <w:gridCol w:w="200"/>
        <w:gridCol w:w="5636"/>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56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2"/>
              </w:rPr>
              <w:t xml:space="preserve">Quoted prices </w:t>
            </w:r>
            <w:r>
              <w:rPr>
                <w:rFonts w:ascii="Times New Roman;Times;serif" w:hAnsi="Times New Roman;Times;serif"/>
                <w:b w:val="false"/>
                <w:i w:val="false"/>
                <w:caps w:val="false"/>
                <w:smallCaps w:val="false"/>
                <w:spacing w:val="-3"/>
                <w:sz w:val="22"/>
              </w:rPr>
              <w:t xml:space="preserve">for </w:t>
            </w:r>
            <w:r>
              <w:rPr>
                <w:rFonts w:ascii="Times New Roman;Times;serif" w:hAnsi="Times New Roman;Times;serif"/>
                <w:b w:val="false"/>
                <w:i w:val="false"/>
                <w:caps w:val="false"/>
                <w:smallCaps w:val="false"/>
                <w:spacing w:val="-4"/>
                <w:sz w:val="22"/>
              </w:rPr>
              <w:t xml:space="preserve">similar assets </w:t>
            </w:r>
            <w:r>
              <w:rPr>
                <w:rFonts w:ascii="Times New Roman;Times;serif" w:hAnsi="Times New Roman;Times;serif"/>
                <w:b w:val="false"/>
                <w:i w:val="false"/>
                <w:caps w:val="false"/>
                <w:smallCaps w:val="false"/>
                <w:sz w:val="22"/>
              </w:rPr>
              <w:t xml:space="preserve">or </w:t>
            </w:r>
            <w:r>
              <w:rPr>
                <w:rFonts w:ascii="Times New Roman;Times;serif" w:hAnsi="Times New Roman;Times;serif"/>
                <w:b w:val="false"/>
                <w:i w:val="false"/>
                <w:caps w:val="false"/>
                <w:smallCaps w:val="false"/>
                <w:spacing w:val="-4"/>
                <w:sz w:val="22"/>
              </w:rPr>
              <w:t xml:space="preserve">liabilities </w:t>
            </w:r>
            <w:r>
              <w:rPr>
                <w:rFonts w:ascii="Times New Roman;Times;serif" w:hAnsi="Times New Roman;Times;serif"/>
                <w:b w:val="false"/>
                <w:i w:val="false"/>
                <w:caps w:val="false"/>
                <w:smallCaps w:val="false"/>
                <w:sz w:val="22"/>
              </w:rPr>
              <w:t xml:space="preserve">in </w:t>
            </w:r>
            <w:r>
              <w:rPr>
                <w:rFonts w:ascii="Times New Roman;Times;serif" w:hAnsi="Times New Roman;Times;serif"/>
                <w:b w:val="false"/>
                <w:i w:val="false"/>
                <w:caps w:val="false"/>
                <w:smallCaps w:val="false"/>
                <w:spacing w:val="-4"/>
                <w:sz w:val="22"/>
              </w:rPr>
              <w:t>active</w:t>
            </w:r>
            <w:r>
              <w:rPr>
                <w:caps w:val="false"/>
                <w:smallCaps w:val="false"/>
                <w:spacing w:val="-36"/>
              </w:rPr>
              <w:t xml:space="preserve"> </w:t>
            </w:r>
            <w:r>
              <w:rPr>
                <w:rFonts w:ascii="Times New Roman;Times;serif" w:hAnsi="Times New Roman;Times;serif"/>
                <w:b w:val="false"/>
                <w:i w:val="false"/>
                <w:caps w:val="false"/>
                <w:smallCaps w:val="false"/>
                <w:spacing w:val="-4"/>
                <w:sz w:val="22"/>
              </w:rPr>
              <w:t>markets;</w:t>
            </w:r>
          </w:p>
        </w:tc>
      </w:tr>
    </w:tbl>
    <w:tbl>
      <w:tblPr>
        <w:tblW w:w="7124" w:type="dxa"/>
        <w:jc w:val="left"/>
        <w:tblInd w:w="0" w:type="dxa"/>
        <w:tblLayout w:type="fixed"/>
        <w:tblCellMar>
          <w:top w:w="0" w:type="dxa"/>
          <w:left w:w="0" w:type="dxa"/>
          <w:bottom w:w="0" w:type="dxa"/>
          <w:right w:w="0" w:type="dxa"/>
        </w:tblCellMar>
      </w:tblPr>
      <w:tblGrid>
        <w:gridCol w:w="23"/>
        <w:gridCol w:w="215"/>
        <w:gridCol w:w="6886"/>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6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2"/>
              </w:rPr>
              <w:t xml:space="preserve">Quoted prices </w:t>
            </w:r>
            <w:r>
              <w:rPr>
                <w:rFonts w:ascii="Times New Roman;Times;serif" w:hAnsi="Times New Roman;Times;serif"/>
                <w:b w:val="false"/>
                <w:i w:val="false"/>
                <w:caps w:val="false"/>
                <w:smallCaps w:val="false"/>
                <w:spacing w:val="-3"/>
                <w:sz w:val="22"/>
              </w:rPr>
              <w:t xml:space="preserve">for </w:t>
            </w:r>
            <w:r>
              <w:rPr>
                <w:rFonts w:ascii="Times New Roman;Times;serif" w:hAnsi="Times New Roman;Times;serif"/>
                <w:b w:val="false"/>
                <w:i w:val="false"/>
                <w:caps w:val="false"/>
                <w:smallCaps w:val="false"/>
                <w:spacing w:val="-4"/>
                <w:sz w:val="22"/>
              </w:rPr>
              <w:t xml:space="preserve">identical </w:t>
            </w:r>
            <w:r>
              <w:rPr>
                <w:rFonts w:ascii="Times New Roman;Times;serif" w:hAnsi="Times New Roman;Times;serif"/>
                <w:b w:val="false"/>
                <w:i w:val="false"/>
                <w:caps w:val="false"/>
                <w:smallCaps w:val="false"/>
                <w:sz w:val="22"/>
              </w:rPr>
              <w:t xml:space="preserve">or </w:t>
            </w:r>
            <w:r>
              <w:rPr>
                <w:rFonts w:ascii="Times New Roman;Times;serif" w:hAnsi="Times New Roman;Times;serif"/>
                <w:b w:val="false"/>
                <w:i w:val="false"/>
                <w:caps w:val="false"/>
                <w:smallCaps w:val="false"/>
                <w:spacing w:val="-4"/>
                <w:sz w:val="22"/>
              </w:rPr>
              <w:t xml:space="preserve">similar assets </w:t>
            </w:r>
            <w:r>
              <w:rPr>
                <w:rFonts w:ascii="Times New Roman;Times;serif" w:hAnsi="Times New Roman;Times;serif"/>
                <w:b w:val="false"/>
                <w:i w:val="false"/>
                <w:caps w:val="false"/>
                <w:smallCaps w:val="false"/>
                <w:sz w:val="22"/>
              </w:rPr>
              <w:t xml:space="preserve">or </w:t>
            </w:r>
            <w:r>
              <w:rPr>
                <w:rFonts w:ascii="Times New Roman;Times;serif" w:hAnsi="Times New Roman;Times;serif"/>
                <w:b w:val="false"/>
                <w:i w:val="false"/>
                <w:caps w:val="false"/>
                <w:smallCaps w:val="false"/>
                <w:spacing w:val="-4"/>
                <w:sz w:val="22"/>
              </w:rPr>
              <w:t xml:space="preserve">liabilities </w:t>
            </w:r>
            <w:r>
              <w:rPr>
                <w:rFonts w:ascii="Times New Roman;Times;serif" w:hAnsi="Times New Roman;Times;serif"/>
                <w:b w:val="false"/>
                <w:i w:val="false"/>
                <w:caps w:val="false"/>
                <w:smallCaps w:val="false"/>
                <w:sz w:val="22"/>
              </w:rPr>
              <w:t xml:space="preserve">in </w:t>
            </w:r>
            <w:r>
              <w:rPr>
                <w:rFonts w:ascii="Times New Roman;Times;serif" w:hAnsi="Times New Roman;Times;serif"/>
                <w:b w:val="false"/>
                <w:i w:val="false"/>
                <w:caps w:val="false"/>
                <w:smallCaps w:val="false"/>
                <w:spacing w:val="-4"/>
                <w:sz w:val="22"/>
              </w:rPr>
              <w:t>inactive</w:t>
            </w:r>
            <w:r>
              <w:rPr>
                <w:caps w:val="false"/>
                <w:smallCaps w:val="false"/>
                <w:spacing w:val="-11"/>
              </w:rPr>
              <w:t xml:space="preserve"> </w:t>
            </w:r>
            <w:r>
              <w:rPr>
                <w:rFonts w:ascii="Times New Roman;Times;serif" w:hAnsi="Times New Roman;Times;serif"/>
                <w:b w:val="false"/>
                <w:i w:val="false"/>
                <w:caps w:val="false"/>
                <w:smallCaps w:val="false"/>
                <w:spacing w:val="-4"/>
                <w:sz w:val="22"/>
              </w:rPr>
              <w:t>markets;</w:t>
            </w:r>
          </w:p>
        </w:tc>
      </w:tr>
    </w:tbl>
    <w:tbl>
      <w:tblPr>
        <w:tblW w:w="7052" w:type="dxa"/>
        <w:jc w:val="left"/>
        <w:tblInd w:w="0" w:type="dxa"/>
        <w:tblLayout w:type="fixed"/>
        <w:tblCellMar>
          <w:top w:w="0" w:type="dxa"/>
          <w:left w:w="0" w:type="dxa"/>
          <w:bottom w:w="0" w:type="dxa"/>
          <w:right w:w="0" w:type="dxa"/>
        </w:tblCellMar>
      </w:tblPr>
      <w:tblGrid>
        <w:gridCol w:w="23"/>
        <w:gridCol w:w="200"/>
        <w:gridCol w:w="6829"/>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682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2"/>
              </w:rPr>
              <w:t xml:space="preserve">Inputs other </w:t>
            </w:r>
            <w:r>
              <w:rPr>
                <w:rFonts w:ascii="Times New Roman;Times;serif" w:hAnsi="Times New Roman;Times;serif"/>
                <w:b w:val="false"/>
                <w:i w:val="false"/>
                <w:caps w:val="false"/>
                <w:smallCaps w:val="false"/>
                <w:spacing w:val="-3"/>
                <w:sz w:val="22"/>
              </w:rPr>
              <w:t xml:space="preserve">than </w:t>
            </w:r>
            <w:r>
              <w:rPr>
                <w:rFonts w:ascii="Times New Roman;Times;serif" w:hAnsi="Times New Roman;Times;serif"/>
                <w:b w:val="false"/>
                <w:i w:val="false"/>
                <w:caps w:val="false"/>
                <w:smallCaps w:val="false"/>
                <w:spacing w:val="-4"/>
                <w:sz w:val="22"/>
              </w:rPr>
              <w:t xml:space="preserve">quoted prices </w:t>
            </w:r>
            <w:r>
              <w:rPr>
                <w:rFonts w:ascii="Times New Roman;Times;serif" w:hAnsi="Times New Roman;Times;serif"/>
                <w:b w:val="false"/>
                <w:i w:val="false"/>
                <w:caps w:val="false"/>
                <w:smallCaps w:val="false"/>
                <w:spacing w:val="-3"/>
                <w:sz w:val="22"/>
              </w:rPr>
              <w:t xml:space="preserve">that are </w:t>
            </w:r>
            <w:r>
              <w:rPr>
                <w:rFonts w:ascii="Times New Roman;Times;serif" w:hAnsi="Times New Roman;Times;serif"/>
                <w:b w:val="false"/>
                <w:i w:val="false"/>
                <w:caps w:val="false"/>
                <w:smallCaps w:val="false"/>
                <w:spacing w:val="-4"/>
                <w:sz w:val="22"/>
              </w:rPr>
              <w:t xml:space="preserve">observable </w:t>
            </w:r>
            <w:r>
              <w:rPr>
                <w:rFonts w:ascii="Times New Roman;Times;serif" w:hAnsi="Times New Roman;Times;serif"/>
                <w:b w:val="false"/>
                <w:i w:val="false"/>
                <w:caps w:val="false"/>
                <w:smallCaps w:val="false"/>
                <w:spacing w:val="-3"/>
                <w:sz w:val="22"/>
              </w:rPr>
              <w:t xml:space="preserve">for the </w:t>
            </w:r>
            <w:r>
              <w:rPr>
                <w:rFonts w:ascii="Times New Roman;Times;serif" w:hAnsi="Times New Roman;Times;serif"/>
                <w:b w:val="false"/>
                <w:i w:val="false"/>
                <w:caps w:val="false"/>
                <w:smallCaps w:val="false"/>
                <w:spacing w:val="-4"/>
                <w:sz w:val="22"/>
              </w:rPr>
              <w:t xml:space="preserve">asset </w:t>
            </w:r>
            <w:r>
              <w:rPr>
                <w:rFonts w:ascii="Times New Roman;Times;serif" w:hAnsi="Times New Roman;Times;serif"/>
                <w:b w:val="false"/>
                <w:i w:val="false"/>
                <w:caps w:val="false"/>
                <w:smallCaps w:val="false"/>
                <w:sz w:val="22"/>
              </w:rPr>
              <w:t xml:space="preserve">or </w:t>
            </w:r>
            <w:r>
              <w:rPr>
                <w:rFonts w:ascii="Times New Roman;Times;serif" w:hAnsi="Times New Roman;Times;serif"/>
                <w:b w:val="false"/>
                <w:i w:val="false"/>
                <w:caps w:val="false"/>
                <w:smallCaps w:val="false"/>
                <w:spacing w:val="-4"/>
                <w:sz w:val="22"/>
              </w:rPr>
              <w:t>liability;</w:t>
            </w:r>
          </w:p>
        </w:tc>
      </w:tr>
    </w:tbl>
    <w:tbl>
      <w:tblPr>
        <w:tblW w:w="10205" w:type="dxa"/>
        <w:jc w:val="left"/>
        <w:tblInd w:w="0" w:type="dxa"/>
        <w:tblLayout w:type="fixed"/>
        <w:tblCellMar>
          <w:top w:w="0" w:type="dxa"/>
          <w:left w:w="0" w:type="dxa"/>
          <w:bottom w:w="0" w:type="dxa"/>
          <w:right w:w="0" w:type="dxa"/>
        </w:tblCellMar>
      </w:tblPr>
      <w:tblGrid>
        <w:gridCol w:w="23"/>
        <w:gridCol w:w="209"/>
        <w:gridCol w:w="994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994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xml:space="preserve">Inputs that are derived principally from or corroborated by observable market data </w:t>
            </w:r>
            <w:r>
              <w:rPr>
                <w:rFonts w:ascii="Times New Roman;Times;serif" w:hAnsi="Times New Roman;Times;serif"/>
                <w:b w:val="false"/>
                <w:i w:val="false"/>
                <w:caps w:val="false"/>
                <w:smallCaps w:val="false"/>
                <w:spacing w:val="-3"/>
                <w:sz w:val="22"/>
              </w:rPr>
              <w:t xml:space="preserve">by </w:t>
            </w:r>
            <w:r>
              <w:rPr>
                <w:rFonts w:ascii="Times New Roman;Times;serif" w:hAnsi="Times New Roman;Times;serif"/>
                <w:b w:val="false"/>
                <w:i w:val="false"/>
                <w:caps w:val="false"/>
                <w:smallCaps w:val="false"/>
                <w:sz w:val="22"/>
              </w:rPr>
              <w:t>correlation or other</w:t>
            </w:r>
            <w:r>
              <w:rPr>
                <w:caps w:val="false"/>
                <w:smallCaps w:val="false"/>
                <w:spacing w:val="-4"/>
              </w:rPr>
              <w:t xml:space="preserve"> </w:t>
            </w:r>
            <w:r>
              <w:rPr>
                <w:rFonts w:ascii="Times New Roman;Times;serif" w:hAnsi="Times New Roman;Times;serif"/>
                <w:b w:val="false"/>
                <w:i w:val="false"/>
                <w:caps w:val="false"/>
                <w:smallCaps w:val="false"/>
                <w:sz w:val="22"/>
              </w:rPr>
              <w:t>means.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19" w:after="0"/>
        <w:ind w:left="880" w:right="254" w:hanging="0"/>
        <w:jc w:val="left"/>
        <w:rPr>
          <w:rFonts w:ascii="Times New Roman;Times;serif" w:hAnsi="Times New Roman;Times;serif"/>
          <w:sz w:val="21"/>
        </w:rPr>
      </w:pPr>
      <w:r>
        <w:rPr>
          <w:rFonts w:ascii="Times New Roman;Times;serif" w:hAnsi="Times New Roman;Times;serif"/>
          <w:sz w:val="21"/>
        </w:rPr>
        <w:t xml:space="preserve">If the </w:t>
      </w:r>
      <w:r>
        <w:rPr>
          <w:rFonts w:ascii="Times New Roman;Times;serif" w:hAnsi="Times New Roman;Times;serif"/>
          <w:spacing w:val="-4"/>
          <w:sz w:val="21"/>
        </w:rPr>
        <w:t xml:space="preserve">asset </w:t>
      </w:r>
      <w:r>
        <w:rPr>
          <w:rFonts w:ascii="Times New Roman;Times;serif" w:hAnsi="Times New Roman;Times;serif"/>
          <w:sz w:val="21"/>
        </w:rPr>
        <w:t xml:space="preserve">or </w:t>
      </w:r>
      <w:r>
        <w:rPr>
          <w:rFonts w:ascii="Times New Roman;Times;serif" w:hAnsi="Times New Roman;Times;serif"/>
          <w:spacing w:val="-3"/>
          <w:sz w:val="21"/>
        </w:rPr>
        <w:t xml:space="preserve">liability has </w:t>
      </w:r>
      <w:r>
        <w:rPr>
          <w:rFonts w:ascii="Times New Roman;Times;serif" w:hAnsi="Times New Roman;Times;serif"/>
          <w:sz w:val="21"/>
        </w:rPr>
        <w:t xml:space="preserve">a </w:t>
      </w:r>
      <w:r>
        <w:rPr>
          <w:rFonts w:ascii="Times New Roman;Times;serif" w:hAnsi="Times New Roman;Times;serif"/>
          <w:spacing w:val="-4"/>
          <w:sz w:val="21"/>
        </w:rPr>
        <w:t xml:space="preserve">specified (contractual) </w:t>
      </w:r>
      <w:r>
        <w:rPr>
          <w:rFonts w:ascii="Times New Roman;Times;serif" w:hAnsi="Times New Roman;Times;serif"/>
          <w:spacing w:val="-3"/>
          <w:sz w:val="21"/>
        </w:rPr>
        <w:t xml:space="preserve">term, </w:t>
      </w:r>
      <w:r>
        <w:rPr>
          <w:rFonts w:ascii="Times New Roman;Times;serif" w:hAnsi="Times New Roman;Times;serif"/>
          <w:sz w:val="21"/>
        </w:rPr>
        <w:t xml:space="preserve">the </w:t>
      </w:r>
      <w:r>
        <w:rPr>
          <w:rFonts w:ascii="Times New Roman;Times;serif" w:hAnsi="Times New Roman;Times;serif"/>
          <w:spacing w:val="-4"/>
          <w:sz w:val="21"/>
        </w:rPr>
        <w:t xml:space="preserve">level </w:t>
      </w:r>
      <w:r>
        <w:rPr>
          <w:rFonts w:ascii="Times New Roman;Times;serif" w:hAnsi="Times New Roman;Times;serif"/>
          <w:sz w:val="21"/>
        </w:rPr>
        <w:t xml:space="preserve">2 </w:t>
      </w:r>
      <w:r>
        <w:rPr>
          <w:rFonts w:ascii="Times New Roman;Times;serif" w:hAnsi="Times New Roman;Times;serif"/>
          <w:spacing w:val="-4"/>
          <w:sz w:val="21"/>
        </w:rPr>
        <w:t xml:space="preserve">input </w:t>
      </w:r>
      <w:r>
        <w:rPr>
          <w:rFonts w:ascii="Times New Roman;Times;serif" w:hAnsi="Times New Roman;Times;serif"/>
          <w:spacing w:val="-3"/>
          <w:sz w:val="21"/>
        </w:rPr>
        <w:t xml:space="preserve">must </w:t>
      </w:r>
      <w:r>
        <w:rPr>
          <w:rFonts w:ascii="Times New Roman;Times;serif" w:hAnsi="Times New Roman;Times;serif"/>
          <w:sz w:val="21"/>
        </w:rPr>
        <w:t xml:space="preserve">be </w:t>
      </w:r>
      <w:r>
        <w:rPr>
          <w:rFonts w:ascii="Times New Roman;Times;serif" w:hAnsi="Times New Roman;Times;serif"/>
          <w:spacing w:val="-4"/>
          <w:sz w:val="21"/>
        </w:rPr>
        <w:t xml:space="preserve">observable </w:t>
      </w:r>
      <w:r>
        <w:rPr>
          <w:rFonts w:ascii="Times New Roman;Times;serif" w:hAnsi="Times New Roman;Times;serif"/>
          <w:spacing w:val="-3"/>
          <w:sz w:val="21"/>
        </w:rPr>
        <w:t xml:space="preserve">for </w:t>
      </w:r>
      <w:r>
        <w:rPr>
          <w:rFonts w:ascii="Times New Roman;Times;serif" w:hAnsi="Times New Roman;Times;serif"/>
          <w:spacing w:val="-4"/>
          <w:sz w:val="21"/>
        </w:rPr>
        <w:t xml:space="preserve">substantially </w:t>
      </w:r>
      <w:r>
        <w:rPr>
          <w:rFonts w:ascii="Times New Roman;Times;serif" w:hAnsi="Times New Roman;Times;serif"/>
          <w:spacing w:val="-3"/>
          <w:sz w:val="21"/>
        </w:rPr>
        <w:t xml:space="preserve">the full term </w:t>
      </w:r>
      <w:r>
        <w:rPr>
          <w:rFonts w:ascii="Times New Roman;Times;serif" w:hAnsi="Times New Roman;Times;serif"/>
          <w:sz w:val="21"/>
        </w:rPr>
        <w:t xml:space="preserve">of </w:t>
      </w:r>
      <w:r>
        <w:rPr>
          <w:rFonts w:ascii="Times New Roman;Times;serif" w:hAnsi="Times New Roman;Times;serif"/>
          <w:spacing w:val="-3"/>
          <w:sz w:val="21"/>
        </w:rPr>
        <w:t xml:space="preserve">the </w:t>
      </w:r>
      <w:r>
        <w:rPr>
          <w:rFonts w:ascii="Times New Roman;Times;serif" w:hAnsi="Times New Roman;Times;serif"/>
          <w:spacing w:val="-4"/>
          <w:sz w:val="21"/>
        </w:rPr>
        <w:t xml:space="preserve">asset </w:t>
      </w:r>
      <w:r>
        <w:rPr>
          <w:rFonts w:ascii="Times New Roman;Times;serif" w:hAnsi="Times New Roman;Times;serif"/>
          <w:sz w:val="21"/>
        </w:rPr>
        <w:t xml:space="preserve">or </w:t>
      </w:r>
      <w:r>
        <w:rPr>
          <w:rFonts w:ascii="Times New Roman;Times;serif" w:hAnsi="Times New Roman;Times;serif"/>
          <w:spacing w:val="-4"/>
          <w:sz w:val="21"/>
        </w:rPr>
        <w:t>liability.</w:t>
      </w:r>
    </w:p>
    <w:tbl>
      <w:tblPr>
        <w:tblW w:w="8935" w:type="dxa"/>
        <w:jc w:val="left"/>
        <w:tblInd w:w="0" w:type="dxa"/>
        <w:tblLayout w:type="fixed"/>
        <w:tblCellMar>
          <w:top w:w="0" w:type="dxa"/>
          <w:left w:w="0" w:type="dxa"/>
          <w:bottom w:w="0" w:type="dxa"/>
          <w:right w:w="0" w:type="dxa"/>
        </w:tblCellMar>
      </w:tblPr>
      <w:tblGrid>
        <w:gridCol w:w="23"/>
        <w:gridCol w:w="638"/>
        <w:gridCol w:w="8274"/>
      </w:tblGrid>
      <w:tr>
        <w:trPr/>
        <w:tc>
          <w:tcPr>
            <w:tcW w:w="2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121" w:after="0"/>
              <w:jc w:val="left"/>
              <w:rPr>
                <w:rFonts w:ascii="Times New Roman;Times;serif" w:hAnsi="Times New Roman;Times;serif"/>
                <w:sz w:val="21"/>
              </w:rPr>
            </w:pPr>
            <w:r>
              <w:rPr>
                <w:rFonts w:ascii="Times New Roman;Times;serif" w:hAnsi="Times New Roman;Times;serif"/>
                <w:b/>
                <w:i/>
                <w:spacing w:val="-3"/>
                <w:sz w:val="21"/>
              </w:rPr>
              <w:t>Level</w:t>
            </w:r>
            <w:r>
              <w:rPr>
                <w:rFonts w:ascii="Times New Roman;Times;serif" w:hAnsi="Times New Roman;Times;serif"/>
                <w:spacing w:val="-5"/>
                <w:sz w:val="21"/>
              </w:rPr>
              <w:t xml:space="preserve"> </w:t>
            </w:r>
            <w:r>
              <w:rPr>
                <w:rFonts w:ascii="Times New Roman;Times;serif" w:hAnsi="Times New Roman;Times;serif"/>
                <w:b/>
                <w:i/>
                <w:sz w:val="21"/>
              </w:rPr>
              <w:t>3</w:t>
            </w:r>
          </w:p>
        </w:tc>
        <w:tc>
          <w:tcPr>
            <w:tcW w:w="8274" w:type="dxa"/>
            <w:tcBorders/>
            <w:vAlign w:val="center"/>
          </w:tcPr>
          <w:p>
            <w:pPr>
              <w:pStyle w:val="TableContents"/>
              <w:bidi w:val="0"/>
              <w:spacing w:before="121" w:after="0"/>
              <w:jc w:val="left"/>
              <w:rPr>
                <w:rFonts w:ascii="Times New Roman;Times;serif" w:hAnsi="Times New Roman;Times;serif"/>
                <w:sz w:val="21"/>
              </w:rPr>
            </w:pPr>
            <w:r>
              <w:rPr>
                <w:rFonts w:ascii="Times New Roman;Times;serif" w:hAnsi="Times New Roman;Times;serif"/>
                <w:spacing w:val="-4"/>
                <w:sz w:val="21"/>
              </w:rPr>
              <w:t xml:space="preserve">Inputs </w:t>
            </w:r>
            <w:r>
              <w:rPr>
                <w:rFonts w:ascii="Times New Roman;Times;serif" w:hAnsi="Times New Roman;Times;serif"/>
                <w:sz w:val="21"/>
              </w:rPr>
              <w:t xml:space="preserve">to the </w:t>
            </w:r>
            <w:r>
              <w:rPr>
                <w:rFonts w:ascii="Times New Roman;Times;serif" w:hAnsi="Times New Roman;Times;serif"/>
                <w:spacing w:val="-4"/>
                <w:sz w:val="21"/>
              </w:rPr>
              <w:t xml:space="preserve">valuation methodology </w:t>
            </w:r>
            <w:r>
              <w:rPr>
                <w:rFonts w:ascii="Times New Roman;Times;serif" w:hAnsi="Times New Roman;Times;serif"/>
                <w:spacing w:val="-3"/>
                <w:sz w:val="21"/>
              </w:rPr>
              <w:t xml:space="preserve">are </w:t>
            </w:r>
            <w:r>
              <w:rPr>
                <w:rFonts w:ascii="Times New Roman;Times;serif" w:hAnsi="Times New Roman;Times;serif"/>
                <w:spacing w:val="-4"/>
                <w:sz w:val="21"/>
              </w:rPr>
              <w:t xml:space="preserve">unobservable </w:t>
            </w:r>
            <w:r>
              <w:rPr>
                <w:rFonts w:ascii="Times New Roman;Times;serif" w:hAnsi="Times New Roman;Times;serif"/>
                <w:sz w:val="21"/>
              </w:rPr>
              <w:t xml:space="preserve">and </w:t>
            </w:r>
            <w:r>
              <w:rPr>
                <w:rFonts w:ascii="Times New Roman;Times;serif" w:hAnsi="Times New Roman;Times;serif"/>
                <w:spacing w:val="-4"/>
                <w:sz w:val="21"/>
              </w:rPr>
              <w:t xml:space="preserve">significant </w:t>
            </w:r>
            <w:r>
              <w:rPr>
                <w:rFonts w:ascii="Times New Roman;Times;serif" w:hAnsi="Times New Roman;Times;serif"/>
                <w:sz w:val="21"/>
              </w:rPr>
              <w:t xml:space="preserve">to the </w:t>
            </w:r>
            <w:r>
              <w:rPr>
                <w:rFonts w:ascii="Times New Roman;Times;serif" w:hAnsi="Times New Roman;Times;serif"/>
                <w:spacing w:val="-3"/>
                <w:sz w:val="21"/>
              </w:rPr>
              <w:t xml:space="preserve">fair </w:t>
            </w:r>
            <w:r>
              <w:rPr>
                <w:rFonts w:ascii="Times New Roman;Times;serif" w:hAnsi="Times New Roman;Times;serif"/>
                <w:spacing w:val="-4"/>
                <w:sz w:val="21"/>
              </w:rPr>
              <w:t>value measurement.</w:t>
            </w:r>
          </w:p>
        </w:tc>
      </w:tr>
    </w:tbl>
    <w:p>
      <w:pPr>
        <w:pStyle w:val="TextBody"/>
        <w:bidi w:val="0"/>
        <w:spacing w:before="118" w:after="0"/>
        <w:ind w:left="880" w:right="257" w:hanging="0"/>
        <w:jc w:val="both"/>
        <w:rPr>
          <w:rFonts w:ascii="Times New Roman;Times;serif" w:hAnsi="Times New Roman;Times;serif"/>
          <w:sz w:val="21"/>
        </w:rPr>
      </w:pPr>
      <w:r>
        <w:rPr>
          <w:rFonts w:ascii="Times New Roman;Times;serif" w:hAnsi="Times New Roman;Times;serif"/>
          <w:sz w:val="21"/>
        </w:rPr>
        <w:t>The</w:t>
      </w:r>
      <w:r>
        <w:rPr>
          <w:rFonts w:ascii="Times New Roman;Times;serif" w:hAnsi="Times New Roman;Times;serif"/>
          <w:spacing w:val="-5"/>
          <w:sz w:val="21"/>
        </w:rPr>
        <w:t xml:space="preserve"> </w:t>
      </w:r>
      <w:r>
        <w:rPr>
          <w:rFonts w:ascii="Times New Roman;Times;serif" w:hAnsi="Times New Roman;Times;serif"/>
          <w:spacing w:val="-3"/>
          <w:sz w:val="21"/>
        </w:rPr>
        <w:t>level</w:t>
      </w:r>
      <w:r>
        <w:rPr>
          <w:rFonts w:ascii="Times New Roman;Times;serif" w:hAnsi="Times New Roman;Times;serif"/>
          <w:spacing w:val="-4"/>
          <w:sz w:val="21"/>
        </w:rPr>
        <w:t xml:space="preserve"> </w:t>
      </w:r>
      <w:r>
        <w:rPr>
          <w:rFonts w:ascii="Times New Roman;Times;serif" w:hAnsi="Times New Roman;Times;serif"/>
          <w:sz w:val="21"/>
        </w:rPr>
        <w:t>in</w:t>
      </w:r>
      <w:r>
        <w:rPr>
          <w:rFonts w:ascii="Times New Roman;Times;serif" w:hAnsi="Times New Roman;Times;serif"/>
          <w:spacing w:val="-4"/>
          <w:sz w:val="21"/>
        </w:rPr>
        <w:t xml:space="preserve"> </w:t>
      </w:r>
      <w:r>
        <w:rPr>
          <w:rFonts w:ascii="Times New Roman;Times;serif" w:hAnsi="Times New Roman;Times;serif"/>
          <w:sz w:val="21"/>
        </w:rPr>
        <w:t>the</w:t>
      </w:r>
      <w:r>
        <w:rPr>
          <w:rFonts w:ascii="Times New Roman;Times;serif" w:hAnsi="Times New Roman;Times;serif"/>
          <w:spacing w:val="-4"/>
          <w:sz w:val="21"/>
        </w:rPr>
        <w:t xml:space="preserve"> </w:t>
      </w:r>
      <w:r>
        <w:rPr>
          <w:rFonts w:ascii="Times New Roman;Times;serif" w:hAnsi="Times New Roman;Times;serif"/>
          <w:spacing w:val="-3"/>
          <w:sz w:val="21"/>
        </w:rPr>
        <w:t>fair</w:t>
      </w:r>
      <w:r>
        <w:rPr>
          <w:rFonts w:ascii="Times New Roman;Times;serif" w:hAnsi="Times New Roman;Times;serif"/>
          <w:spacing w:val="-4"/>
          <w:sz w:val="21"/>
        </w:rPr>
        <w:t xml:space="preserve"> </w:t>
      </w:r>
      <w:r>
        <w:rPr>
          <w:rFonts w:ascii="Times New Roman;Times;serif" w:hAnsi="Times New Roman;Times;serif"/>
          <w:spacing w:val="-3"/>
          <w:sz w:val="21"/>
        </w:rPr>
        <w:t>value</w:t>
      </w:r>
      <w:r>
        <w:rPr>
          <w:rFonts w:ascii="Times New Roman;Times;serif" w:hAnsi="Times New Roman;Times;serif"/>
          <w:spacing w:val="-4"/>
          <w:sz w:val="21"/>
        </w:rPr>
        <w:t xml:space="preserve"> </w:t>
      </w:r>
      <w:r>
        <w:rPr>
          <w:rFonts w:ascii="Times New Roman;Times;serif" w:hAnsi="Times New Roman;Times;serif"/>
          <w:spacing w:val="-3"/>
          <w:sz w:val="21"/>
        </w:rPr>
        <w:t>hierarchy</w:t>
      </w:r>
      <w:r>
        <w:rPr>
          <w:rFonts w:ascii="Times New Roman;Times;serif" w:hAnsi="Times New Roman;Times;serif"/>
          <w:spacing w:val="-4"/>
          <w:sz w:val="21"/>
        </w:rPr>
        <w:t xml:space="preserve"> </w:t>
      </w:r>
      <w:r>
        <w:rPr>
          <w:rFonts w:ascii="Times New Roman;Times;serif" w:hAnsi="Times New Roman;Times;serif"/>
          <w:spacing w:val="-3"/>
          <w:sz w:val="21"/>
        </w:rPr>
        <w:t>within</w:t>
      </w:r>
      <w:r>
        <w:rPr>
          <w:rFonts w:ascii="Times New Roman;Times;serif" w:hAnsi="Times New Roman;Times;serif"/>
          <w:spacing w:val="-4"/>
          <w:sz w:val="21"/>
        </w:rPr>
        <w:t xml:space="preserve"> </w:t>
      </w:r>
      <w:r>
        <w:rPr>
          <w:rFonts w:ascii="Times New Roman;Times;serif" w:hAnsi="Times New Roman;Times;serif"/>
          <w:spacing w:val="-3"/>
          <w:sz w:val="21"/>
        </w:rPr>
        <w:t>which</w:t>
      </w:r>
      <w:r>
        <w:rPr>
          <w:rFonts w:ascii="Times New Roman;Times;serif" w:hAnsi="Times New Roman;Times;serif"/>
          <w:spacing w:val="-5"/>
          <w:sz w:val="21"/>
        </w:rPr>
        <w:t xml:space="preserve"> </w:t>
      </w:r>
      <w:r>
        <w:rPr>
          <w:rFonts w:ascii="Times New Roman;Times;serif" w:hAnsi="Times New Roman;Times;serif"/>
          <w:sz w:val="21"/>
        </w:rPr>
        <w:t>a</w:t>
      </w:r>
      <w:r>
        <w:rPr>
          <w:rFonts w:ascii="Times New Roman;Times;serif" w:hAnsi="Times New Roman;Times;serif"/>
          <w:spacing w:val="-4"/>
          <w:sz w:val="21"/>
        </w:rPr>
        <w:t xml:space="preserve"> </w:t>
      </w:r>
      <w:r>
        <w:rPr>
          <w:rFonts w:ascii="Times New Roman;Times;serif" w:hAnsi="Times New Roman;Times;serif"/>
          <w:spacing w:val="-3"/>
          <w:sz w:val="21"/>
        </w:rPr>
        <w:t>fair</w:t>
      </w:r>
      <w:r>
        <w:rPr>
          <w:rFonts w:ascii="Times New Roman;Times;serif" w:hAnsi="Times New Roman;Times;serif"/>
          <w:spacing w:val="-4"/>
          <w:sz w:val="21"/>
        </w:rPr>
        <w:t xml:space="preserve"> </w:t>
      </w:r>
      <w:r>
        <w:rPr>
          <w:rFonts w:ascii="Times New Roman;Times;serif" w:hAnsi="Times New Roman;Times;serif"/>
          <w:spacing w:val="-3"/>
          <w:sz w:val="21"/>
        </w:rPr>
        <w:t>value</w:t>
      </w:r>
      <w:r>
        <w:rPr>
          <w:rFonts w:ascii="Times New Roman;Times;serif" w:hAnsi="Times New Roman;Times;serif"/>
          <w:spacing w:val="-4"/>
          <w:sz w:val="21"/>
        </w:rPr>
        <w:t xml:space="preserve"> </w:t>
      </w:r>
      <w:r>
        <w:rPr>
          <w:rFonts w:ascii="Times New Roman;Times;serif" w:hAnsi="Times New Roman;Times;serif"/>
          <w:spacing w:val="-3"/>
          <w:sz w:val="21"/>
        </w:rPr>
        <w:t>measurement</w:t>
      </w:r>
      <w:r>
        <w:rPr>
          <w:rFonts w:ascii="Times New Roman;Times;serif" w:hAnsi="Times New Roman;Times;serif"/>
          <w:spacing w:val="-4"/>
          <w:sz w:val="21"/>
        </w:rPr>
        <w:t xml:space="preserve"> </w:t>
      </w:r>
      <w:r>
        <w:rPr>
          <w:rFonts w:ascii="Times New Roman;Times;serif" w:hAnsi="Times New Roman;Times;serif"/>
          <w:sz w:val="21"/>
        </w:rPr>
        <w:t>in</w:t>
      </w:r>
      <w:r>
        <w:rPr>
          <w:rFonts w:ascii="Times New Roman;Times;serif" w:hAnsi="Times New Roman;Times;serif"/>
          <w:spacing w:val="-4"/>
          <w:sz w:val="21"/>
        </w:rPr>
        <w:t xml:space="preserve"> </w:t>
      </w:r>
      <w:r>
        <w:rPr>
          <w:rFonts w:ascii="Times New Roman;Times;serif" w:hAnsi="Times New Roman;Times;serif"/>
          <w:sz w:val="21"/>
        </w:rPr>
        <w:t>its</w:t>
      </w:r>
      <w:r>
        <w:rPr>
          <w:rFonts w:ascii="Times New Roman;Times;serif" w:hAnsi="Times New Roman;Times;serif"/>
          <w:spacing w:val="-4"/>
          <w:sz w:val="21"/>
        </w:rPr>
        <w:t xml:space="preserve"> entirety </w:t>
      </w:r>
      <w:r>
        <w:rPr>
          <w:rFonts w:ascii="Times New Roman;Times;serif" w:hAnsi="Times New Roman;Times;serif"/>
          <w:spacing w:val="-3"/>
          <w:sz w:val="21"/>
        </w:rPr>
        <w:t>falls</w:t>
      </w:r>
      <w:r>
        <w:rPr>
          <w:rFonts w:ascii="Times New Roman;Times;serif" w:hAnsi="Times New Roman;Times;serif"/>
          <w:spacing w:val="-4"/>
          <w:sz w:val="21"/>
        </w:rPr>
        <w:t xml:space="preserve"> </w:t>
      </w:r>
      <w:r>
        <w:rPr>
          <w:rFonts w:ascii="Times New Roman;Times;serif" w:hAnsi="Times New Roman;Times;serif"/>
          <w:sz w:val="21"/>
        </w:rPr>
        <w:t>is</w:t>
      </w:r>
      <w:r>
        <w:rPr>
          <w:rFonts w:ascii="Times New Roman;Times;serif" w:hAnsi="Times New Roman;Times;serif"/>
          <w:spacing w:val="-5"/>
          <w:sz w:val="21"/>
        </w:rPr>
        <w:t xml:space="preserve"> </w:t>
      </w:r>
      <w:r>
        <w:rPr>
          <w:rFonts w:ascii="Times New Roman;Times;serif" w:hAnsi="Times New Roman;Times;serif"/>
          <w:spacing w:val="-3"/>
          <w:sz w:val="21"/>
        </w:rPr>
        <w:t>based</w:t>
      </w:r>
      <w:r>
        <w:rPr>
          <w:rFonts w:ascii="Times New Roman;Times;serif" w:hAnsi="Times New Roman;Times;serif"/>
          <w:spacing w:val="-4"/>
          <w:sz w:val="21"/>
        </w:rPr>
        <w:t xml:space="preserve"> </w:t>
      </w:r>
      <w:r>
        <w:rPr>
          <w:rFonts w:ascii="Times New Roman;Times;serif" w:hAnsi="Times New Roman;Times;serif"/>
          <w:sz w:val="21"/>
        </w:rPr>
        <w:t>on</w:t>
      </w:r>
      <w:r>
        <w:rPr>
          <w:rFonts w:ascii="Times New Roman;Times;serif" w:hAnsi="Times New Roman;Times;serif"/>
          <w:spacing w:val="-4"/>
          <w:sz w:val="21"/>
        </w:rPr>
        <w:t xml:space="preserve"> </w:t>
      </w:r>
      <w:r>
        <w:rPr>
          <w:rFonts w:ascii="Times New Roman;Times;serif" w:hAnsi="Times New Roman;Times;serif"/>
          <w:spacing w:val="-3"/>
          <w:sz w:val="21"/>
        </w:rPr>
        <w:t xml:space="preserve">the </w:t>
      </w:r>
      <w:r>
        <w:rPr>
          <w:rFonts w:ascii="Times New Roman;Times;serif" w:hAnsi="Times New Roman;Times;serif"/>
          <w:spacing w:val="-4"/>
          <w:sz w:val="21"/>
        </w:rPr>
        <w:t>lowest</w:t>
      </w:r>
      <w:r>
        <w:rPr>
          <w:rFonts w:ascii="Times New Roman;Times;serif" w:hAnsi="Times New Roman;Times;serif"/>
          <w:spacing w:val="-7"/>
          <w:sz w:val="21"/>
        </w:rPr>
        <w:t xml:space="preserve"> </w:t>
      </w:r>
      <w:r>
        <w:rPr>
          <w:rFonts w:ascii="Times New Roman;Times;serif" w:hAnsi="Times New Roman;Times;serif"/>
          <w:spacing w:val="-4"/>
          <w:sz w:val="21"/>
        </w:rPr>
        <w:t>level</w:t>
      </w:r>
      <w:r>
        <w:rPr>
          <w:rFonts w:ascii="Times New Roman;Times;serif" w:hAnsi="Times New Roman;Times;serif"/>
          <w:spacing w:val="-6"/>
          <w:sz w:val="21"/>
        </w:rPr>
        <w:t xml:space="preserve"> </w:t>
      </w:r>
      <w:r>
        <w:rPr>
          <w:rFonts w:ascii="Times New Roman;Times;serif" w:hAnsi="Times New Roman;Times;serif"/>
          <w:sz w:val="21"/>
        </w:rPr>
        <w:t>of</w:t>
      </w:r>
      <w:r>
        <w:rPr>
          <w:rFonts w:ascii="Times New Roman;Times;serif" w:hAnsi="Times New Roman;Times;serif"/>
          <w:spacing w:val="-7"/>
          <w:sz w:val="21"/>
        </w:rPr>
        <w:t xml:space="preserve"> </w:t>
      </w:r>
      <w:r>
        <w:rPr>
          <w:rFonts w:ascii="Times New Roman;Times;serif" w:hAnsi="Times New Roman;Times;serif"/>
          <w:spacing w:val="-4"/>
          <w:sz w:val="21"/>
        </w:rPr>
        <w:t>input</w:t>
      </w:r>
      <w:r>
        <w:rPr>
          <w:rFonts w:ascii="Times New Roman;Times;serif" w:hAnsi="Times New Roman;Times;serif"/>
          <w:spacing w:val="-6"/>
          <w:sz w:val="21"/>
        </w:rPr>
        <w:t xml:space="preserve"> </w:t>
      </w:r>
      <w:r>
        <w:rPr>
          <w:rFonts w:ascii="Times New Roman;Times;serif" w:hAnsi="Times New Roman;Times;serif"/>
          <w:spacing w:val="-3"/>
          <w:sz w:val="21"/>
        </w:rPr>
        <w:t>that</w:t>
      </w:r>
      <w:r>
        <w:rPr>
          <w:rFonts w:ascii="Times New Roman;Times;serif" w:hAnsi="Times New Roman;Times;serif"/>
          <w:spacing w:val="-7"/>
          <w:sz w:val="21"/>
        </w:rPr>
        <w:t xml:space="preserve"> </w:t>
      </w:r>
      <w:r>
        <w:rPr>
          <w:rFonts w:ascii="Times New Roman;Times;serif" w:hAnsi="Times New Roman;Times;serif"/>
          <w:sz w:val="21"/>
        </w:rPr>
        <w:t>is</w:t>
      </w:r>
      <w:r>
        <w:rPr>
          <w:rFonts w:ascii="Times New Roman;Times;serif" w:hAnsi="Times New Roman;Times;serif"/>
          <w:spacing w:val="-6"/>
          <w:sz w:val="21"/>
        </w:rPr>
        <w:t xml:space="preserve"> </w:t>
      </w:r>
      <w:r>
        <w:rPr>
          <w:rFonts w:ascii="Times New Roman;Times;serif" w:hAnsi="Times New Roman;Times;serif"/>
          <w:spacing w:val="-4"/>
          <w:sz w:val="21"/>
        </w:rPr>
        <w:t>significant</w:t>
      </w:r>
      <w:r>
        <w:rPr>
          <w:rFonts w:ascii="Times New Roman;Times;serif" w:hAnsi="Times New Roman;Times;serif"/>
          <w:spacing w:val="-7"/>
          <w:sz w:val="21"/>
        </w:rPr>
        <w:t xml:space="preserve"> </w:t>
      </w:r>
      <w:r>
        <w:rPr>
          <w:rFonts w:ascii="Times New Roman;Times;serif" w:hAnsi="Times New Roman;Times;serif"/>
          <w:sz w:val="21"/>
        </w:rPr>
        <w:t>to</w:t>
      </w:r>
      <w:r>
        <w:rPr>
          <w:rFonts w:ascii="Times New Roman;Times;serif" w:hAnsi="Times New Roman;Times;serif"/>
          <w:spacing w:val="-6"/>
          <w:sz w:val="21"/>
        </w:rPr>
        <w:t xml:space="preserve"> </w:t>
      </w:r>
      <w:r>
        <w:rPr>
          <w:rFonts w:ascii="Times New Roman;Times;serif" w:hAnsi="Times New Roman;Times;serif"/>
          <w:spacing w:val="-3"/>
          <w:sz w:val="21"/>
        </w:rPr>
        <w:t>the</w:t>
      </w:r>
      <w:r>
        <w:rPr>
          <w:rFonts w:ascii="Times New Roman;Times;serif" w:hAnsi="Times New Roman;Times;serif"/>
          <w:spacing w:val="-7"/>
          <w:sz w:val="21"/>
        </w:rPr>
        <w:t xml:space="preserve"> </w:t>
      </w:r>
      <w:r>
        <w:rPr>
          <w:rFonts w:ascii="Times New Roman;Times;serif" w:hAnsi="Times New Roman;Times;serif"/>
          <w:spacing w:val="-3"/>
          <w:sz w:val="21"/>
        </w:rPr>
        <w:t>fair</w:t>
      </w:r>
      <w:r>
        <w:rPr>
          <w:rFonts w:ascii="Times New Roman;Times;serif" w:hAnsi="Times New Roman;Times;serif"/>
          <w:spacing w:val="-6"/>
          <w:sz w:val="21"/>
        </w:rPr>
        <w:t xml:space="preserve"> </w:t>
      </w:r>
      <w:r>
        <w:rPr>
          <w:rFonts w:ascii="Times New Roman;Times;serif" w:hAnsi="Times New Roman;Times;serif"/>
          <w:spacing w:val="-4"/>
          <w:sz w:val="21"/>
        </w:rPr>
        <w:t>value</w:t>
      </w:r>
      <w:r>
        <w:rPr>
          <w:rFonts w:ascii="Times New Roman;Times;serif" w:hAnsi="Times New Roman;Times;serif"/>
          <w:spacing w:val="-7"/>
          <w:sz w:val="21"/>
        </w:rPr>
        <w:t xml:space="preserve"> </w:t>
      </w:r>
      <w:r>
        <w:rPr>
          <w:rFonts w:ascii="Times New Roman;Times;serif" w:hAnsi="Times New Roman;Times;serif"/>
          <w:spacing w:val="-4"/>
          <w:sz w:val="21"/>
        </w:rPr>
        <w:t>measurement</w:t>
      </w:r>
      <w:r>
        <w:rPr>
          <w:rFonts w:ascii="Times New Roman;Times;serif" w:hAnsi="Times New Roman;Times;serif"/>
          <w:spacing w:val="-6"/>
          <w:sz w:val="21"/>
        </w:rPr>
        <w:t xml:space="preserve"> </w:t>
      </w:r>
      <w:r>
        <w:rPr>
          <w:rFonts w:ascii="Times New Roman;Times;serif" w:hAnsi="Times New Roman;Times;serif"/>
          <w:sz w:val="21"/>
        </w:rPr>
        <w:t>in</w:t>
      </w:r>
      <w:r>
        <w:rPr>
          <w:rFonts w:ascii="Times New Roman;Times;serif" w:hAnsi="Times New Roman;Times;serif"/>
          <w:spacing w:val="-7"/>
          <w:sz w:val="21"/>
        </w:rPr>
        <w:t xml:space="preserve"> </w:t>
      </w:r>
      <w:r>
        <w:rPr>
          <w:rFonts w:ascii="Times New Roman;Times;serif" w:hAnsi="Times New Roman;Times;serif"/>
          <w:spacing w:val="-3"/>
          <w:sz w:val="21"/>
        </w:rPr>
        <w:t>its</w:t>
      </w:r>
      <w:r>
        <w:rPr>
          <w:rFonts w:ascii="Times New Roman;Times;serif" w:hAnsi="Times New Roman;Times;serif"/>
          <w:spacing w:val="-6"/>
          <w:sz w:val="21"/>
        </w:rPr>
        <w:t xml:space="preserve"> </w:t>
      </w:r>
      <w:r>
        <w:rPr>
          <w:rFonts w:ascii="Times New Roman;Times;serif" w:hAnsi="Times New Roman;Times;serif"/>
          <w:spacing w:val="-4"/>
          <w:sz w:val="21"/>
        </w:rPr>
        <w:t>entirety.</w:t>
      </w:r>
    </w:p>
    <w:p>
      <w:pPr>
        <w:pStyle w:val="TextBody"/>
        <w:bidi w:val="0"/>
        <w:spacing w:before="121" w:after="0"/>
        <w:ind w:left="880" w:right="257" w:hanging="0"/>
        <w:jc w:val="both"/>
        <w:rPr>
          <w:rFonts w:ascii="Times New Roman;Times;serif" w:hAnsi="Times New Roman;Times;serif"/>
          <w:sz w:val="21"/>
        </w:rPr>
      </w:pPr>
      <w:r>
        <w:rPr>
          <w:rFonts w:ascii="Times New Roman;Times;serif" w:hAnsi="Times New Roman;Times;serif"/>
          <w:sz w:val="21"/>
        </w:rPr>
        <w:t xml:space="preserve">The </w:t>
      </w:r>
      <w:r>
        <w:rPr>
          <w:rFonts w:ascii="Times New Roman;Times;serif" w:hAnsi="Times New Roman;Times;serif"/>
          <w:spacing w:val="-4"/>
          <w:sz w:val="21"/>
        </w:rPr>
        <w:t xml:space="preserve">Company </w:t>
      </w:r>
      <w:r>
        <w:rPr>
          <w:rFonts w:ascii="Times New Roman;Times;serif" w:hAnsi="Times New Roman;Times;serif"/>
          <w:spacing w:val="-3"/>
          <w:sz w:val="21"/>
        </w:rPr>
        <w:t xml:space="preserve">does not </w:t>
      </w:r>
      <w:r>
        <w:rPr>
          <w:rFonts w:ascii="Times New Roman;Times;serif" w:hAnsi="Times New Roman;Times;serif"/>
          <w:spacing w:val="-4"/>
          <w:sz w:val="21"/>
        </w:rPr>
        <w:t xml:space="preserve">have </w:t>
      </w:r>
      <w:r>
        <w:rPr>
          <w:rFonts w:ascii="Times New Roman;Times;serif" w:hAnsi="Times New Roman;Times;serif"/>
          <w:sz w:val="21"/>
        </w:rPr>
        <w:t xml:space="preserve">any </w:t>
      </w:r>
      <w:r>
        <w:rPr>
          <w:rFonts w:ascii="Times New Roman;Times;serif" w:hAnsi="Times New Roman;Times;serif"/>
          <w:spacing w:val="-4"/>
          <w:sz w:val="21"/>
        </w:rPr>
        <w:t xml:space="preserve">financial </w:t>
      </w:r>
      <w:r>
        <w:rPr>
          <w:rFonts w:ascii="Times New Roman;Times;serif" w:hAnsi="Times New Roman;Times;serif"/>
          <w:spacing w:val="-3"/>
          <w:sz w:val="21"/>
        </w:rPr>
        <w:t xml:space="preserve">assets </w:t>
      </w:r>
      <w:r>
        <w:rPr>
          <w:rFonts w:ascii="Times New Roman;Times;serif" w:hAnsi="Times New Roman;Times;serif"/>
          <w:sz w:val="21"/>
        </w:rPr>
        <w:t xml:space="preserve">and </w:t>
      </w:r>
      <w:r>
        <w:rPr>
          <w:rFonts w:ascii="Times New Roman;Times;serif" w:hAnsi="Times New Roman;Times;serif"/>
          <w:spacing w:val="-4"/>
          <w:sz w:val="21"/>
        </w:rPr>
        <w:t xml:space="preserve">financial </w:t>
      </w:r>
      <w:r>
        <w:rPr>
          <w:rFonts w:ascii="Times New Roman;Times;serif" w:hAnsi="Times New Roman;Times;serif"/>
          <w:spacing w:val="-3"/>
          <w:sz w:val="21"/>
        </w:rPr>
        <w:t xml:space="preserve">liabilities that are </w:t>
      </w:r>
      <w:r>
        <w:rPr>
          <w:rFonts w:ascii="Times New Roman;Times;serif" w:hAnsi="Times New Roman;Times;serif"/>
          <w:spacing w:val="-4"/>
          <w:sz w:val="21"/>
        </w:rPr>
        <w:t xml:space="preserve">measured </w:t>
      </w:r>
      <w:r>
        <w:rPr>
          <w:rFonts w:ascii="Times New Roman;Times;serif" w:hAnsi="Times New Roman;Times;serif"/>
          <w:sz w:val="21"/>
        </w:rPr>
        <w:t xml:space="preserve">at </w:t>
      </w:r>
      <w:r>
        <w:rPr>
          <w:rFonts w:ascii="Times New Roman;Times;serif" w:hAnsi="Times New Roman;Times;serif"/>
          <w:spacing w:val="-3"/>
          <w:sz w:val="21"/>
        </w:rPr>
        <w:t xml:space="preserve">fair value </w:t>
      </w:r>
      <w:r>
        <w:rPr>
          <w:rFonts w:ascii="Times New Roman;Times;serif" w:hAnsi="Times New Roman;Times;serif"/>
          <w:sz w:val="21"/>
        </w:rPr>
        <w:t xml:space="preserve">on a </w:t>
      </w:r>
      <w:r>
        <w:rPr>
          <w:rFonts w:ascii="Times New Roman;Times;serif" w:hAnsi="Times New Roman;Times;serif"/>
          <w:spacing w:val="-4"/>
          <w:sz w:val="21"/>
        </w:rPr>
        <w:t xml:space="preserve">recurring basis </w:t>
      </w:r>
      <w:r>
        <w:rPr>
          <w:rFonts w:ascii="Times New Roman;Times;serif" w:hAnsi="Times New Roman;Times;serif"/>
          <w:sz w:val="21"/>
        </w:rPr>
        <w:t xml:space="preserve">as of </w:t>
      </w:r>
      <w:r>
        <w:rPr>
          <w:rFonts w:ascii="Times New Roman;Times;serif" w:hAnsi="Times New Roman;Times;serif"/>
          <w:spacing w:val="-4"/>
          <w:sz w:val="21"/>
        </w:rPr>
        <w:t xml:space="preserve">December </w:t>
      </w:r>
      <w:r>
        <w:rPr>
          <w:rFonts w:ascii="Times New Roman;Times;serif" w:hAnsi="Times New Roman;Times;serif"/>
          <w:spacing w:val="-3"/>
          <w:sz w:val="21"/>
        </w:rPr>
        <w:t xml:space="preserve">31, 2025 </w:t>
      </w:r>
      <w:r>
        <w:rPr>
          <w:rFonts w:ascii="Times New Roman;Times;serif" w:hAnsi="Times New Roman;Times;serif"/>
          <w:sz w:val="21"/>
        </w:rPr>
        <w:t xml:space="preserve">and </w:t>
      </w:r>
      <w:r>
        <w:rPr>
          <w:rFonts w:ascii="Times New Roman;Times;serif" w:hAnsi="Times New Roman;Times;serif"/>
          <w:spacing w:val="-3"/>
          <w:sz w:val="21"/>
        </w:rPr>
        <w:t xml:space="preserve">2024. The </w:t>
      </w:r>
      <w:r>
        <w:rPr>
          <w:rFonts w:ascii="Times New Roman;Times;serif" w:hAnsi="Times New Roman;Times;serif"/>
          <w:spacing w:val="-4"/>
          <w:sz w:val="21"/>
        </w:rPr>
        <w:t xml:space="preserve">financial statements </w:t>
      </w:r>
      <w:r>
        <w:rPr>
          <w:rFonts w:ascii="Times New Roman;Times;serif" w:hAnsi="Times New Roman;Times;serif"/>
          <w:sz w:val="21"/>
        </w:rPr>
        <w:t xml:space="preserve">as of </w:t>
      </w:r>
      <w:r>
        <w:rPr>
          <w:rFonts w:ascii="Times New Roman;Times;serif" w:hAnsi="Times New Roman;Times;serif"/>
          <w:spacing w:val="-4"/>
          <w:sz w:val="21"/>
        </w:rPr>
        <w:t xml:space="preserve">December </w:t>
      </w:r>
      <w:r>
        <w:rPr>
          <w:rFonts w:ascii="Times New Roman;Times;serif" w:hAnsi="Times New Roman;Times;serif"/>
          <w:spacing w:val="-3"/>
          <w:sz w:val="21"/>
        </w:rPr>
        <w:t xml:space="preserve">31, 2025 </w:t>
      </w:r>
      <w:r>
        <w:rPr>
          <w:rFonts w:ascii="Times New Roman;Times;serif" w:hAnsi="Times New Roman;Times;serif"/>
          <w:spacing w:val="-5"/>
          <w:sz w:val="21"/>
        </w:rPr>
        <w:t xml:space="preserve">and </w:t>
      </w:r>
      <w:r>
        <w:rPr>
          <w:rFonts w:ascii="Times New Roman;Times;serif" w:hAnsi="Times New Roman;Times;serif"/>
          <w:spacing w:val="-3"/>
          <w:sz w:val="21"/>
        </w:rPr>
        <w:t xml:space="preserve">2024 </w:t>
      </w:r>
      <w:r>
        <w:rPr>
          <w:rFonts w:ascii="Times New Roman;Times;serif" w:hAnsi="Times New Roman;Times;serif"/>
          <w:sz w:val="21"/>
        </w:rPr>
        <w:t xml:space="preserve">do </w:t>
      </w:r>
      <w:r>
        <w:rPr>
          <w:rFonts w:ascii="Times New Roman;Times;serif" w:hAnsi="Times New Roman;Times;serif"/>
          <w:spacing w:val="-3"/>
          <w:sz w:val="21"/>
        </w:rPr>
        <w:t xml:space="preserve">not </w:t>
      </w:r>
      <w:r>
        <w:rPr>
          <w:rFonts w:ascii="Times New Roman;Times;serif" w:hAnsi="Times New Roman;Times;serif"/>
          <w:spacing w:val="-4"/>
          <w:sz w:val="21"/>
        </w:rPr>
        <w:t xml:space="preserve">include </w:t>
      </w:r>
      <w:r>
        <w:rPr>
          <w:rFonts w:ascii="Times New Roman;Times;serif" w:hAnsi="Times New Roman;Times;serif"/>
          <w:spacing w:val="-3"/>
          <w:sz w:val="21"/>
        </w:rPr>
        <w:t xml:space="preserve">any </w:t>
      </w:r>
      <w:r>
        <w:rPr>
          <w:rFonts w:ascii="Times New Roman;Times;serif" w:hAnsi="Times New Roman;Times;serif"/>
          <w:spacing w:val="-4"/>
          <w:sz w:val="21"/>
        </w:rPr>
        <w:t xml:space="preserve">significant nonrecurring </w:t>
      </w:r>
      <w:r>
        <w:rPr>
          <w:rFonts w:ascii="Times New Roman;Times;serif" w:hAnsi="Times New Roman;Times;serif"/>
          <w:spacing w:val="-3"/>
          <w:sz w:val="21"/>
        </w:rPr>
        <w:t xml:space="preserve">fair </w:t>
      </w:r>
      <w:r>
        <w:rPr>
          <w:rFonts w:ascii="Times New Roman;Times;serif" w:hAnsi="Times New Roman;Times;serif"/>
          <w:spacing w:val="-4"/>
          <w:sz w:val="21"/>
        </w:rPr>
        <w:t xml:space="preserve">value measurements relating </w:t>
      </w:r>
      <w:r>
        <w:rPr>
          <w:rFonts w:ascii="Times New Roman;Times;serif" w:hAnsi="Times New Roman;Times;serif"/>
          <w:sz w:val="21"/>
        </w:rPr>
        <w:t xml:space="preserve">to </w:t>
      </w:r>
      <w:r>
        <w:rPr>
          <w:rFonts w:ascii="Times New Roman;Times;serif" w:hAnsi="Times New Roman;Times;serif"/>
          <w:spacing w:val="-3"/>
          <w:sz w:val="21"/>
        </w:rPr>
        <w:t xml:space="preserve">assets </w:t>
      </w:r>
      <w:r>
        <w:rPr>
          <w:rFonts w:ascii="Times New Roman;Times;serif" w:hAnsi="Times New Roman;Times;serif"/>
          <w:sz w:val="21"/>
        </w:rPr>
        <w:t xml:space="preserve">or </w:t>
      </w:r>
      <w:r>
        <w:rPr>
          <w:rFonts w:ascii="Times New Roman;Times;serif" w:hAnsi="Times New Roman;Times;serif"/>
          <w:spacing w:val="-4"/>
          <w:sz w:val="21"/>
        </w:rPr>
        <w:t xml:space="preserve">liabilities </w:t>
      </w:r>
      <w:r>
        <w:rPr>
          <w:rFonts w:ascii="Times New Roman;Times;serif" w:hAnsi="Times New Roman;Times;serif"/>
          <w:spacing w:val="-5"/>
          <w:sz w:val="21"/>
        </w:rPr>
        <w:t xml:space="preserve">for </w:t>
      </w:r>
      <w:r>
        <w:rPr>
          <w:rFonts w:ascii="Times New Roman;Times;serif" w:hAnsi="Times New Roman;Times;serif"/>
          <w:spacing w:val="-4"/>
          <w:sz w:val="21"/>
        </w:rPr>
        <w:t xml:space="preserve">which </w:t>
      </w:r>
      <w:r>
        <w:rPr>
          <w:rFonts w:ascii="Times New Roman;Times;serif" w:hAnsi="Times New Roman;Times;serif"/>
          <w:spacing w:val="-3"/>
          <w:sz w:val="21"/>
        </w:rPr>
        <w:t xml:space="preserve">the </w:t>
      </w:r>
      <w:r>
        <w:rPr>
          <w:rFonts w:ascii="Times New Roman;Times;serif" w:hAnsi="Times New Roman;Times;serif"/>
          <w:spacing w:val="-4"/>
          <w:sz w:val="21"/>
        </w:rPr>
        <w:t xml:space="preserve">Company </w:t>
      </w:r>
      <w:r>
        <w:rPr>
          <w:rFonts w:ascii="Times New Roman;Times;serif" w:hAnsi="Times New Roman;Times;serif"/>
          <w:spacing w:val="-3"/>
          <w:sz w:val="21"/>
        </w:rPr>
        <w:t xml:space="preserve">had </w:t>
      </w:r>
      <w:r>
        <w:rPr>
          <w:rFonts w:ascii="Times New Roman;Times;serif" w:hAnsi="Times New Roman;Times;serif"/>
          <w:spacing w:val="-4"/>
          <w:sz w:val="21"/>
        </w:rPr>
        <w:t xml:space="preserve">adopted </w:t>
      </w:r>
      <w:r>
        <w:rPr>
          <w:rFonts w:ascii="Times New Roman;Times;serif" w:hAnsi="Times New Roman;Times;serif"/>
          <w:spacing w:val="-3"/>
          <w:sz w:val="21"/>
        </w:rPr>
        <w:t xml:space="preserve">the </w:t>
      </w:r>
      <w:r>
        <w:rPr>
          <w:rFonts w:ascii="Times New Roman;Times;serif" w:hAnsi="Times New Roman;Times;serif"/>
          <w:spacing w:val="-4"/>
          <w:sz w:val="21"/>
        </w:rPr>
        <w:t xml:space="preserve">provisions </w:t>
      </w:r>
      <w:r>
        <w:rPr>
          <w:rFonts w:ascii="Times New Roman;Times;serif" w:hAnsi="Times New Roman;Times;serif"/>
          <w:sz w:val="21"/>
        </w:rPr>
        <w:t xml:space="preserve">of </w:t>
      </w:r>
      <w:r>
        <w:rPr>
          <w:rFonts w:ascii="Times New Roman;Times;serif" w:hAnsi="Times New Roman;Times;serif"/>
          <w:spacing w:val="-3"/>
          <w:sz w:val="21"/>
        </w:rPr>
        <w:t xml:space="preserve">the </w:t>
      </w:r>
      <w:r>
        <w:rPr>
          <w:rFonts w:ascii="Times New Roman;Times;serif" w:hAnsi="Times New Roman;Times;serif"/>
          <w:spacing w:val="-4"/>
          <w:sz w:val="21"/>
        </w:rPr>
        <w:t>applicable guidance.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shd w:fill="FFFFFF" w:val="clear"/>
        </w:rPr>
        <w:tab/>
      </w:r>
      <w:r>
        <w:rPr>
          <w:rFonts w:ascii="Times New Roman;Times;serif" w:hAnsi="Times New Roman;Times;serif"/>
          <w:sz w:val="22"/>
          <w:shd w:fill="FFFFFF" w:val="clear"/>
        </w:rPr>
        <w:tab/>
      </w:r>
      <w:r>
        <w:rPr>
          <w:rFonts w:ascii="Times New Roman;Times;serif" w:hAnsi="Times New Roman;Times;serif"/>
          <w:sz w:val="20"/>
          <w:shd w:fill="FFFFFF" w:val="clear"/>
        </w:rPr>
        <w:t>7</w:t>
      </w:r>
      <w:r>
        <mc:AlternateContent>
          <mc:Choice Requires="wps">
            <w:drawing>
              <wp:anchor behindDoc="0" distT="0" distB="0" distL="0" distR="0" simplePos="0" locked="0" layoutInCell="1" allowOverlap="1" relativeHeight="852">
                <wp:simplePos x="0" y="0"/>
                <wp:positionH relativeFrom="page">
                  <wp:posOffset>0</wp:posOffset>
                </wp:positionH>
                <wp:positionV relativeFrom="line">
                  <wp:posOffset>635</wp:posOffset>
                </wp:positionV>
                <wp:extent cx="6480175" cy="175260"/>
                <wp:effectExtent l="0" t="0" r="0" b="0"/>
                <wp:wrapNone/>
                <wp:docPr id="851" name="Frame8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LMWS, LLC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Financial Statements</w:t>
      </w:r>
    </w:p>
    <w:p>
      <w:pPr>
        <w:pStyle w:val="TextBody"/>
        <w:bidi w:val="0"/>
        <w:spacing w:before="0" w:after="0"/>
        <w:ind w:left="0" w:right="0" w:hanging="0"/>
        <w:jc w:val="left"/>
        <w:rPr/>
      </w:pPr>
      <w:r>
        <w:rPr/>
        <w:t>​</w:t>
      </w:r>
    </w:p>
    <w:p>
      <w:pPr>
        <w:pStyle w:val="TextBody"/>
        <w:bidi w:val="0"/>
        <w:spacing w:before="8" w:after="0"/>
        <w:ind w:left="0" w:right="0" w:hanging="0"/>
        <w:jc w:val="left"/>
        <w:rPr/>
      </w:pPr>
      <w:r>
        <w:rPr/>
        <w:t>​</w:t>
      </w:r>
    </w:p>
    <w:p>
      <w:pPr>
        <w:pStyle w:val="TextBody"/>
        <w:bidi w:val="0"/>
        <w:spacing w:before="8" w:after="0"/>
        <w:ind w:left="0" w:right="0" w:hanging="0"/>
        <w:jc w:val="left"/>
        <w:rPr/>
      </w:pPr>
      <w:r>
        <w:rPr/>
        <w:t>​</w:t>
      </w:r>
    </w:p>
    <w:p>
      <w:pPr>
        <w:pStyle w:val="TextBody"/>
        <w:bidi w:val="0"/>
        <w:ind w:left="160" w:right="0" w:hanging="0"/>
        <w:jc w:val="left"/>
        <w:rPr>
          <w:rFonts w:ascii="Arial;Helvetica;sans-serif" w:hAnsi="Arial;Helvetica;sans-serif"/>
          <w:b/>
          <w:sz w:val="21"/>
        </w:rPr>
      </w:pPr>
      <w:r>
        <w:rPr>
          <w:rFonts w:ascii="Arial;Helvetica;sans-serif" w:hAnsi="Arial;Helvetica;sans-serif"/>
          <w:b/>
          <w:sz w:val="21"/>
        </w:rPr>
        <w:t>4.</w:t>
      </w:r>
      <w:r>
        <w:rPr>
          <w:rFonts w:ascii="Arial;Helvetica;sans-serif" w:hAnsi="Arial;Helvetica;sans-serif"/>
          <w:b/>
          <w:spacing w:val="-3"/>
          <w:sz w:val="21"/>
        </w:rPr>
        <w:t>Fair Value Measurements (Cont’d.)</w:t>
      </w:r>
    </w:p>
    <w:p>
      <w:pPr>
        <w:pStyle w:val="TextBody"/>
        <w:bidi w:val="0"/>
        <w:spacing w:before="118" w:after="0"/>
        <w:ind w:left="880" w:right="250" w:hanging="0"/>
        <w:jc w:val="both"/>
        <w:rPr>
          <w:rFonts w:ascii="Times New Roman;Times;serif" w:hAnsi="Times New Roman;Times;serif"/>
          <w:sz w:val="21"/>
        </w:rPr>
      </w:pPr>
      <w:r>
        <w:rPr>
          <w:rFonts w:ascii="Times New Roman;Times;serif" w:hAnsi="Times New Roman;Times;serif"/>
          <w:sz w:val="21"/>
        </w:rPr>
        <w:t xml:space="preserve">The </w:t>
      </w:r>
      <w:r>
        <w:rPr>
          <w:rFonts w:ascii="Times New Roman;Times;serif" w:hAnsi="Times New Roman;Times;serif"/>
          <w:spacing w:val="-4"/>
          <w:sz w:val="21"/>
        </w:rPr>
        <w:t xml:space="preserve">Company values </w:t>
      </w:r>
      <w:r>
        <w:rPr>
          <w:rFonts w:ascii="Times New Roman;Times;serif" w:hAnsi="Times New Roman;Times;serif"/>
          <w:sz w:val="21"/>
        </w:rPr>
        <w:t xml:space="preserve">its </w:t>
      </w:r>
      <w:r>
        <w:rPr>
          <w:rFonts w:ascii="Times New Roman;Times;serif" w:hAnsi="Times New Roman;Times;serif"/>
          <w:spacing w:val="-3"/>
          <w:sz w:val="21"/>
        </w:rPr>
        <w:t xml:space="preserve">real </w:t>
      </w:r>
      <w:r>
        <w:rPr>
          <w:rFonts w:ascii="Times New Roman;Times;serif" w:hAnsi="Times New Roman;Times;serif"/>
          <w:spacing w:val="-4"/>
          <w:sz w:val="21"/>
        </w:rPr>
        <w:t xml:space="preserve">estate </w:t>
      </w:r>
      <w:r>
        <w:rPr>
          <w:rFonts w:ascii="Times New Roman;Times;serif" w:hAnsi="Times New Roman;Times;serif"/>
          <w:spacing w:val="-3"/>
          <w:sz w:val="21"/>
        </w:rPr>
        <w:t xml:space="preserve">inventory </w:t>
      </w:r>
      <w:r>
        <w:rPr>
          <w:rFonts w:ascii="Times New Roman;Times;serif" w:hAnsi="Times New Roman;Times;serif"/>
          <w:sz w:val="21"/>
        </w:rPr>
        <w:t xml:space="preserve">at </w:t>
      </w:r>
      <w:r>
        <w:rPr>
          <w:rFonts w:ascii="Times New Roman;Times;serif" w:hAnsi="Times New Roman;Times;serif"/>
          <w:spacing w:val="-3"/>
          <w:sz w:val="21"/>
        </w:rPr>
        <w:t xml:space="preserve">fair </w:t>
      </w:r>
      <w:r>
        <w:rPr>
          <w:rFonts w:ascii="Times New Roman;Times;serif" w:hAnsi="Times New Roman;Times;serif"/>
          <w:spacing w:val="-4"/>
          <w:sz w:val="21"/>
        </w:rPr>
        <w:t xml:space="preserve">value </w:t>
      </w:r>
      <w:r>
        <w:rPr>
          <w:rFonts w:ascii="Times New Roman;Times;serif" w:hAnsi="Times New Roman;Times;serif"/>
          <w:sz w:val="21"/>
        </w:rPr>
        <w:t xml:space="preserve">on a </w:t>
      </w:r>
      <w:r>
        <w:rPr>
          <w:rFonts w:ascii="Times New Roman;Times;serif" w:hAnsi="Times New Roman;Times;serif"/>
          <w:spacing w:val="-4"/>
          <w:sz w:val="21"/>
        </w:rPr>
        <w:t xml:space="preserve">nonrecurring </w:t>
      </w:r>
      <w:r>
        <w:rPr>
          <w:rFonts w:ascii="Times New Roman;Times;serif" w:hAnsi="Times New Roman;Times;serif"/>
          <w:spacing w:val="-3"/>
          <w:sz w:val="21"/>
        </w:rPr>
        <w:t xml:space="preserve">basis </w:t>
      </w:r>
      <w:r>
        <w:rPr>
          <w:rFonts w:ascii="Times New Roman;Times;serif" w:hAnsi="Times New Roman;Times;serif"/>
          <w:sz w:val="21"/>
        </w:rPr>
        <w:t xml:space="preserve">if it is </w:t>
      </w:r>
      <w:r>
        <w:rPr>
          <w:rFonts w:ascii="Times New Roman;Times;serif" w:hAnsi="Times New Roman;Times;serif"/>
          <w:spacing w:val="-4"/>
          <w:sz w:val="21"/>
        </w:rPr>
        <w:t xml:space="preserve">determined </w:t>
      </w:r>
      <w:r>
        <w:rPr>
          <w:rFonts w:ascii="Times New Roman;Times;serif" w:hAnsi="Times New Roman;Times;serif"/>
          <w:spacing w:val="-3"/>
          <w:sz w:val="21"/>
        </w:rPr>
        <w:t xml:space="preserve">that </w:t>
      </w:r>
      <w:r>
        <w:rPr>
          <w:rFonts w:ascii="Times New Roman;Times;serif" w:hAnsi="Times New Roman;Times;serif"/>
          <w:spacing w:val="-5"/>
          <w:sz w:val="21"/>
        </w:rPr>
        <w:t xml:space="preserve">an </w:t>
      </w:r>
      <w:r>
        <w:rPr>
          <w:rFonts w:ascii="Times New Roman;Times;serif" w:hAnsi="Times New Roman;Times;serif"/>
          <w:spacing w:val="-4"/>
          <w:sz w:val="21"/>
        </w:rPr>
        <w:t xml:space="preserve">impairment </w:t>
      </w:r>
      <w:r>
        <w:rPr>
          <w:rFonts w:ascii="Times New Roman;Times;serif" w:hAnsi="Times New Roman;Times;serif"/>
          <w:sz w:val="21"/>
        </w:rPr>
        <w:t xml:space="preserve">has </w:t>
      </w:r>
      <w:r>
        <w:rPr>
          <w:rFonts w:ascii="Times New Roman;Times;serif" w:hAnsi="Times New Roman;Times;serif"/>
          <w:spacing w:val="-4"/>
          <w:sz w:val="21"/>
        </w:rPr>
        <w:t xml:space="preserve">occurred. </w:t>
      </w:r>
      <w:r>
        <w:rPr>
          <w:rFonts w:ascii="Times New Roman;Times;serif" w:hAnsi="Times New Roman;Times;serif"/>
          <w:spacing w:val="-3"/>
          <w:sz w:val="21"/>
        </w:rPr>
        <w:t xml:space="preserve">Such fair </w:t>
      </w:r>
      <w:r>
        <w:rPr>
          <w:rFonts w:ascii="Times New Roman;Times;serif" w:hAnsi="Times New Roman;Times;serif"/>
          <w:spacing w:val="-4"/>
          <w:sz w:val="21"/>
        </w:rPr>
        <w:t xml:space="preserve">value measurements </w:t>
      </w:r>
      <w:r>
        <w:rPr>
          <w:rFonts w:ascii="Times New Roman;Times;serif" w:hAnsi="Times New Roman;Times;serif"/>
          <w:sz w:val="21"/>
        </w:rPr>
        <w:t xml:space="preserve">use </w:t>
      </w:r>
      <w:r>
        <w:rPr>
          <w:rFonts w:ascii="Times New Roman;Times;serif" w:hAnsi="Times New Roman;Times;serif"/>
          <w:spacing w:val="-4"/>
          <w:sz w:val="21"/>
        </w:rPr>
        <w:t xml:space="preserve">significant other observable inputs </w:t>
      </w:r>
      <w:r>
        <w:rPr>
          <w:rFonts w:ascii="Times New Roman;Times;serif" w:hAnsi="Times New Roman;Times;serif"/>
          <w:spacing w:val="-3"/>
          <w:sz w:val="21"/>
        </w:rPr>
        <w:t xml:space="preserve">and </w:t>
      </w:r>
      <w:r>
        <w:rPr>
          <w:rFonts w:ascii="Times New Roman;Times;serif" w:hAnsi="Times New Roman;Times;serif"/>
          <w:spacing w:val="-4"/>
          <w:sz w:val="21"/>
        </w:rPr>
        <w:t xml:space="preserve">significant unobservable inputs </w:t>
      </w:r>
      <w:r>
        <w:rPr>
          <w:rFonts w:ascii="Times New Roman;Times;serif" w:hAnsi="Times New Roman;Times;serif"/>
          <w:spacing w:val="-3"/>
          <w:sz w:val="21"/>
        </w:rPr>
        <w:t xml:space="preserve">and are </w:t>
      </w:r>
      <w:r>
        <w:rPr>
          <w:rFonts w:ascii="Times New Roman;Times;serif" w:hAnsi="Times New Roman;Times;serif"/>
          <w:spacing w:val="-4"/>
          <w:sz w:val="21"/>
        </w:rPr>
        <w:t xml:space="preserve">classified </w:t>
      </w:r>
      <w:r>
        <w:rPr>
          <w:rFonts w:ascii="Times New Roman;Times;serif" w:hAnsi="Times New Roman;Times;serif"/>
          <w:sz w:val="21"/>
        </w:rPr>
        <w:t xml:space="preserve">as </w:t>
      </w:r>
      <w:r>
        <w:rPr>
          <w:rFonts w:ascii="Times New Roman;Times;serif" w:hAnsi="Times New Roman;Times;serif"/>
          <w:spacing w:val="-3"/>
          <w:sz w:val="21"/>
        </w:rPr>
        <w:t xml:space="preserve">Level </w:t>
      </w:r>
      <w:r>
        <w:rPr>
          <w:rFonts w:ascii="Times New Roman;Times;serif" w:hAnsi="Times New Roman;Times;serif"/>
          <w:sz w:val="21"/>
        </w:rPr>
        <w:t xml:space="preserve">2 </w:t>
      </w:r>
      <w:r>
        <w:rPr>
          <w:rFonts w:ascii="Times New Roman;Times;serif" w:hAnsi="Times New Roman;Times;serif"/>
          <w:spacing w:val="-3"/>
          <w:sz w:val="21"/>
        </w:rPr>
        <w:t xml:space="preserve">or </w:t>
      </w:r>
      <w:r>
        <w:rPr>
          <w:rFonts w:ascii="Times New Roman;Times;serif" w:hAnsi="Times New Roman;Times;serif"/>
          <w:spacing w:val="-4"/>
          <w:sz w:val="21"/>
        </w:rPr>
        <w:t xml:space="preserve">Level </w:t>
      </w:r>
      <w:r>
        <w:rPr>
          <w:rFonts w:ascii="Times New Roman;Times;serif" w:hAnsi="Times New Roman;Times;serif"/>
          <w:sz w:val="21"/>
        </w:rPr>
        <w:t xml:space="preserve">3 as </w:t>
      </w:r>
      <w:r>
        <w:rPr>
          <w:rFonts w:ascii="Times New Roman;Times;serif" w:hAnsi="Times New Roman;Times;serif"/>
          <w:spacing w:val="-4"/>
          <w:sz w:val="21"/>
        </w:rPr>
        <w:t xml:space="preserve">determined appropriate. </w:t>
      </w:r>
      <w:r>
        <w:rPr>
          <w:rFonts w:ascii="Times New Roman;Times;serif" w:hAnsi="Times New Roman;Times;serif"/>
          <w:sz w:val="21"/>
        </w:rPr>
        <w:t xml:space="preserve">No </w:t>
      </w:r>
      <w:r>
        <w:rPr>
          <w:rFonts w:ascii="Times New Roman;Times;serif" w:hAnsi="Times New Roman;Times;serif"/>
          <w:spacing w:val="-4"/>
          <w:sz w:val="21"/>
        </w:rPr>
        <w:t xml:space="preserve">impairments </w:t>
      </w:r>
      <w:r>
        <w:rPr>
          <w:rFonts w:ascii="Times New Roman;Times;serif" w:hAnsi="Times New Roman;Times;serif"/>
          <w:spacing w:val="-3"/>
          <w:sz w:val="21"/>
        </w:rPr>
        <w:t xml:space="preserve">have been </w:t>
      </w:r>
      <w:r>
        <w:rPr>
          <w:rFonts w:ascii="Times New Roman;Times;serif" w:hAnsi="Times New Roman;Times;serif"/>
          <w:spacing w:val="-4"/>
          <w:sz w:val="21"/>
        </w:rPr>
        <w:t xml:space="preserve">recorded </w:t>
      </w:r>
      <w:r>
        <w:rPr>
          <w:rFonts w:ascii="Times New Roman;Times;serif" w:hAnsi="Times New Roman;Times;serif"/>
          <w:sz w:val="21"/>
        </w:rPr>
        <w:t xml:space="preserve">on </w:t>
      </w:r>
      <w:r>
        <w:rPr>
          <w:rFonts w:ascii="Times New Roman;Times;serif" w:hAnsi="Times New Roman;Times;serif"/>
          <w:spacing w:val="-3"/>
          <w:sz w:val="21"/>
        </w:rPr>
        <w:t>this</w:t>
      </w:r>
      <w:r>
        <w:rPr>
          <w:rFonts w:ascii="Times New Roman;Times;serif" w:hAnsi="Times New Roman;Times;serif"/>
          <w:spacing w:val="-27"/>
          <w:sz w:val="21"/>
        </w:rPr>
        <w:t xml:space="preserve"> </w:t>
      </w:r>
      <w:r>
        <w:rPr>
          <w:rFonts w:ascii="Times New Roman;Times;serif" w:hAnsi="Times New Roman;Times;serif"/>
          <w:spacing w:val="-4"/>
          <w:sz w:val="21"/>
        </w:rPr>
        <w:t>property.</w:t>
      </w:r>
    </w:p>
    <w:p>
      <w:pPr>
        <w:pStyle w:val="TextBody"/>
        <w:bidi w:val="0"/>
        <w:spacing w:before="8" w:after="0"/>
        <w:ind w:left="0" w:right="0" w:hanging="0"/>
        <w:jc w:val="left"/>
        <w:rPr/>
      </w:pPr>
      <w:r>
        <w:rPr/>
        <w:t>​</w:t>
      </w:r>
    </w:p>
    <w:p>
      <w:pPr>
        <w:pStyle w:val="TextBody"/>
        <w:bidi w:val="0"/>
        <w:ind w:left="160" w:right="0" w:hanging="0"/>
        <w:jc w:val="left"/>
        <w:rPr>
          <w:rFonts w:ascii="Arial;Helvetica;sans-serif" w:hAnsi="Arial;Helvetica;sans-serif"/>
          <w:b/>
          <w:sz w:val="21"/>
        </w:rPr>
      </w:pPr>
      <w:r>
        <w:rPr>
          <w:rFonts w:ascii="Arial;Helvetica;sans-serif" w:hAnsi="Arial;Helvetica;sans-serif"/>
          <w:b/>
          <w:sz w:val="21"/>
        </w:rPr>
        <w:t>5.</w:t>
      </w:r>
      <w:r>
        <w:rPr>
          <w:rFonts w:ascii="Arial;Helvetica;sans-serif" w:hAnsi="Arial;Helvetica;sans-serif"/>
          <w:b/>
          <w:spacing w:val="-3"/>
          <w:sz w:val="21"/>
        </w:rPr>
        <w:t xml:space="preserve">Real </w:t>
      </w:r>
      <w:r>
        <w:rPr>
          <w:rFonts w:ascii="Arial;Helvetica;sans-serif" w:hAnsi="Arial;Helvetica;sans-serif"/>
          <w:b/>
          <w:spacing w:val="-4"/>
          <w:sz w:val="21"/>
        </w:rPr>
        <w:t>Estate</w:t>
      </w:r>
      <w:r>
        <w:rPr>
          <w:rFonts w:ascii="Arial;Helvetica;sans-serif" w:hAnsi="Arial;Helvetica;sans-serif"/>
          <w:b/>
          <w:spacing w:val="-11"/>
          <w:sz w:val="21"/>
        </w:rPr>
        <w:t xml:space="preserve"> </w:t>
      </w:r>
      <w:r>
        <w:rPr>
          <w:rFonts w:ascii="Arial;Helvetica;sans-serif" w:hAnsi="Arial;Helvetica;sans-serif"/>
          <w:b/>
          <w:spacing w:val="-4"/>
          <w:sz w:val="21"/>
        </w:rPr>
        <w:t>Inventory</w:t>
      </w:r>
    </w:p>
    <w:p>
      <w:pPr>
        <w:pStyle w:val="TextBody"/>
        <w:bidi w:val="0"/>
        <w:spacing w:before="119" w:after="0"/>
        <w:ind w:left="880" w:right="0" w:hanging="0"/>
        <w:jc w:val="both"/>
        <w:rPr>
          <w:rFonts w:ascii="Times New Roman;Times;serif" w:hAnsi="Times New Roman;Times;serif"/>
          <w:sz w:val="21"/>
        </w:rPr>
      </w:pPr>
      <w:r>
        <w:rPr>
          <w:rFonts w:ascii="Times New Roman;Times;serif" w:hAnsi="Times New Roman;Times;serif"/>
          <w:sz w:val="21"/>
        </w:rPr>
        <w:t>Real estate inventory is comprised of the following at December 31, 2025 and 2024, respectively:</w:t>
      </w:r>
    </w:p>
    <w:p>
      <w:pPr>
        <w:pStyle w:val="TextBody"/>
        <w:bidi w:val="0"/>
        <w:spacing w:before="119" w:after="0"/>
        <w:ind w:left="880" w:right="0" w:hanging="0"/>
        <w:jc w:val="both"/>
        <w:rPr/>
      </w:pPr>
      <w:r>
        <w:rPr/>
        <w:t>​</w:t>
      </w:r>
    </w:p>
    <w:tbl>
      <w:tblPr>
        <w:tblW w:w="4453" w:type="dxa"/>
        <w:jc w:val="left"/>
        <w:tblInd w:w="0" w:type="dxa"/>
        <w:tblLayout w:type="fixed"/>
        <w:tblCellMar>
          <w:top w:w="0" w:type="dxa"/>
          <w:left w:w="0" w:type="dxa"/>
          <w:bottom w:w="0" w:type="dxa"/>
          <w:right w:w="0" w:type="dxa"/>
        </w:tblCellMar>
      </w:tblPr>
      <w:tblGrid>
        <w:gridCol w:w="2116"/>
        <w:gridCol w:w="109"/>
        <w:gridCol w:w="211"/>
        <w:gridCol w:w="826"/>
        <w:gridCol w:w="109"/>
        <w:gridCol w:w="211"/>
        <w:gridCol w:w="87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69215" cy="29210"/>
                      <wp:effectExtent l="0" t="0" r="0" b="0"/>
                      <wp:wrapNone/>
                      <wp:docPr id="852" name="Frame848"/>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133985" cy="29210"/>
                      <wp:effectExtent l="0" t="0" r="0" b="0"/>
                      <wp:wrapNone/>
                      <wp:docPr id="853" name="Frame849"/>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524510" cy="29210"/>
                      <wp:effectExtent l="0" t="0" r="0" b="0"/>
                      <wp:wrapNone/>
                      <wp:docPr id="854" name="Frame850"/>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69215" cy="29210"/>
                      <wp:effectExtent l="0" t="0" r="0" b="0"/>
                      <wp:wrapNone/>
                      <wp:docPr id="855" name="Frame851"/>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133985" cy="29210"/>
                      <wp:effectExtent l="0" t="0" r="0" b="0"/>
                      <wp:wrapNone/>
                      <wp:docPr id="856" name="Frame852"/>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553085" cy="29210"/>
                      <wp:effectExtent l="0" t="0" r="0" b="0"/>
                      <wp:wrapNone/>
                      <wp:docPr id="857" name="Frame853"/>
                      <a:graphic xmlns:a="http://schemas.openxmlformats.org/drawingml/2006/main">
                        <a:graphicData uri="http://schemas.microsoft.com/office/word/2010/wordprocessingShape">
                          <wps:wsp>
                            <wps:cNvSpPr txBox="1"/>
                            <wps:spPr>
                              <a:xfrm>
                                <a:off x="0" y="0"/>
                                <a:ext cx="55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(in thousands)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Land and development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13,900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19,304 </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Construction in progress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98,995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146,499 </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Real estate inventory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26" w:type="dxa"/>
            <w:tcBorders>
              <w:top w:val="single" w:sz="8"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112,895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165,803 </w:t>
            </w:r>
          </w:p>
        </w:tc>
      </w:tr>
    </w:tbl>
    <w:p>
      <w:pPr>
        <w:pStyle w:val="TextBody"/>
        <w:bidi w:val="0"/>
        <w:spacing w:before="0" w:after="0"/>
        <w:ind w:left="0" w:right="0" w:hanging="0"/>
        <w:jc w:val="left"/>
        <w:rPr/>
      </w:pPr>
      <w:r>
        <w:rPr/>
        <w:t>​</w:t>
      </w:r>
    </w:p>
    <w:p>
      <w:pPr>
        <w:pStyle w:val="TextBody"/>
        <w:bidi w:val="0"/>
        <w:ind w:left="160" w:right="0" w:hanging="0"/>
        <w:jc w:val="left"/>
        <w:rPr>
          <w:rFonts w:ascii="Arial;Helvetica;sans-serif" w:hAnsi="Arial;Helvetica;sans-serif"/>
          <w:b/>
          <w:sz w:val="21"/>
        </w:rPr>
      </w:pPr>
      <w:r>
        <w:rPr>
          <w:rFonts w:ascii="Arial;Helvetica;sans-serif" w:hAnsi="Arial;Helvetica;sans-serif"/>
          <w:b/>
          <w:sz w:val="21"/>
        </w:rPr>
        <w:t>6.</w:t>
      </w:r>
      <w:r>
        <w:rPr>
          <w:rFonts w:ascii="Arial;Helvetica;sans-serif" w:hAnsi="Arial;Helvetica;sans-serif"/>
          <w:b/>
          <w:spacing w:val="-4"/>
          <w:sz w:val="21"/>
        </w:rPr>
        <w:t xml:space="preserve">Accounts Receivable, Prepaid Expenses </w:t>
      </w:r>
      <w:r>
        <w:rPr>
          <w:rFonts w:ascii="Arial;Helvetica;sans-serif" w:hAnsi="Arial;Helvetica;sans-serif"/>
          <w:b/>
          <w:spacing w:val="-3"/>
          <w:sz w:val="21"/>
        </w:rPr>
        <w:t xml:space="preserve">and </w:t>
      </w:r>
      <w:r>
        <w:rPr>
          <w:rFonts w:ascii="Arial;Helvetica;sans-serif" w:hAnsi="Arial;Helvetica;sans-serif"/>
          <w:b/>
          <w:spacing w:val="-4"/>
          <w:sz w:val="21"/>
        </w:rPr>
        <w:t>Other</w:t>
      </w:r>
      <w:r>
        <w:rPr>
          <w:rFonts w:ascii="Arial;Helvetica;sans-serif" w:hAnsi="Arial;Helvetica;sans-serif"/>
          <w:b/>
          <w:spacing w:val="-19"/>
          <w:sz w:val="21"/>
        </w:rPr>
        <w:t xml:space="preserve"> </w:t>
      </w:r>
      <w:r>
        <w:rPr>
          <w:rFonts w:ascii="Arial;Helvetica;sans-serif" w:hAnsi="Arial;Helvetica;sans-serif"/>
          <w:b/>
          <w:spacing w:val="-4"/>
          <w:sz w:val="21"/>
        </w:rPr>
        <w:t>Assets</w:t>
      </w:r>
    </w:p>
    <w:p>
      <w:pPr>
        <w:pStyle w:val="TextBody"/>
        <w:bidi w:val="0"/>
        <w:spacing w:before="119" w:after="0"/>
        <w:ind w:left="880" w:right="257" w:hanging="0"/>
        <w:jc w:val="both"/>
        <w:rPr>
          <w:rFonts w:ascii="Times New Roman;Times;serif" w:hAnsi="Times New Roman;Times;serif"/>
          <w:sz w:val="21"/>
        </w:rPr>
      </w:pPr>
      <w:r>
        <w:rPr>
          <w:rFonts w:ascii="Times New Roman;Times;serif" w:hAnsi="Times New Roman;Times;serif"/>
          <w:spacing w:val="-4"/>
          <w:sz w:val="21"/>
        </w:rPr>
        <w:t xml:space="preserve">Accounts receivable, prepaid expenses </w:t>
      </w:r>
      <w:r>
        <w:rPr>
          <w:rFonts w:ascii="Times New Roman;Times;serif" w:hAnsi="Times New Roman;Times;serif"/>
          <w:spacing w:val="-3"/>
          <w:sz w:val="21"/>
        </w:rPr>
        <w:t xml:space="preserve">and </w:t>
      </w:r>
      <w:r>
        <w:rPr>
          <w:rFonts w:ascii="Times New Roman;Times;serif" w:hAnsi="Times New Roman;Times;serif"/>
          <w:spacing w:val="-4"/>
          <w:sz w:val="21"/>
        </w:rPr>
        <w:t xml:space="preserve">other assets </w:t>
      </w:r>
      <w:r>
        <w:rPr>
          <w:rFonts w:ascii="Times New Roman;Times;serif" w:hAnsi="Times New Roman;Times;serif"/>
          <w:spacing w:val="-3"/>
          <w:sz w:val="21"/>
        </w:rPr>
        <w:t xml:space="preserve">is </w:t>
      </w:r>
      <w:r>
        <w:rPr>
          <w:rFonts w:ascii="Times New Roman;Times;serif" w:hAnsi="Times New Roman;Times;serif"/>
          <w:spacing w:val="-4"/>
          <w:sz w:val="21"/>
        </w:rPr>
        <w:t xml:space="preserve">comprised </w:t>
      </w:r>
      <w:r>
        <w:rPr>
          <w:rFonts w:ascii="Times New Roman;Times;serif" w:hAnsi="Times New Roman;Times;serif"/>
          <w:sz w:val="21"/>
        </w:rPr>
        <w:t xml:space="preserve">of </w:t>
      </w:r>
      <w:r>
        <w:rPr>
          <w:rFonts w:ascii="Times New Roman;Times;serif" w:hAnsi="Times New Roman;Times;serif"/>
          <w:spacing w:val="-4"/>
          <w:sz w:val="21"/>
        </w:rPr>
        <w:t xml:space="preserve">the following </w:t>
      </w:r>
      <w:r>
        <w:rPr>
          <w:rFonts w:ascii="Times New Roman;Times;serif" w:hAnsi="Times New Roman;Times;serif"/>
          <w:spacing w:val="-3"/>
          <w:sz w:val="21"/>
        </w:rPr>
        <w:t xml:space="preserve">at </w:t>
      </w:r>
      <w:r>
        <w:rPr>
          <w:rFonts w:ascii="Times New Roman;Times;serif" w:hAnsi="Times New Roman;Times;serif"/>
          <w:spacing w:val="-4"/>
          <w:sz w:val="21"/>
        </w:rPr>
        <w:t xml:space="preserve">December </w:t>
      </w:r>
      <w:r>
        <w:rPr>
          <w:rFonts w:ascii="Times New Roman;Times;serif" w:hAnsi="Times New Roman;Times;serif"/>
          <w:spacing w:val="-3"/>
          <w:sz w:val="21"/>
        </w:rPr>
        <w:t xml:space="preserve">31, 2025 </w:t>
      </w:r>
      <w:r>
        <w:rPr>
          <w:rFonts w:ascii="Times New Roman;Times;serif" w:hAnsi="Times New Roman;Times;serif"/>
          <w:spacing w:val="-4"/>
          <w:sz w:val="21"/>
        </w:rPr>
        <w:t xml:space="preserve">and </w:t>
      </w:r>
      <w:r>
        <w:rPr>
          <w:rFonts w:ascii="Times New Roman;Times;serif" w:hAnsi="Times New Roman;Times;serif"/>
          <w:spacing w:val="-3"/>
          <w:sz w:val="21"/>
        </w:rPr>
        <w:t xml:space="preserve">2024, </w:t>
      </w:r>
      <w:r>
        <w:rPr>
          <w:rFonts w:ascii="Times New Roman;Times;serif" w:hAnsi="Times New Roman;Times;serif"/>
          <w:spacing w:val="-4"/>
          <w:sz w:val="21"/>
        </w:rPr>
        <w:t>respectively:</w:t>
      </w:r>
    </w:p>
    <w:p>
      <w:pPr>
        <w:pStyle w:val="TextBody"/>
        <w:bidi w:val="0"/>
        <w:spacing w:before="119" w:after="0"/>
        <w:ind w:left="880" w:right="257" w:hanging="0"/>
        <w:jc w:val="both"/>
        <w:rPr>
          <w:spacing w:val="-4"/>
        </w:rPr>
      </w:pPr>
      <w:r>
        <w:rPr>
          <w:spacing w:val="-4"/>
        </w:rPr>
        <w:t>​</w:t>
      </w:r>
    </w:p>
    <w:tbl>
      <w:tblPr>
        <w:tblW w:w="6818" w:type="dxa"/>
        <w:jc w:val="left"/>
        <w:tblInd w:w="0" w:type="dxa"/>
        <w:tblLayout w:type="fixed"/>
        <w:tblCellMar>
          <w:top w:w="0" w:type="dxa"/>
          <w:left w:w="0" w:type="dxa"/>
          <w:bottom w:w="0" w:type="dxa"/>
          <w:right w:w="0" w:type="dxa"/>
        </w:tblCellMar>
      </w:tblPr>
      <w:tblGrid>
        <w:gridCol w:w="4729"/>
        <w:gridCol w:w="281"/>
        <w:gridCol w:w="211"/>
        <w:gridCol w:w="616"/>
        <w:gridCol w:w="109"/>
        <w:gridCol w:w="211"/>
        <w:gridCol w:w="661"/>
      </w:tblGrid>
      <w:tr>
        <w:trPr/>
        <w:tc>
          <w:tcPr>
            <w:tcW w:w="4729" w:type="dxa"/>
            <w:tcBorders/>
            <w:vAlign w:val="center"/>
          </w:tcPr>
          <w:p>
            <w:pPr>
              <w:pStyle w:val="TableContents"/>
              <w:bidi w:val="0"/>
              <w:spacing w:before="0" w:after="283"/>
              <w:ind w:left="0" w:right="0" w:hanging="0"/>
              <w:jc w:val="left"/>
              <w:rPr>
                <w:sz w:val="4"/>
                <w:szCs w:val="4"/>
              </w:rPr>
            </w:pPr>
            <w:r>
              <w:rPr>
                <w:sz w:val="4"/>
                <w:szCs w:val="4"/>
              </w:rPr>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178435" cy="29210"/>
                      <wp:effectExtent l="0" t="0" r="0" b="0"/>
                      <wp:wrapNone/>
                      <wp:docPr id="858" name="Frame854"/>
                      <a:graphic xmlns:a="http://schemas.openxmlformats.org/drawingml/2006/main">
                        <a:graphicData uri="http://schemas.microsoft.com/office/word/2010/wordprocessingShape">
                          <wps:wsp>
                            <wps:cNvSpPr txBox="1"/>
                            <wps:spPr>
                              <a:xfrm>
                                <a:off x="0" y="0"/>
                                <a:ext cx="17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133985" cy="29210"/>
                      <wp:effectExtent l="0" t="0" r="0" b="0"/>
                      <wp:wrapNone/>
                      <wp:docPr id="859" name="Frame855"/>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391160" cy="29210"/>
                      <wp:effectExtent l="0" t="0" r="0" b="0"/>
                      <wp:wrapNone/>
                      <wp:docPr id="860" name="Frame856"/>
                      <a:graphic xmlns:a="http://schemas.openxmlformats.org/drawingml/2006/main">
                        <a:graphicData uri="http://schemas.microsoft.com/office/word/2010/wordprocessingShape">
                          <wps:wsp>
                            <wps:cNvSpPr txBox="1"/>
                            <wps:spPr>
                              <a:xfrm>
                                <a:off x="0" y="0"/>
                                <a:ext cx="391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69215" cy="29210"/>
                      <wp:effectExtent l="0" t="0" r="0" b="0"/>
                      <wp:wrapNone/>
                      <wp:docPr id="861" name="Frame857"/>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133985" cy="29210"/>
                      <wp:effectExtent l="0" t="0" r="0" b="0"/>
                      <wp:wrapNone/>
                      <wp:docPr id="862" name="Frame858"/>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419735" cy="29210"/>
                      <wp:effectExtent l="0" t="0" r="0" b="0"/>
                      <wp:wrapNone/>
                      <wp:docPr id="863" name="Frame859"/>
                      <a:graphic xmlns:a="http://schemas.openxmlformats.org/drawingml/2006/main">
                        <a:graphicData uri="http://schemas.microsoft.com/office/word/2010/wordprocessingShape">
                          <wps:wsp>
                            <wps:cNvSpPr txBox="1"/>
                            <wps:spPr>
                              <a:xfrm>
                                <a:off x="0" y="0"/>
                                <a:ext cx="419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72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(in thousands)</w:t>
            </w:r>
          </w:p>
        </w:tc>
        <w:tc>
          <w:tcPr>
            <w:tcW w:w="281" w:type="dxa"/>
            <w:tcBorders/>
            <w:vAlign w:val="center"/>
          </w:tcPr>
          <w:p>
            <w:pPr>
              <w:pStyle w:val="TableContents"/>
              <w:bidi w:val="0"/>
              <w:spacing w:before="0" w:after="283"/>
              <w:ind w:left="0" w:right="0" w:hanging="0"/>
              <w:jc w:val="left"/>
              <w:rPr>
                <w:sz w:val="4"/>
                <w:szCs w:val="4"/>
              </w:rPr>
            </w:pPr>
            <w:r>
              <w:rPr>
                <w:sz w:val="4"/>
                <w:szCs w:val="4"/>
              </w:rPr>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472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receivable</w:t>
            </w:r>
          </w:p>
        </w:tc>
        <w:tc>
          <w:tcPr>
            <w:tcW w:w="281"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26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485 </w:t>
            </w:r>
          </w:p>
        </w:tc>
      </w:tr>
      <w:tr>
        <w:trPr/>
        <w:tc>
          <w:tcPr>
            <w:tcW w:w="472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commissions</w:t>
            </w:r>
          </w:p>
        </w:tc>
        <w:tc>
          <w:tcPr>
            <w:tcW w:w="281"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475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1,015 </w:t>
            </w:r>
          </w:p>
        </w:tc>
      </w:tr>
      <w:tr>
        <w:trPr/>
        <w:tc>
          <w:tcPr>
            <w:tcW w:w="472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281"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588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66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592 </w:t>
            </w:r>
          </w:p>
        </w:tc>
      </w:tr>
      <w:tr>
        <w:trPr/>
        <w:tc>
          <w:tcPr>
            <w:tcW w:w="5010" w:type="dxa"/>
            <w:gridSpan w:val="2"/>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accounts receivable, prepaid expenses and other assets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1,089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2,092 </w:t>
            </w:r>
          </w:p>
        </w:tc>
      </w:tr>
    </w:tbl>
    <w:p>
      <w:pPr>
        <w:pStyle w:val="TextBody"/>
        <w:bidi w:val="0"/>
        <w:spacing w:before="0" w:after="0"/>
        <w:ind w:left="0" w:right="0" w:hanging="0"/>
        <w:jc w:val="left"/>
        <w:rPr/>
      </w:pPr>
      <w:r>
        <w:rPr/>
        <w:t>​</w:t>
      </w:r>
    </w:p>
    <w:p>
      <w:pPr>
        <w:pStyle w:val="TextBody"/>
        <w:bidi w:val="0"/>
        <w:ind w:left="160" w:right="0" w:hanging="0"/>
        <w:jc w:val="left"/>
        <w:rPr>
          <w:rFonts w:ascii="Arial;Helvetica;sans-serif" w:hAnsi="Arial;Helvetica;sans-serif"/>
          <w:b/>
          <w:sz w:val="21"/>
        </w:rPr>
      </w:pPr>
      <w:r>
        <w:rPr>
          <w:rFonts w:ascii="Arial;Helvetica;sans-serif" w:hAnsi="Arial;Helvetica;sans-serif"/>
          <w:b/>
          <w:sz w:val="21"/>
        </w:rPr>
        <w:t>7.</w:t>
      </w:r>
      <w:r>
        <w:rPr>
          <w:rFonts w:ascii="Arial;Helvetica;sans-serif" w:hAnsi="Arial;Helvetica;sans-serif"/>
          <w:b/>
          <w:spacing w:val="-4"/>
          <w:sz w:val="21"/>
        </w:rPr>
        <w:t xml:space="preserve">Mortgage </w:t>
      </w:r>
      <w:r>
        <w:rPr>
          <w:rFonts w:ascii="Arial;Helvetica;sans-serif" w:hAnsi="Arial;Helvetica;sans-serif"/>
          <w:b/>
          <w:spacing w:val="-3"/>
          <w:sz w:val="21"/>
        </w:rPr>
        <w:t xml:space="preserve">Notes </w:t>
      </w:r>
      <w:r>
        <w:rPr>
          <w:rFonts w:ascii="Arial;Helvetica;sans-serif" w:hAnsi="Arial;Helvetica;sans-serif"/>
          <w:b/>
          <w:spacing w:val="-4"/>
          <w:sz w:val="21"/>
        </w:rPr>
        <w:t xml:space="preserve">Payable </w:t>
      </w:r>
      <w:r>
        <w:rPr>
          <w:rFonts w:ascii="Arial;Helvetica;sans-serif" w:hAnsi="Arial;Helvetica;sans-serif"/>
          <w:b/>
          <w:spacing w:val="-3"/>
          <w:sz w:val="21"/>
        </w:rPr>
        <w:t>(in</w:t>
      </w:r>
      <w:r>
        <w:rPr>
          <w:rFonts w:ascii="Arial;Helvetica;sans-serif" w:hAnsi="Arial;Helvetica;sans-serif"/>
          <w:b/>
          <w:spacing w:val="-18"/>
          <w:sz w:val="21"/>
        </w:rPr>
        <w:t xml:space="preserve"> </w:t>
      </w:r>
      <w:r>
        <w:rPr>
          <w:rFonts w:ascii="Arial;Helvetica;sans-serif" w:hAnsi="Arial;Helvetica;sans-serif"/>
          <w:b/>
          <w:spacing w:val="-4"/>
          <w:sz w:val="21"/>
        </w:rPr>
        <w:t>thousands)</w:t>
      </w:r>
    </w:p>
    <w:p>
      <w:pPr>
        <w:pStyle w:val="TextBody"/>
        <w:bidi w:val="0"/>
        <w:spacing w:before="117" w:after="0"/>
        <w:ind w:left="880" w:right="257" w:hanging="0"/>
        <w:jc w:val="both"/>
        <w:rPr>
          <w:rFonts w:ascii="Times New Roman;Times;serif" w:hAnsi="Times New Roman;Times;serif"/>
          <w:sz w:val="21"/>
        </w:rPr>
      </w:pPr>
      <w:r>
        <w:rPr>
          <w:rFonts w:ascii="Times New Roman;Times;serif" w:hAnsi="Times New Roman;Times;serif"/>
          <w:sz w:val="21"/>
        </w:rPr>
        <w:t>On June 25, 2020, the Company entered into a secured revolving promissory note with one of its members in the amount of $10 million. The loan had a maturity date of June 25, 2025 and bore interest at a rate of 5%. At December 31, 2025 the note was fully paid off and satisfied. The note was secured by a mortgage</w:t>
      </w:r>
      <w:r>
        <w:rPr>
          <w:rFonts w:ascii="Times New Roman;Times;serif" w:hAnsi="Times New Roman;Times;serif"/>
          <w:spacing w:val="-4"/>
          <w:sz w:val="21"/>
        </w:rPr>
        <w:t xml:space="preserve"> </w:t>
      </w:r>
      <w:r>
        <w:rPr>
          <w:rFonts w:ascii="Times New Roman;Times;serif" w:hAnsi="Times New Roman;Times;serif"/>
          <w:sz w:val="21"/>
        </w:rPr>
        <w:t>and</w:t>
      </w:r>
      <w:r>
        <w:rPr>
          <w:rFonts w:ascii="Times New Roman;Times;serif" w:hAnsi="Times New Roman;Times;serif"/>
          <w:spacing w:val="-3"/>
          <w:sz w:val="21"/>
        </w:rPr>
        <w:t xml:space="preserve"> </w:t>
      </w:r>
      <w:r>
        <w:rPr>
          <w:rFonts w:ascii="Times New Roman;Times;serif" w:hAnsi="Times New Roman;Times;serif"/>
          <w:sz w:val="21"/>
        </w:rPr>
        <w:t>security</w:t>
      </w:r>
      <w:r>
        <w:rPr>
          <w:rFonts w:ascii="Times New Roman;Times;serif" w:hAnsi="Times New Roman;Times;serif"/>
          <w:spacing w:val="-3"/>
          <w:sz w:val="21"/>
        </w:rPr>
        <w:t xml:space="preserve"> </w:t>
      </w:r>
      <w:r>
        <w:rPr>
          <w:rFonts w:ascii="Times New Roman;Times;serif" w:hAnsi="Times New Roman;Times;serif"/>
          <w:sz w:val="21"/>
        </w:rPr>
        <w:t>interest</w:t>
      </w:r>
      <w:r>
        <w:rPr>
          <w:rFonts w:ascii="Times New Roman;Times;serif" w:hAnsi="Times New Roman;Times;serif"/>
          <w:spacing w:val="-3"/>
          <w:sz w:val="21"/>
        </w:rPr>
        <w:t xml:space="preserve"> </w:t>
      </w:r>
      <w:r>
        <w:rPr>
          <w:rFonts w:ascii="Times New Roman;Times;serif" w:hAnsi="Times New Roman;Times;serif"/>
          <w:sz w:val="21"/>
        </w:rPr>
        <w:t>in</w:t>
      </w:r>
      <w:r>
        <w:rPr>
          <w:rFonts w:ascii="Times New Roman;Times;serif" w:hAnsi="Times New Roman;Times;serif"/>
          <w:spacing w:val="-4"/>
          <w:sz w:val="21"/>
        </w:rPr>
        <w:t xml:space="preserve"> </w:t>
      </w:r>
      <w:r>
        <w:rPr>
          <w:rFonts w:ascii="Times New Roman;Times;serif" w:hAnsi="Times New Roman;Times;serif"/>
          <w:sz w:val="21"/>
        </w:rPr>
        <w:t>and</w:t>
      </w:r>
      <w:r>
        <w:rPr>
          <w:rFonts w:ascii="Times New Roman;Times;serif" w:hAnsi="Times New Roman;Times;serif"/>
          <w:spacing w:val="-3"/>
          <w:sz w:val="21"/>
        </w:rPr>
        <w:t xml:space="preserve"> </w:t>
      </w:r>
      <w:r>
        <w:rPr>
          <w:rFonts w:ascii="Times New Roman;Times;serif" w:hAnsi="Times New Roman;Times;serif"/>
          <w:sz w:val="21"/>
        </w:rPr>
        <w:t>on</w:t>
      </w:r>
      <w:r>
        <w:rPr>
          <w:rFonts w:ascii="Times New Roman;Times;serif" w:hAnsi="Times New Roman;Times;serif"/>
          <w:spacing w:val="-3"/>
          <w:sz w:val="21"/>
        </w:rPr>
        <w:t xml:space="preserve"> </w:t>
      </w:r>
      <w:r>
        <w:rPr>
          <w:rFonts w:ascii="Times New Roman;Times;serif" w:hAnsi="Times New Roman;Times;serif"/>
          <w:sz w:val="21"/>
        </w:rPr>
        <w:t>the</w:t>
      </w:r>
      <w:r>
        <w:rPr>
          <w:rFonts w:ascii="Times New Roman;Times;serif" w:hAnsi="Times New Roman;Times;serif"/>
          <w:spacing w:val="-3"/>
          <w:sz w:val="21"/>
        </w:rPr>
        <w:t xml:space="preserve"> </w:t>
      </w:r>
      <w:r>
        <w:rPr>
          <w:rFonts w:ascii="Times New Roman;Times;serif" w:hAnsi="Times New Roman;Times;serif"/>
          <w:sz w:val="21"/>
        </w:rPr>
        <w:t>real</w:t>
      </w:r>
      <w:r>
        <w:rPr>
          <w:rFonts w:ascii="Times New Roman;Times;serif" w:hAnsi="Times New Roman;Times;serif"/>
          <w:spacing w:val="-4"/>
          <w:sz w:val="21"/>
        </w:rPr>
        <w:t xml:space="preserve"> </w:t>
      </w:r>
      <w:r>
        <w:rPr>
          <w:rFonts w:ascii="Times New Roman;Times;serif" w:hAnsi="Times New Roman;Times;serif"/>
          <w:sz w:val="21"/>
        </w:rPr>
        <w:t>property</w:t>
      </w:r>
      <w:r>
        <w:rPr>
          <w:rFonts w:ascii="Times New Roman;Times;serif" w:hAnsi="Times New Roman;Times;serif"/>
          <w:spacing w:val="-3"/>
          <w:sz w:val="21"/>
        </w:rPr>
        <w:t xml:space="preserve"> </w:t>
      </w:r>
      <w:r>
        <w:rPr>
          <w:rFonts w:ascii="Times New Roman;Times;serif" w:hAnsi="Times New Roman;Times;serif"/>
          <w:sz w:val="21"/>
        </w:rPr>
        <w:t>and</w:t>
      </w:r>
      <w:r>
        <w:rPr>
          <w:rFonts w:ascii="Times New Roman;Times;serif" w:hAnsi="Times New Roman;Times;serif"/>
          <w:spacing w:val="-3"/>
          <w:sz w:val="21"/>
        </w:rPr>
        <w:t xml:space="preserve"> </w:t>
      </w:r>
      <w:r>
        <w:rPr>
          <w:rFonts w:ascii="Times New Roman;Times;serif" w:hAnsi="Times New Roman;Times;serif"/>
          <w:sz w:val="21"/>
        </w:rPr>
        <w:t>improvements</w:t>
      </w:r>
      <w:r>
        <w:rPr>
          <w:rFonts w:ascii="Times New Roman;Times;serif" w:hAnsi="Times New Roman;Times;serif"/>
          <w:spacing w:val="-3"/>
          <w:sz w:val="21"/>
        </w:rPr>
        <w:t xml:space="preserve"> </w:t>
      </w:r>
      <w:r>
        <w:rPr>
          <w:rFonts w:ascii="Times New Roman;Times;serif" w:hAnsi="Times New Roman;Times;serif"/>
          <w:sz w:val="21"/>
        </w:rPr>
        <w:t>located</w:t>
      </w:r>
      <w:r>
        <w:rPr>
          <w:rFonts w:ascii="Times New Roman;Times;serif" w:hAnsi="Times New Roman;Times;serif"/>
          <w:spacing w:val="-3"/>
          <w:sz w:val="21"/>
        </w:rPr>
        <w:t xml:space="preserve"> </w:t>
      </w:r>
      <w:r>
        <w:rPr>
          <w:rFonts w:ascii="Times New Roman;Times;serif" w:hAnsi="Times New Roman;Times;serif"/>
          <w:sz w:val="21"/>
        </w:rPr>
        <w:t>on</w:t>
      </w:r>
      <w:r>
        <w:rPr>
          <w:rFonts w:ascii="Times New Roman;Times;serif" w:hAnsi="Times New Roman;Times;serif"/>
          <w:spacing w:val="-4"/>
          <w:sz w:val="21"/>
        </w:rPr>
        <w:t xml:space="preserve"> </w:t>
      </w:r>
      <w:r>
        <w:rPr>
          <w:rFonts w:ascii="Times New Roman;Times;serif" w:hAnsi="Times New Roman;Times;serif"/>
          <w:sz w:val="21"/>
        </w:rPr>
        <w:t>the</w:t>
      </w:r>
      <w:r>
        <w:rPr>
          <w:rFonts w:ascii="Times New Roman;Times;serif" w:hAnsi="Times New Roman;Times;serif"/>
          <w:spacing w:val="-3"/>
          <w:sz w:val="21"/>
        </w:rPr>
        <w:t xml:space="preserve"> </w:t>
      </w:r>
      <w:r>
        <w:rPr>
          <w:rFonts w:ascii="Times New Roman;Times;serif" w:hAnsi="Times New Roman;Times;serif"/>
          <w:sz w:val="21"/>
        </w:rPr>
        <w:t>real</w:t>
      </w:r>
      <w:r>
        <w:rPr>
          <w:rFonts w:ascii="Times New Roman;Times;serif" w:hAnsi="Times New Roman;Times;serif"/>
          <w:spacing w:val="-3"/>
          <w:sz w:val="21"/>
        </w:rPr>
        <w:t xml:space="preserve"> </w:t>
      </w:r>
      <w:r>
        <w:rPr>
          <w:rFonts w:ascii="Times New Roman;Times;serif" w:hAnsi="Times New Roman;Times;serif"/>
          <w:sz w:val="21"/>
        </w:rPr>
        <w:t>property.</w:t>
      </w:r>
    </w:p>
    <w:p>
      <w:pPr>
        <w:pStyle w:val="TextBody"/>
        <w:bidi w:val="0"/>
        <w:spacing w:before="121" w:after="0"/>
        <w:ind w:left="880" w:right="257" w:hanging="0"/>
        <w:jc w:val="both"/>
        <w:rPr>
          <w:rFonts w:ascii="Times New Roman;Times;serif" w:hAnsi="Times New Roman;Times;serif"/>
          <w:sz w:val="21"/>
        </w:rPr>
      </w:pPr>
      <w:r>
        <w:rPr>
          <w:rFonts w:ascii="Times New Roman;Times;serif" w:hAnsi="Times New Roman;Times;serif"/>
          <w:sz w:val="21"/>
        </w:rPr>
        <w:t>On December 16, 2022, the Company entered into a Master Note (Line of Credit) which includes two separate notes totaling $45 million. Both notes had a maturity date of December 16, 2025 and bore interest at a variable rate. The loan has been renewed with a maturity date of January 30, 2029. The loan is secured by the real and personal property and certain other security interests. In connection with the loan, the Company’s members entered into an unconditional guaranty of completion of certain homes and related improvements in favor of the</w:t>
      </w:r>
      <w:r>
        <w:rPr>
          <w:rFonts w:ascii="Times New Roman;Times;serif" w:hAnsi="Times New Roman;Times;serif"/>
          <w:spacing w:val="-25"/>
          <w:sz w:val="21"/>
        </w:rPr>
        <w:t xml:space="preserve"> </w:t>
      </w:r>
      <w:r>
        <w:rPr>
          <w:rFonts w:ascii="Times New Roman;Times;serif" w:hAnsi="Times New Roman;Times;serif"/>
          <w:sz w:val="21"/>
        </w:rPr>
        <w:t>lender.</w:t>
      </w:r>
    </w:p>
    <w:p>
      <w:pPr>
        <w:pStyle w:val="TextBody"/>
        <w:bidi w:val="0"/>
        <w:spacing w:before="119" w:after="0"/>
        <w:ind w:left="880" w:right="253" w:hanging="0"/>
        <w:jc w:val="both"/>
        <w:rPr>
          <w:rFonts w:ascii="Times New Roman;Times;serif" w:hAnsi="Times New Roman;Times;serif"/>
          <w:sz w:val="21"/>
        </w:rPr>
      </w:pPr>
      <w:r>
        <w:rPr>
          <w:rFonts w:ascii="Times New Roman;Times;serif" w:hAnsi="Times New Roman;Times;serif"/>
          <w:sz w:val="21"/>
        </w:rPr>
        <w:t>Through the years ended December 31, 2025 and 2024, interest on these loans was $598 and $1,812, respectively, of which $598 and $1,812 was capitalized to real estate inventory, respectively.</w:t>
      </w:r>
    </w:p>
    <w:p>
      <w:pPr>
        <w:pStyle w:val="TextBody"/>
        <w:bidi w:val="0"/>
        <w:spacing w:before="122" w:after="0"/>
        <w:ind w:left="879" w:right="257" w:hanging="0"/>
        <w:jc w:val="both"/>
        <w:rPr>
          <w:rFonts w:ascii="Times New Roman;Times;serif" w:hAnsi="Times New Roman;Times;serif"/>
          <w:sz w:val="21"/>
        </w:rPr>
      </w:pPr>
      <w:r>
        <w:rPr>
          <w:rFonts w:ascii="Times New Roman;Times;serif" w:hAnsi="Times New Roman;Times;serif"/>
          <w:sz w:val="21"/>
        </w:rPr>
        <w:t xml:space="preserve">As of </w:t>
      </w:r>
      <w:r>
        <w:rPr>
          <w:rFonts w:ascii="Times New Roman;Times;serif" w:hAnsi="Times New Roman;Times;serif"/>
          <w:spacing w:val="-4"/>
          <w:sz w:val="21"/>
        </w:rPr>
        <w:t xml:space="preserve">December </w:t>
      </w:r>
      <w:r>
        <w:rPr>
          <w:rFonts w:ascii="Times New Roman;Times;serif" w:hAnsi="Times New Roman;Times;serif"/>
          <w:spacing w:val="-3"/>
          <w:sz w:val="21"/>
        </w:rPr>
        <w:t xml:space="preserve">31, 2025 </w:t>
      </w:r>
      <w:r>
        <w:rPr>
          <w:rFonts w:ascii="Times New Roman;Times;serif" w:hAnsi="Times New Roman;Times;serif"/>
          <w:sz w:val="21"/>
        </w:rPr>
        <w:t xml:space="preserve">and </w:t>
      </w:r>
      <w:r>
        <w:rPr>
          <w:rFonts w:ascii="Times New Roman;Times;serif" w:hAnsi="Times New Roman;Times;serif"/>
          <w:spacing w:val="-4"/>
          <w:sz w:val="21"/>
        </w:rPr>
        <w:t xml:space="preserve">2024, </w:t>
      </w:r>
      <w:r>
        <w:rPr>
          <w:rFonts w:ascii="Times New Roman;Times;serif" w:hAnsi="Times New Roman;Times;serif"/>
          <w:spacing w:val="-3"/>
          <w:sz w:val="21"/>
        </w:rPr>
        <w:t xml:space="preserve">there </w:t>
      </w:r>
      <w:r>
        <w:rPr>
          <w:rFonts w:ascii="Times New Roman;Times;serif" w:hAnsi="Times New Roman;Times;serif"/>
          <w:spacing w:val="-4"/>
          <w:sz w:val="21"/>
        </w:rPr>
        <w:t xml:space="preserve">was </w:t>
      </w:r>
      <w:r>
        <w:rPr>
          <w:rFonts w:ascii="Times New Roman;Times;serif" w:hAnsi="Times New Roman;Times;serif"/>
          <w:spacing w:val="-3"/>
          <w:sz w:val="21"/>
        </w:rPr>
        <w:t xml:space="preserve">$-0- </w:t>
      </w:r>
      <w:r>
        <w:rPr>
          <w:rFonts w:ascii="Times New Roman;Times;serif" w:hAnsi="Times New Roman;Times;serif"/>
          <w:sz w:val="21"/>
        </w:rPr>
        <w:t xml:space="preserve">and </w:t>
      </w:r>
      <w:r>
        <w:rPr>
          <w:rFonts w:ascii="Times New Roman;Times;serif" w:hAnsi="Times New Roman;Times;serif"/>
          <w:spacing w:val="-3"/>
          <w:sz w:val="21"/>
        </w:rPr>
        <w:t xml:space="preserve">$192, </w:t>
      </w:r>
      <w:r>
        <w:rPr>
          <w:rFonts w:ascii="Times New Roman;Times;serif" w:hAnsi="Times New Roman;Times;serif"/>
          <w:spacing w:val="-4"/>
          <w:sz w:val="21"/>
        </w:rPr>
        <w:t xml:space="preserve">respectively, </w:t>
      </w:r>
      <w:r>
        <w:rPr>
          <w:rFonts w:ascii="Times New Roman;Times;serif" w:hAnsi="Times New Roman;Times;serif"/>
          <w:sz w:val="21"/>
        </w:rPr>
        <w:t xml:space="preserve">of </w:t>
      </w:r>
      <w:r>
        <w:rPr>
          <w:rFonts w:ascii="Times New Roman;Times;serif" w:hAnsi="Times New Roman;Times;serif"/>
          <w:spacing w:val="-4"/>
          <w:sz w:val="21"/>
        </w:rPr>
        <w:t>unamortized deferred financing</w:t>
      </w:r>
      <w:r>
        <w:rPr>
          <w:rFonts w:ascii="Times New Roman;Times;serif" w:hAnsi="Times New Roman;Times;serif"/>
          <w:spacing w:val="-7"/>
          <w:sz w:val="21"/>
        </w:rPr>
        <w:t xml:space="preserve"> </w:t>
      </w:r>
      <w:r>
        <w:rPr>
          <w:rFonts w:ascii="Times New Roman;Times;serif" w:hAnsi="Times New Roman;Times;serif"/>
          <w:spacing w:val="-4"/>
          <w:sz w:val="21"/>
        </w:rPr>
        <w:t>costs</w:t>
      </w:r>
      <w:r>
        <w:rPr>
          <w:rFonts w:ascii="Times New Roman;Times;serif" w:hAnsi="Times New Roman;Times;serif"/>
          <w:sz w:val="21"/>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shd w:fill="FFFFFF" w:val="clear"/>
        </w:rPr>
        <w:tab/>
      </w:r>
      <w:r>
        <w:rPr>
          <w:rFonts w:ascii="Times New Roman;Times;serif" w:hAnsi="Times New Roman;Times;serif"/>
          <w:sz w:val="22"/>
          <w:shd w:fill="FFFFFF" w:val="clear"/>
        </w:rPr>
        <w:tab/>
      </w:r>
      <w:r>
        <w:rPr>
          <w:rFonts w:ascii="Times New Roman;Times;serif" w:hAnsi="Times New Roman;Times;serif"/>
          <w:sz w:val="20"/>
          <w:shd w:fill="FFFFFF" w:val="clear"/>
        </w:rPr>
        <w:t>8</w:t>
      </w:r>
      <w:r>
        <mc:AlternateContent>
          <mc:Choice Requires="wps">
            <w:drawing>
              <wp:anchor behindDoc="0" distT="0" distB="0" distL="0" distR="0" simplePos="0" locked="0" layoutInCell="1" allowOverlap="1" relativeHeight="865">
                <wp:simplePos x="0" y="0"/>
                <wp:positionH relativeFrom="page">
                  <wp:posOffset>0</wp:posOffset>
                </wp:positionH>
                <wp:positionV relativeFrom="line">
                  <wp:posOffset>635</wp:posOffset>
                </wp:positionV>
                <wp:extent cx="6480175" cy="175260"/>
                <wp:effectExtent l="0" t="0" r="0" b="0"/>
                <wp:wrapNone/>
                <wp:docPr id="864" name="Frame8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LMWS, LLC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Financial Statements</w:t>
      </w:r>
    </w:p>
    <w:p>
      <w:pPr>
        <w:pStyle w:val="TextBody"/>
        <w:bidi w:val="0"/>
        <w:spacing w:before="0" w:after="0"/>
        <w:ind w:left="0" w:right="0" w:hanging="0"/>
        <w:jc w:val="left"/>
        <w:rPr/>
      </w:pPr>
      <w:r>
        <w:rPr/>
        <w:t>​</w:t>
      </w:r>
    </w:p>
    <w:p>
      <w:pPr>
        <w:pStyle w:val="TextBody"/>
        <w:bidi w:val="0"/>
        <w:spacing w:before="8" w:after="0"/>
        <w:ind w:left="0" w:right="0" w:hanging="0"/>
        <w:jc w:val="left"/>
        <w:rPr/>
      </w:pPr>
      <w:r>
        <w:rPr/>
        <w:t>​</w:t>
      </w:r>
    </w:p>
    <w:p>
      <w:pPr>
        <w:pStyle w:val="TextBody"/>
        <w:bidi w:val="0"/>
        <w:ind w:left="160" w:right="0" w:hanging="0"/>
        <w:jc w:val="left"/>
        <w:rPr>
          <w:rFonts w:ascii="Arial;Helvetica;sans-serif" w:hAnsi="Arial;Helvetica;sans-serif"/>
          <w:b/>
          <w:sz w:val="21"/>
        </w:rPr>
      </w:pPr>
      <w:r>
        <w:rPr>
          <w:rFonts w:ascii="Arial;Helvetica;sans-serif" w:hAnsi="Arial;Helvetica;sans-serif"/>
          <w:b/>
          <w:sz w:val="21"/>
        </w:rPr>
        <w:t>8.</w:t>
      </w:r>
      <w:r>
        <w:rPr>
          <w:rFonts w:ascii="Arial;Helvetica;sans-serif" w:hAnsi="Arial;Helvetica;sans-serif"/>
          <w:b/>
          <w:spacing w:val="-4"/>
          <w:sz w:val="21"/>
        </w:rPr>
        <w:t xml:space="preserve">Accounts Payable </w:t>
      </w:r>
      <w:r>
        <w:rPr>
          <w:rFonts w:ascii="Arial;Helvetica;sans-serif" w:hAnsi="Arial;Helvetica;sans-serif"/>
          <w:b/>
          <w:spacing w:val="-3"/>
          <w:sz w:val="21"/>
        </w:rPr>
        <w:t xml:space="preserve">and </w:t>
      </w:r>
      <w:r>
        <w:rPr>
          <w:rFonts w:ascii="Arial;Helvetica;sans-serif" w:hAnsi="Arial;Helvetica;sans-serif"/>
          <w:b/>
          <w:spacing w:val="-4"/>
          <w:sz w:val="21"/>
        </w:rPr>
        <w:t>Accrued</w:t>
      </w:r>
      <w:r>
        <w:rPr>
          <w:rFonts w:ascii="Arial;Helvetica;sans-serif" w:hAnsi="Arial;Helvetica;sans-serif"/>
          <w:b/>
          <w:spacing w:val="-16"/>
          <w:sz w:val="21"/>
        </w:rPr>
        <w:t xml:space="preserve"> </w:t>
      </w:r>
      <w:r>
        <w:rPr>
          <w:rFonts w:ascii="Arial;Helvetica;sans-serif" w:hAnsi="Arial;Helvetica;sans-serif"/>
          <w:b/>
          <w:spacing w:val="-4"/>
          <w:sz w:val="21"/>
        </w:rPr>
        <w:t>Expenses</w:t>
      </w:r>
    </w:p>
    <w:p>
      <w:pPr>
        <w:pStyle w:val="TextBody"/>
        <w:bidi w:val="0"/>
        <w:spacing w:before="119" w:after="0"/>
        <w:ind w:left="880" w:right="253" w:hanging="0"/>
        <w:jc w:val="both"/>
        <w:rPr>
          <w:rFonts w:ascii="Times New Roman;Times;serif" w:hAnsi="Times New Roman;Times;serif"/>
          <w:sz w:val="21"/>
        </w:rPr>
      </w:pPr>
      <w:r>
        <w:rPr>
          <w:rFonts w:ascii="Times New Roman;Times;serif" w:hAnsi="Times New Roman;Times;serif"/>
          <w:spacing w:val="-4"/>
          <w:sz w:val="21"/>
        </w:rPr>
        <w:t xml:space="preserve">Accounts payable </w:t>
      </w:r>
      <w:r>
        <w:rPr>
          <w:rFonts w:ascii="Times New Roman;Times;serif" w:hAnsi="Times New Roman;Times;serif"/>
          <w:spacing w:val="-3"/>
          <w:sz w:val="21"/>
        </w:rPr>
        <w:t xml:space="preserve">and </w:t>
      </w:r>
      <w:r>
        <w:rPr>
          <w:rFonts w:ascii="Times New Roman;Times;serif" w:hAnsi="Times New Roman;Times;serif"/>
          <w:spacing w:val="-4"/>
          <w:sz w:val="21"/>
        </w:rPr>
        <w:t xml:space="preserve">accrued expenses </w:t>
      </w:r>
      <w:r>
        <w:rPr>
          <w:rFonts w:ascii="Times New Roman;Times;serif" w:hAnsi="Times New Roman;Times;serif"/>
          <w:spacing w:val="-3"/>
          <w:sz w:val="21"/>
        </w:rPr>
        <w:t xml:space="preserve">is </w:t>
      </w:r>
      <w:r>
        <w:rPr>
          <w:rFonts w:ascii="Times New Roman;Times;serif" w:hAnsi="Times New Roman;Times;serif"/>
          <w:spacing w:val="-4"/>
          <w:sz w:val="21"/>
        </w:rPr>
        <w:t xml:space="preserve">comprised </w:t>
      </w:r>
      <w:r>
        <w:rPr>
          <w:rFonts w:ascii="Times New Roman;Times;serif" w:hAnsi="Times New Roman;Times;serif"/>
          <w:sz w:val="21"/>
        </w:rPr>
        <w:t xml:space="preserve">of </w:t>
      </w:r>
      <w:r>
        <w:rPr>
          <w:rFonts w:ascii="Times New Roman;Times;serif" w:hAnsi="Times New Roman;Times;serif"/>
          <w:spacing w:val="-4"/>
          <w:sz w:val="21"/>
        </w:rPr>
        <w:t xml:space="preserve">the following </w:t>
      </w:r>
      <w:r>
        <w:rPr>
          <w:rFonts w:ascii="Times New Roman;Times;serif" w:hAnsi="Times New Roman;Times;serif"/>
          <w:spacing w:val="-3"/>
          <w:sz w:val="21"/>
        </w:rPr>
        <w:t xml:space="preserve">at </w:t>
      </w:r>
      <w:r>
        <w:rPr>
          <w:rFonts w:ascii="Times New Roman;Times;serif" w:hAnsi="Times New Roman;Times;serif"/>
          <w:spacing w:val="-4"/>
          <w:sz w:val="21"/>
        </w:rPr>
        <w:t xml:space="preserve">December </w:t>
      </w:r>
      <w:r>
        <w:rPr>
          <w:rFonts w:ascii="Times New Roman;Times;serif" w:hAnsi="Times New Roman;Times;serif"/>
          <w:spacing w:val="-3"/>
          <w:sz w:val="21"/>
        </w:rPr>
        <w:t xml:space="preserve">31, 2025 and 2024, </w:t>
      </w:r>
      <w:r>
        <w:rPr>
          <w:rFonts w:ascii="Times New Roman;Times;serif" w:hAnsi="Times New Roman;Times;serif"/>
          <w:spacing w:val="-4"/>
          <w:sz w:val="21"/>
        </w:rPr>
        <w:t>respectively:</w:t>
      </w:r>
    </w:p>
    <w:p>
      <w:pPr>
        <w:pStyle w:val="TextBody"/>
        <w:bidi w:val="0"/>
        <w:spacing w:before="0" w:after="0"/>
        <w:ind w:left="878" w:right="259" w:hanging="0"/>
        <w:jc w:val="both"/>
        <w:rPr>
          <w:spacing w:val="-4"/>
        </w:rPr>
      </w:pPr>
      <w:r>
        <w:rPr>
          <w:spacing w:val="-4"/>
        </w:rPr>
        <w:t>​</w:t>
      </w:r>
    </w:p>
    <w:tbl>
      <w:tblPr>
        <w:tblW w:w="6073" w:type="dxa"/>
        <w:jc w:val="left"/>
        <w:tblInd w:w="0" w:type="dxa"/>
        <w:tblLayout w:type="fixed"/>
        <w:tblCellMar>
          <w:top w:w="0" w:type="dxa"/>
          <w:left w:w="0" w:type="dxa"/>
          <w:bottom w:w="0" w:type="dxa"/>
          <w:right w:w="0" w:type="dxa"/>
        </w:tblCellMar>
      </w:tblPr>
      <w:tblGrid>
        <w:gridCol w:w="3946"/>
        <w:gridCol w:w="109"/>
        <w:gridCol w:w="211"/>
        <w:gridCol w:w="721"/>
        <w:gridCol w:w="109"/>
        <w:gridCol w:w="211"/>
        <w:gridCol w:w="76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69215" cy="29210"/>
                      <wp:effectExtent l="0" t="0" r="0" b="0"/>
                      <wp:wrapNone/>
                      <wp:docPr id="865" name="Frame861"/>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133985" cy="29210"/>
                      <wp:effectExtent l="0" t="0" r="0" b="0"/>
                      <wp:wrapNone/>
                      <wp:docPr id="866" name="Frame862"/>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457835" cy="29210"/>
                      <wp:effectExtent l="0" t="0" r="0" b="0"/>
                      <wp:wrapNone/>
                      <wp:docPr id="867" name="Frame863"/>
                      <a:graphic xmlns:a="http://schemas.openxmlformats.org/drawingml/2006/main">
                        <a:graphicData uri="http://schemas.microsoft.com/office/word/2010/wordprocessingShape">
                          <wps:wsp>
                            <wps:cNvSpPr txBox="1"/>
                            <wps:spPr>
                              <a:xfrm>
                                <a:off x="0" y="0"/>
                                <a:ext cx="457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69215" cy="29210"/>
                      <wp:effectExtent l="0" t="0" r="0" b="0"/>
                      <wp:wrapNone/>
                      <wp:docPr id="868" name="Frame864"/>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133985" cy="29210"/>
                      <wp:effectExtent l="0" t="0" r="0" b="0"/>
                      <wp:wrapNone/>
                      <wp:docPr id="869" name="Frame865"/>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486410" cy="29210"/>
                      <wp:effectExtent l="0" t="0" r="0" b="0"/>
                      <wp:wrapNone/>
                      <wp:docPr id="870" name="Frame866"/>
                      <a:graphic xmlns:a="http://schemas.openxmlformats.org/drawingml/2006/main">
                        <a:graphicData uri="http://schemas.microsoft.com/office/word/2010/wordprocessingShape">
                          <wps:wsp>
                            <wps:cNvSpPr txBox="1"/>
                            <wps:spPr>
                              <a:xfrm>
                                <a:off x="0" y="0"/>
                                <a:ext cx="486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(in thousands)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Trade and accrued trade payable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6,114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9,027 </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Retention payable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1,579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2,517 </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reserve to complete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3,119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3,323 </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warranties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3,904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2,764 </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accrued expenses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677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684 </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accounts payable and accrued expenses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15,393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18,315 </w:t>
            </w:r>
          </w:p>
        </w:tc>
      </w:tr>
    </w:tbl>
    <w:p>
      <w:pPr>
        <w:pStyle w:val="TextBody"/>
        <w:bidi w:val="0"/>
        <w:spacing w:before="0" w:after="0"/>
        <w:ind w:left="0" w:right="0" w:hanging="0"/>
        <w:jc w:val="left"/>
        <w:rPr/>
      </w:pPr>
      <w:r>
        <w:rPr/>
        <w:t>​</w:t>
      </w:r>
    </w:p>
    <w:p>
      <w:pPr>
        <w:pStyle w:val="TextBody"/>
        <w:bidi w:val="0"/>
        <w:ind w:left="160" w:right="0" w:hanging="0"/>
        <w:jc w:val="left"/>
        <w:rPr>
          <w:rFonts w:ascii="Arial;Helvetica;sans-serif" w:hAnsi="Arial;Helvetica;sans-serif"/>
          <w:b/>
          <w:sz w:val="21"/>
        </w:rPr>
      </w:pPr>
      <w:r>
        <w:rPr>
          <w:rFonts w:ascii="Arial;Helvetica;sans-serif" w:hAnsi="Arial;Helvetica;sans-serif"/>
          <w:b/>
          <w:sz w:val="21"/>
        </w:rPr>
        <w:t>9.</w:t>
      </w:r>
      <w:r>
        <w:rPr>
          <w:rFonts w:ascii="Arial;Helvetica;sans-serif" w:hAnsi="Arial;Helvetica;sans-serif"/>
          <w:b/>
          <w:spacing w:val="-4"/>
          <w:sz w:val="21"/>
        </w:rPr>
        <w:t>Related Parties (in thousands)</w:t>
      </w:r>
    </w:p>
    <w:p>
      <w:pPr>
        <w:pStyle w:val="TextBody"/>
        <w:bidi w:val="0"/>
        <w:spacing w:before="117" w:after="0"/>
        <w:ind w:left="880" w:right="257" w:hanging="0"/>
        <w:jc w:val="both"/>
        <w:rPr>
          <w:rFonts w:ascii="Times New Roman;Times;serif" w:hAnsi="Times New Roman;Times;serif"/>
          <w:sz w:val="21"/>
        </w:rPr>
      </w:pPr>
      <w:r>
        <w:rPr>
          <w:rFonts w:ascii="Times New Roman;Times;serif" w:hAnsi="Times New Roman;Times;serif"/>
          <w:spacing w:val="-3"/>
          <w:sz w:val="21"/>
        </w:rPr>
        <w:t xml:space="preserve">One </w:t>
      </w:r>
      <w:r>
        <w:rPr>
          <w:rFonts w:ascii="Times New Roman;Times;serif" w:hAnsi="Times New Roman;Times;serif"/>
          <w:sz w:val="21"/>
        </w:rPr>
        <w:t xml:space="preserve">of </w:t>
      </w:r>
      <w:r>
        <w:rPr>
          <w:rFonts w:ascii="Times New Roman;Times;serif" w:hAnsi="Times New Roman;Times;serif"/>
          <w:spacing w:val="-3"/>
          <w:sz w:val="21"/>
        </w:rPr>
        <w:t xml:space="preserve">the </w:t>
      </w:r>
      <w:r>
        <w:rPr>
          <w:rFonts w:ascii="Times New Roman;Times;serif" w:hAnsi="Times New Roman;Times;serif"/>
          <w:spacing w:val="-4"/>
          <w:sz w:val="21"/>
        </w:rPr>
        <w:t xml:space="preserve">Company’s members provides services </w:t>
      </w:r>
      <w:r>
        <w:rPr>
          <w:rFonts w:ascii="Times New Roman;Times;serif" w:hAnsi="Times New Roman;Times;serif"/>
          <w:sz w:val="21"/>
        </w:rPr>
        <w:t xml:space="preserve">for the </w:t>
      </w:r>
      <w:r>
        <w:rPr>
          <w:rFonts w:ascii="Times New Roman;Times;serif" w:hAnsi="Times New Roman;Times;serif"/>
          <w:spacing w:val="-4"/>
          <w:sz w:val="21"/>
        </w:rPr>
        <w:t xml:space="preserve">day-to-day operations </w:t>
      </w:r>
      <w:r>
        <w:rPr>
          <w:rFonts w:ascii="Times New Roman;Times;serif" w:hAnsi="Times New Roman;Times;serif"/>
          <w:spacing w:val="-3"/>
          <w:sz w:val="21"/>
        </w:rPr>
        <w:t xml:space="preserve">of the </w:t>
      </w:r>
      <w:r>
        <w:rPr>
          <w:rFonts w:ascii="Times New Roman;Times;serif" w:hAnsi="Times New Roman;Times;serif"/>
          <w:spacing w:val="-4"/>
          <w:sz w:val="21"/>
        </w:rPr>
        <w:t xml:space="preserve">Company, which </w:t>
      </w:r>
      <w:r>
        <w:rPr>
          <w:rFonts w:ascii="Times New Roman;Times;serif" w:hAnsi="Times New Roman;Times;serif"/>
          <w:spacing w:val="-5"/>
          <w:sz w:val="21"/>
        </w:rPr>
        <w:t xml:space="preserve">are </w:t>
      </w:r>
      <w:r>
        <w:rPr>
          <w:rFonts w:ascii="Times New Roman;Times;serif" w:hAnsi="Times New Roman;Times;serif"/>
          <w:spacing w:val="-4"/>
          <w:sz w:val="21"/>
        </w:rPr>
        <w:t xml:space="preserve">reimbursed </w:t>
      </w:r>
      <w:r>
        <w:rPr>
          <w:rFonts w:ascii="Times New Roman;Times;serif" w:hAnsi="Times New Roman;Times;serif"/>
          <w:sz w:val="21"/>
        </w:rPr>
        <w:t xml:space="preserve">to the </w:t>
      </w:r>
      <w:r>
        <w:rPr>
          <w:rFonts w:ascii="Times New Roman;Times;serif" w:hAnsi="Times New Roman;Times;serif"/>
          <w:spacing w:val="-4"/>
          <w:sz w:val="21"/>
        </w:rPr>
        <w:t xml:space="preserve">member. During </w:t>
      </w:r>
      <w:r>
        <w:rPr>
          <w:rFonts w:ascii="Times New Roman;Times;serif" w:hAnsi="Times New Roman;Times;serif"/>
          <w:sz w:val="21"/>
        </w:rPr>
        <w:t xml:space="preserve">the </w:t>
      </w:r>
      <w:r>
        <w:rPr>
          <w:rFonts w:ascii="Times New Roman;Times;serif" w:hAnsi="Times New Roman;Times;serif"/>
          <w:spacing w:val="-3"/>
          <w:sz w:val="21"/>
        </w:rPr>
        <w:t xml:space="preserve">years </w:t>
      </w:r>
      <w:r>
        <w:rPr>
          <w:rFonts w:ascii="Times New Roman;Times;serif" w:hAnsi="Times New Roman;Times;serif"/>
          <w:spacing w:val="-4"/>
          <w:sz w:val="21"/>
        </w:rPr>
        <w:t xml:space="preserve">ended December </w:t>
      </w:r>
      <w:r>
        <w:rPr>
          <w:rFonts w:ascii="Times New Roman;Times;serif" w:hAnsi="Times New Roman;Times;serif"/>
          <w:spacing w:val="-3"/>
          <w:sz w:val="21"/>
        </w:rPr>
        <w:t xml:space="preserve">31, 2025, 2024 </w:t>
      </w:r>
      <w:r>
        <w:rPr>
          <w:rFonts w:ascii="Times New Roman;Times;serif" w:hAnsi="Times New Roman;Times;serif"/>
          <w:sz w:val="21"/>
        </w:rPr>
        <w:t xml:space="preserve">and </w:t>
      </w:r>
      <w:r>
        <w:rPr>
          <w:rFonts w:ascii="Times New Roman;Times;serif" w:hAnsi="Times New Roman;Times;serif"/>
          <w:spacing w:val="-3"/>
          <w:sz w:val="21"/>
        </w:rPr>
        <w:t xml:space="preserve">2023, </w:t>
      </w:r>
      <w:r>
        <w:rPr>
          <w:rFonts w:ascii="Times New Roman;Times;serif" w:hAnsi="Times New Roman;Times;serif"/>
          <w:sz w:val="21"/>
        </w:rPr>
        <w:t xml:space="preserve">the </w:t>
      </w:r>
      <w:r>
        <w:rPr>
          <w:rFonts w:ascii="Times New Roman;Times;serif" w:hAnsi="Times New Roman;Times;serif"/>
          <w:spacing w:val="-5"/>
          <w:sz w:val="21"/>
        </w:rPr>
        <w:t xml:space="preserve">Company </w:t>
      </w:r>
      <w:r>
        <w:rPr>
          <w:rFonts w:ascii="Times New Roman;Times;serif" w:hAnsi="Times New Roman;Times;serif"/>
          <w:spacing w:val="-3"/>
          <w:sz w:val="21"/>
        </w:rPr>
        <w:t xml:space="preserve">incurred </w:t>
      </w:r>
      <w:r>
        <w:rPr>
          <w:rFonts w:ascii="Times New Roman;Times;serif" w:hAnsi="Times New Roman;Times;serif"/>
          <w:spacing w:val="-4"/>
          <w:sz w:val="21"/>
        </w:rPr>
        <w:t xml:space="preserve">selling, general </w:t>
      </w:r>
      <w:r>
        <w:rPr>
          <w:rFonts w:ascii="Times New Roman;Times;serif" w:hAnsi="Times New Roman;Times;serif"/>
          <w:spacing w:val="-3"/>
          <w:sz w:val="21"/>
        </w:rPr>
        <w:t xml:space="preserve">and </w:t>
      </w:r>
      <w:r>
        <w:rPr>
          <w:rFonts w:ascii="Times New Roman;Times;serif" w:hAnsi="Times New Roman;Times;serif"/>
          <w:spacing w:val="-4"/>
          <w:sz w:val="21"/>
        </w:rPr>
        <w:t xml:space="preserve">administrative expenses </w:t>
      </w:r>
      <w:r>
        <w:rPr>
          <w:rFonts w:ascii="Times New Roman;Times;serif" w:hAnsi="Times New Roman;Times;serif"/>
          <w:sz w:val="21"/>
        </w:rPr>
        <w:t xml:space="preserve">of </w:t>
      </w:r>
      <w:r>
        <w:rPr>
          <w:rFonts w:ascii="Times New Roman;Times;serif" w:hAnsi="Times New Roman;Times;serif"/>
          <w:spacing w:val="-4"/>
          <w:sz w:val="21"/>
        </w:rPr>
        <w:t xml:space="preserve">$16,742, $20,913 </w:t>
      </w:r>
      <w:r>
        <w:rPr>
          <w:rFonts w:ascii="Times New Roman;Times;serif" w:hAnsi="Times New Roman;Times;serif"/>
          <w:spacing w:val="-3"/>
          <w:sz w:val="21"/>
        </w:rPr>
        <w:t xml:space="preserve">and </w:t>
      </w:r>
      <w:r>
        <w:rPr>
          <w:rFonts w:ascii="Times New Roman;Times;serif" w:hAnsi="Times New Roman;Times;serif"/>
          <w:spacing w:val="-4"/>
          <w:sz w:val="21"/>
        </w:rPr>
        <w:t xml:space="preserve">$12,905, respectively, related </w:t>
      </w:r>
      <w:r>
        <w:rPr>
          <w:rFonts w:ascii="Times New Roman;Times;serif" w:hAnsi="Times New Roman;Times;serif"/>
          <w:spacing w:val="-3"/>
          <w:sz w:val="21"/>
        </w:rPr>
        <w:t xml:space="preserve">to costs from </w:t>
      </w:r>
      <w:r>
        <w:rPr>
          <w:rFonts w:ascii="Times New Roman;Times;serif" w:hAnsi="Times New Roman;Times;serif"/>
          <w:spacing w:val="-4"/>
          <w:sz w:val="21"/>
        </w:rPr>
        <w:t xml:space="preserve">transactions </w:t>
      </w:r>
      <w:r>
        <w:rPr>
          <w:rFonts w:ascii="Times New Roman;Times;serif" w:hAnsi="Times New Roman;Times;serif"/>
          <w:spacing w:val="-3"/>
          <w:sz w:val="21"/>
        </w:rPr>
        <w:t xml:space="preserve">with the </w:t>
      </w:r>
      <w:r>
        <w:rPr>
          <w:rFonts w:ascii="Times New Roman;Times;serif" w:hAnsi="Times New Roman;Times;serif"/>
          <w:spacing w:val="-4"/>
          <w:sz w:val="21"/>
        </w:rPr>
        <w:t xml:space="preserve">member. There were </w:t>
      </w:r>
      <w:r>
        <w:rPr>
          <w:rFonts w:ascii="Times New Roman;Times;serif" w:hAnsi="Times New Roman;Times;serif"/>
          <w:spacing w:val="-3"/>
          <w:sz w:val="21"/>
        </w:rPr>
        <w:t xml:space="preserve">$106 </w:t>
      </w:r>
      <w:r>
        <w:rPr>
          <w:rFonts w:ascii="Times New Roman;Times;serif" w:hAnsi="Times New Roman;Times;serif"/>
          <w:sz w:val="21"/>
        </w:rPr>
        <w:t xml:space="preserve">and </w:t>
      </w:r>
      <w:r>
        <w:rPr>
          <w:rFonts w:ascii="Times New Roman;Times;serif" w:hAnsi="Times New Roman;Times;serif"/>
          <w:spacing w:val="-3"/>
          <w:sz w:val="21"/>
        </w:rPr>
        <w:t xml:space="preserve">$10 </w:t>
      </w:r>
      <w:r>
        <w:rPr>
          <w:rFonts w:ascii="Times New Roman;Times;serif" w:hAnsi="Times New Roman;Times;serif"/>
          <w:sz w:val="21"/>
        </w:rPr>
        <w:t xml:space="preserve">of </w:t>
      </w:r>
      <w:r>
        <w:rPr>
          <w:rFonts w:ascii="Times New Roman;Times;serif" w:hAnsi="Times New Roman;Times;serif"/>
          <w:spacing w:val="-4"/>
          <w:sz w:val="21"/>
        </w:rPr>
        <w:t xml:space="preserve">payables </w:t>
      </w:r>
      <w:r>
        <w:rPr>
          <w:rFonts w:ascii="Times New Roman;Times;serif" w:hAnsi="Times New Roman;Times;serif"/>
          <w:spacing w:val="-3"/>
          <w:sz w:val="21"/>
        </w:rPr>
        <w:t xml:space="preserve">due </w:t>
      </w:r>
      <w:r>
        <w:rPr>
          <w:rFonts w:ascii="Times New Roman;Times;serif" w:hAnsi="Times New Roman;Times;serif"/>
          <w:spacing w:val="-4"/>
          <w:sz w:val="21"/>
        </w:rPr>
        <w:t xml:space="preserve">related </w:t>
      </w:r>
      <w:r>
        <w:rPr>
          <w:rFonts w:ascii="Times New Roman;Times;serif" w:hAnsi="Times New Roman;Times;serif"/>
          <w:sz w:val="21"/>
        </w:rPr>
        <w:t xml:space="preserve">to </w:t>
      </w:r>
      <w:r>
        <w:rPr>
          <w:rFonts w:ascii="Times New Roman;Times;serif" w:hAnsi="Times New Roman;Times;serif"/>
          <w:spacing w:val="-4"/>
          <w:sz w:val="21"/>
        </w:rPr>
        <w:t xml:space="preserve">service arrangements </w:t>
      </w:r>
      <w:r>
        <w:rPr>
          <w:rFonts w:ascii="Times New Roman;Times;serif" w:hAnsi="Times New Roman;Times;serif"/>
          <w:spacing w:val="-3"/>
          <w:sz w:val="21"/>
        </w:rPr>
        <w:t xml:space="preserve">with the </w:t>
      </w:r>
      <w:r>
        <w:rPr>
          <w:rFonts w:ascii="Times New Roman;Times;serif" w:hAnsi="Times New Roman;Times;serif"/>
          <w:spacing w:val="-4"/>
          <w:sz w:val="21"/>
        </w:rPr>
        <w:t xml:space="preserve">member </w:t>
      </w:r>
      <w:r>
        <w:rPr>
          <w:rFonts w:ascii="Times New Roman;Times;serif" w:hAnsi="Times New Roman;Times;serif"/>
          <w:sz w:val="21"/>
        </w:rPr>
        <w:t xml:space="preserve">as of </w:t>
      </w:r>
      <w:r>
        <w:rPr>
          <w:rFonts w:ascii="Times New Roman;Times;serif" w:hAnsi="Times New Roman;Times;serif"/>
          <w:spacing w:val="-4"/>
          <w:sz w:val="21"/>
        </w:rPr>
        <w:t xml:space="preserve">December </w:t>
      </w:r>
      <w:r>
        <w:rPr>
          <w:rFonts w:ascii="Times New Roman;Times;serif" w:hAnsi="Times New Roman;Times;serif"/>
          <w:spacing w:val="-3"/>
          <w:sz w:val="21"/>
        </w:rPr>
        <w:t>31, 2025 and 2024.</w:t>
      </w:r>
    </w:p>
    <w:p>
      <w:pPr>
        <w:pStyle w:val="TextBody"/>
        <w:bidi w:val="0"/>
        <w:spacing w:before="117" w:after="0"/>
        <w:ind w:left="880" w:right="257" w:hanging="0"/>
        <w:jc w:val="both"/>
        <w:rPr>
          <w:rFonts w:ascii="Times New Roman;Times;serif" w:hAnsi="Times New Roman;Times;serif"/>
          <w:spacing w:val="-3"/>
          <w:sz w:val="21"/>
        </w:rPr>
      </w:pPr>
      <w:r>
        <w:rPr>
          <w:rFonts w:ascii="Times New Roman;Times;serif" w:hAnsi="Times New Roman;Times;serif"/>
          <w:spacing w:val="-3"/>
          <w:sz w:val="21"/>
        </w:rPr>
        <w:t>In addition, land development and planning costs incurred were reimbursed from a member which totaled $1,587 and $3,800 during the years ended December 31, 2025 and 2024, respectively. The entire amount received were used to offset real estate inventory costs during those respective years.  There were $108 and $485 due from this member for this arrangement as of December 31, 2025 and 2024, respectively.</w:t>
      </w:r>
    </w:p>
    <w:p>
      <w:pPr>
        <w:pStyle w:val="TextBody"/>
        <w:bidi w:val="0"/>
        <w:spacing w:before="120" w:after="0"/>
        <w:ind w:left="879" w:right="252" w:hanging="0"/>
        <w:jc w:val="both"/>
        <w:rPr>
          <w:rFonts w:ascii="Times New Roman;Times;serif" w:hAnsi="Times New Roman;Times;serif"/>
          <w:sz w:val="21"/>
        </w:rPr>
      </w:pPr>
      <w:r>
        <w:rPr>
          <w:rFonts w:ascii="Times New Roman;Times;serif" w:hAnsi="Times New Roman;Times;serif"/>
          <w:spacing w:val="-3"/>
          <w:sz w:val="21"/>
        </w:rPr>
        <w:t xml:space="preserve">In December 2025, the Company purchased an additional 34 acres of land from a member with a contractual value of $1,158, which will be paid to the member as each home on the land is sold. The </w:t>
      </w:r>
      <w:r>
        <w:rPr>
          <w:rFonts w:ascii="Times New Roman;Times;serif" w:hAnsi="Times New Roman;Times;serif"/>
          <w:spacing w:val="-4"/>
          <w:sz w:val="21"/>
        </w:rPr>
        <w:t xml:space="preserve">Company purchased land, mitigation </w:t>
      </w:r>
      <w:r>
        <w:rPr>
          <w:rFonts w:ascii="Times New Roman;Times;serif" w:hAnsi="Times New Roman;Times;serif"/>
          <w:spacing w:val="-3"/>
          <w:sz w:val="21"/>
        </w:rPr>
        <w:t xml:space="preserve">bank </w:t>
      </w:r>
      <w:r>
        <w:rPr>
          <w:rFonts w:ascii="Times New Roman;Times;serif" w:hAnsi="Times New Roman;Times;serif"/>
          <w:spacing w:val="-4"/>
          <w:sz w:val="21"/>
        </w:rPr>
        <w:t xml:space="preserve">credits </w:t>
      </w:r>
      <w:r>
        <w:rPr>
          <w:rFonts w:ascii="Times New Roman;Times;serif" w:hAnsi="Times New Roman;Times;serif"/>
          <w:spacing w:val="-3"/>
          <w:sz w:val="21"/>
        </w:rPr>
        <w:t xml:space="preserve">and impact fees and </w:t>
      </w:r>
      <w:r>
        <w:rPr>
          <w:rFonts w:ascii="Times New Roman;Times;serif" w:hAnsi="Times New Roman;Times;serif"/>
          <w:spacing w:val="-4"/>
          <w:sz w:val="21"/>
        </w:rPr>
        <w:t xml:space="preserve">leased property </w:t>
      </w:r>
      <w:r>
        <w:rPr>
          <w:rFonts w:ascii="Times New Roman;Times;serif" w:hAnsi="Times New Roman;Times;serif"/>
          <w:spacing w:val="-3"/>
          <w:sz w:val="21"/>
        </w:rPr>
        <w:t xml:space="preserve">from </w:t>
      </w:r>
      <w:r>
        <w:rPr>
          <w:rFonts w:ascii="Times New Roman;Times;serif" w:hAnsi="Times New Roman;Times;serif"/>
          <w:sz w:val="21"/>
        </w:rPr>
        <w:t xml:space="preserve">a </w:t>
      </w:r>
      <w:r>
        <w:rPr>
          <w:rFonts w:ascii="Times New Roman;Times;serif" w:hAnsi="Times New Roman;Times;serif"/>
          <w:spacing w:val="-4"/>
          <w:sz w:val="21"/>
        </w:rPr>
        <w:t xml:space="preserve">member </w:t>
      </w:r>
      <w:r>
        <w:rPr>
          <w:rFonts w:ascii="Times New Roman;Times;serif" w:hAnsi="Times New Roman;Times;serif"/>
          <w:spacing w:val="-5"/>
          <w:sz w:val="21"/>
        </w:rPr>
        <w:t xml:space="preserve">which </w:t>
      </w:r>
      <w:r>
        <w:rPr>
          <w:rFonts w:ascii="Times New Roman;Times;serif" w:hAnsi="Times New Roman;Times;serif"/>
          <w:spacing w:val="-4"/>
          <w:sz w:val="21"/>
        </w:rPr>
        <w:t xml:space="preserve">totaled $3,835, </w:t>
      </w:r>
      <w:r>
        <w:rPr>
          <w:rFonts w:ascii="Times New Roman;Times;serif" w:hAnsi="Times New Roman;Times;serif"/>
          <w:spacing w:val="-3"/>
          <w:sz w:val="21"/>
        </w:rPr>
        <w:t xml:space="preserve">$2,735 and $935 </w:t>
      </w:r>
      <w:r>
        <w:rPr>
          <w:rFonts w:ascii="Times New Roman;Times;serif" w:hAnsi="Times New Roman;Times;serif"/>
          <w:spacing w:val="-4"/>
          <w:sz w:val="21"/>
        </w:rPr>
        <w:t xml:space="preserve">during </w:t>
      </w:r>
      <w:r>
        <w:rPr>
          <w:rFonts w:ascii="Times New Roman;Times;serif" w:hAnsi="Times New Roman;Times;serif"/>
          <w:sz w:val="21"/>
        </w:rPr>
        <w:t xml:space="preserve">the </w:t>
      </w:r>
      <w:r>
        <w:rPr>
          <w:rFonts w:ascii="Times New Roman;Times;serif" w:hAnsi="Times New Roman;Times;serif"/>
          <w:spacing w:val="-4"/>
          <w:sz w:val="21"/>
        </w:rPr>
        <w:t xml:space="preserve">years ended December </w:t>
      </w:r>
      <w:r>
        <w:rPr>
          <w:rFonts w:ascii="Times New Roman;Times;serif" w:hAnsi="Times New Roman;Times;serif"/>
          <w:spacing w:val="-3"/>
          <w:sz w:val="21"/>
        </w:rPr>
        <w:t xml:space="preserve">31, </w:t>
      </w:r>
      <w:r>
        <w:rPr>
          <w:rFonts w:ascii="Times New Roman;Times;serif" w:hAnsi="Times New Roman;Times;serif"/>
          <w:spacing w:val="-4"/>
          <w:sz w:val="21"/>
        </w:rPr>
        <w:t xml:space="preserve">2025, </w:t>
      </w:r>
      <w:r>
        <w:rPr>
          <w:rFonts w:ascii="Times New Roman;Times;serif" w:hAnsi="Times New Roman;Times;serif"/>
          <w:spacing w:val="-3"/>
          <w:sz w:val="21"/>
        </w:rPr>
        <w:t xml:space="preserve">2024 and 2023, </w:t>
      </w:r>
      <w:r>
        <w:rPr>
          <w:rFonts w:ascii="Times New Roman;Times;serif" w:hAnsi="Times New Roman;Times;serif"/>
          <w:spacing w:val="-4"/>
          <w:sz w:val="21"/>
        </w:rPr>
        <w:t xml:space="preserve">respectively.  These amounts </w:t>
      </w:r>
      <w:r>
        <w:rPr>
          <w:rFonts w:ascii="Times New Roman;Times;serif" w:hAnsi="Times New Roman;Times;serif"/>
          <w:spacing w:val="-3"/>
          <w:sz w:val="21"/>
        </w:rPr>
        <w:t xml:space="preserve">were </w:t>
      </w:r>
      <w:r>
        <w:rPr>
          <w:rFonts w:ascii="Times New Roman;Times;serif" w:hAnsi="Times New Roman;Times;serif"/>
          <w:spacing w:val="-4"/>
          <w:sz w:val="21"/>
        </w:rPr>
        <w:t xml:space="preserve">included within </w:t>
      </w:r>
      <w:r>
        <w:rPr>
          <w:rFonts w:ascii="Times New Roman;Times;serif" w:hAnsi="Times New Roman;Times;serif"/>
          <w:spacing w:val="-3"/>
          <w:sz w:val="21"/>
        </w:rPr>
        <w:t xml:space="preserve">real </w:t>
      </w:r>
      <w:r>
        <w:rPr>
          <w:rFonts w:ascii="Times New Roman;Times;serif" w:hAnsi="Times New Roman;Times;serif"/>
          <w:spacing w:val="-4"/>
          <w:sz w:val="21"/>
        </w:rPr>
        <w:t xml:space="preserve">estate inventory costs during </w:t>
      </w:r>
      <w:r>
        <w:rPr>
          <w:rFonts w:ascii="Times New Roman;Times;serif" w:hAnsi="Times New Roman;Times;serif"/>
          <w:spacing w:val="-3"/>
          <w:sz w:val="21"/>
        </w:rPr>
        <w:t xml:space="preserve">the </w:t>
      </w:r>
      <w:r>
        <w:rPr>
          <w:rFonts w:ascii="Times New Roman;Times;serif" w:hAnsi="Times New Roman;Times;serif"/>
          <w:spacing w:val="-4"/>
          <w:sz w:val="21"/>
        </w:rPr>
        <w:t xml:space="preserve">respective years. Payables related </w:t>
      </w:r>
      <w:r>
        <w:rPr>
          <w:rFonts w:ascii="Times New Roman;Times;serif" w:hAnsi="Times New Roman;Times;serif"/>
          <w:sz w:val="21"/>
        </w:rPr>
        <w:t>to</w:t>
      </w:r>
      <w:r>
        <w:rPr>
          <w:rFonts w:ascii="Times New Roman;Times;serif" w:hAnsi="Times New Roman;Times;serif"/>
          <w:spacing w:val="-7"/>
          <w:sz w:val="21"/>
        </w:rPr>
        <w:t xml:space="preserve"> </w:t>
      </w:r>
      <w:r>
        <w:rPr>
          <w:rFonts w:ascii="Times New Roman;Times;serif" w:hAnsi="Times New Roman;Times;serif"/>
          <w:spacing w:val="-4"/>
          <w:sz w:val="21"/>
        </w:rPr>
        <w:t>these</w:t>
      </w:r>
      <w:r>
        <w:rPr>
          <w:rFonts w:ascii="Times New Roman;Times;serif" w:hAnsi="Times New Roman;Times;serif"/>
          <w:spacing w:val="-7"/>
          <w:sz w:val="21"/>
        </w:rPr>
        <w:t xml:space="preserve"> </w:t>
      </w:r>
      <w:r>
        <w:rPr>
          <w:rFonts w:ascii="Times New Roman;Times;serif" w:hAnsi="Times New Roman;Times;serif"/>
          <w:spacing w:val="-4"/>
          <w:sz w:val="21"/>
        </w:rPr>
        <w:t>items</w:t>
      </w:r>
      <w:r>
        <w:rPr>
          <w:rFonts w:ascii="Times New Roman;Times;serif" w:hAnsi="Times New Roman;Times;serif"/>
          <w:spacing w:val="-6"/>
          <w:sz w:val="21"/>
        </w:rPr>
        <w:t xml:space="preserve"> </w:t>
      </w:r>
      <w:r>
        <w:rPr>
          <w:rFonts w:ascii="Times New Roman;Times;serif" w:hAnsi="Times New Roman;Times;serif"/>
          <w:spacing w:val="-3"/>
          <w:sz w:val="21"/>
        </w:rPr>
        <w:t>were</w:t>
      </w:r>
      <w:r>
        <w:rPr>
          <w:rFonts w:ascii="Times New Roman;Times;serif" w:hAnsi="Times New Roman;Times;serif"/>
          <w:spacing w:val="-7"/>
          <w:sz w:val="21"/>
        </w:rPr>
        <w:t xml:space="preserve"> </w:t>
      </w:r>
      <w:r>
        <w:rPr>
          <w:rFonts w:ascii="Times New Roman;Times;serif" w:hAnsi="Times New Roman;Times;serif"/>
          <w:spacing w:val="-3"/>
          <w:sz w:val="21"/>
        </w:rPr>
        <w:t>$1,158</w:t>
      </w:r>
      <w:r>
        <w:rPr>
          <w:rFonts w:ascii="Times New Roman;Times;serif" w:hAnsi="Times New Roman;Times;serif"/>
          <w:spacing w:val="-7"/>
          <w:sz w:val="21"/>
        </w:rPr>
        <w:t xml:space="preserve"> </w:t>
      </w:r>
      <w:r>
        <w:rPr>
          <w:rFonts w:ascii="Times New Roman;Times;serif" w:hAnsi="Times New Roman;Times;serif"/>
          <w:spacing w:val="-3"/>
          <w:sz w:val="21"/>
        </w:rPr>
        <w:t>and</w:t>
      </w:r>
      <w:r>
        <w:rPr>
          <w:rFonts w:ascii="Times New Roman;Times;serif" w:hAnsi="Times New Roman;Times;serif"/>
          <w:spacing w:val="-6"/>
          <w:sz w:val="21"/>
        </w:rPr>
        <w:t xml:space="preserve"> </w:t>
      </w:r>
      <w:r>
        <w:rPr>
          <w:rFonts w:ascii="Times New Roman;Times;serif" w:hAnsi="Times New Roman;Times;serif"/>
          <w:sz w:val="21"/>
        </w:rPr>
        <w:t>$48</w:t>
      </w:r>
      <w:r>
        <w:rPr>
          <w:rFonts w:ascii="Times New Roman;Times;serif" w:hAnsi="Times New Roman;Times;serif"/>
          <w:spacing w:val="-9"/>
          <w:sz w:val="21"/>
        </w:rPr>
        <w:t xml:space="preserve"> </w:t>
      </w:r>
      <w:r>
        <w:rPr>
          <w:rFonts w:ascii="Times New Roman;Times;serif" w:hAnsi="Times New Roman;Times;serif"/>
          <w:sz w:val="21"/>
        </w:rPr>
        <w:t>as</w:t>
      </w:r>
      <w:r>
        <w:rPr>
          <w:rFonts w:ascii="Times New Roman;Times;serif" w:hAnsi="Times New Roman;Times;serif"/>
          <w:spacing w:val="-5"/>
          <w:sz w:val="21"/>
        </w:rPr>
        <w:t xml:space="preserve"> </w:t>
      </w:r>
      <w:r>
        <w:rPr>
          <w:rFonts w:ascii="Times New Roman;Times;serif" w:hAnsi="Times New Roman;Times;serif"/>
          <w:sz w:val="21"/>
        </w:rPr>
        <w:t>of</w:t>
      </w:r>
      <w:r>
        <w:rPr>
          <w:rFonts w:ascii="Times New Roman;Times;serif" w:hAnsi="Times New Roman;Times;serif"/>
          <w:spacing w:val="-4"/>
          <w:sz w:val="21"/>
        </w:rPr>
        <w:t xml:space="preserve"> December</w:t>
      </w:r>
      <w:r>
        <w:rPr>
          <w:rFonts w:ascii="Times New Roman;Times;serif" w:hAnsi="Times New Roman;Times;serif"/>
          <w:spacing w:val="-7"/>
          <w:sz w:val="21"/>
        </w:rPr>
        <w:t xml:space="preserve"> </w:t>
      </w:r>
      <w:r>
        <w:rPr>
          <w:rFonts w:ascii="Times New Roman;Times;serif" w:hAnsi="Times New Roman;Times;serif"/>
          <w:spacing w:val="-3"/>
          <w:sz w:val="21"/>
        </w:rPr>
        <w:t>31,</w:t>
      </w:r>
      <w:r>
        <w:rPr>
          <w:rFonts w:ascii="Times New Roman;Times;serif" w:hAnsi="Times New Roman;Times;serif"/>
          <w:spacing w:val="-7"/>
          <w:sz w:val="21"/>
        </w:rPr>
        <w:t xml:space="preserve"> </w:t>
      </w:r>
      <w:r>
        <w:rPr>
          <w:rFonts w:ascii="Times New Roman;Times;serif" w:hAnsi="Times New Roman;Times;serif"/>
          <w:spacing w:val="-3"/>
          <w:sz w:val="21"/>
        </w:rPr>
        <w:t>2025</w:t>
      </w:r>
      <w:r>
        <w:rPr>
          <w:rFonts w:ascii="Times New Roman;Times;serif" w:hAnsi="Times New Roman;Times;serif"/>
          <w:spacing w:val="-8"/>
          <w:sz w:val="21"/>
        </w:rPr>
        <w:t xml:space="preserve"> </w:t>
      </w:r>
      <w:r>
        <w:rPr>
          <w:rFonts w:ascii="Times New Roman;Times;serif" w:hAnsi="Times New Roman;Times;serif"/>
          <w:sz w:val="21"/>
        </w:rPr>
        <w:t>and</w:t>
      </w:r>
      <w:r>
        <w:rPr>
          <w:rFonts w:ascii="Times New Roman;Times;serif" w:hAnsi="Times New Roman;Times;serif"/>
          <w:spacing w:val="-6"/>
          <w:sz w:val="21"/>
        </w:rPr>
        <w:t xml:space="preserve"> </w:t>
      </w:r>
      <w:r>
        <w:rPr>
          <w:rFonts w:ascii="Times New Roman;Times;serif" w:hAnsi="Times New Roman;Times;serif"/>
          <w:spacing w:val="-4"/>
          <w:sz w:val="21"/>
        </w:rPr>
        <w:t>2024,</w:t>
      </w:r>
      <w:r>
        <w:rPr>
          <w:rFonts w:ascii="Times New Roman;Times;serif" w:hAnsi="Times New Roman;Times;serif"/>
          <w:spacing w:val="-7"/>
          <w:sz w:val="21"/>
        </w:rPr>
        <w:t xml:space="preserve"> </w:t>
      </w:r>
      <w:r>
        <w:rPr>
          <w:rFonts w:ascii="Times New Roman;Times;serif" w:hAnsi="Times New Roman;Times;serif"/>
          <w:spacing w:val="-4"/>
          <w:sz w:val="21"/>
        </w:rPr>
        <w:t>respectively.</w:t>
      </w:r>
    </w:p>
    <w:p>
      <w:pPr>
        <w:pStyle w:val="TextBody"/>
        <w:bidi w:val="0"/>
        <w:spacing w:before="1" w:after="0"/>
        <w:ind w:left="0" w:right="0" w:hanging="0"/>
        <w:jc w:val="left"/>
        <w:rPr/>
      </w:pPr>
      <w:r>
        <w:rPr/>
        <w:t>​</w:t>
      </w:r>
    </w:p>
    <w:p>
      <w:pPr>
        <w:pStyle w:val="TextBody"/>
        <w:bidi w:val="0"/>
        <w:spacing w:before="1" w:after="0"/>
        <w:ind w:left="159" w:right="0" w:hanging="0"/>
        <w:jc w:val="left"/>
        <w:rPr>
          <w:rFonts w:ascii="Arial;Helvetica;sans-serif" w:hAnsi="Arial;Helvetica;sans-serif"/>
          <w:b/>
          <w:sz w:val="21"/>
        </w:rPr>
      </w:pPr>
      <w:r>
        <w:rPr>
          <w:rFonts w:ascii="Arial;Helvetica;sans-serif" w:hAnsi="Arial;Helvetica;sans-serif"/>
          <w:b/>
          <w:i w:val="false"/>
          <w:caps w:val="false"/>
          <w:smallCaps w:val="false"/>
          <w:sz w:val="21"/>
        </w:rPr>
        <w:t>10.</w:t>
      </w:r>
      <w:r>
        <w:rPr>
          <w:rFonts w:ascii="Arial;Helvetica;sans-serif" w:hAnsi="Arial;Helvetica;sans-serif"/>
          <w:b/>
          <w:spacing w:val="-4"/>
          <w:sz w:val="21"/>
        </w:rPr>
        <w:t xml:space="preserve">Commitments </w:t>
      </w:r>
      <w:r>
        <w:rPr>
          <w:rFonts w:ascii="Arial;Helvetica;sans-serif" w:hAnsi="Arial;Helvetica;sans-serif"/>
          <w:b/>
          <w:spacing w:val="-3"/>
          <w:sz w:val="21"/>
        </w:rPr>
        <w:t>and</w:t>
      </w:r>
      <w:r>
        <w:rPr>
          <w:rFonts w:ascii="Arial;Helvetica;sans-serif" w:hAnsi="Arial;Helvetica;sans-serif"/>
          <w:b/>
          <w:spacing w:val="-10"/>
          <w:sz w:val="21"/>
        </w:rPr>
        <w:t xml:space="preserve"> </w:t>
      </w:r>
      <w:r>
        <w:rPr>
          <w:rFonts w:ascii="Arial;Helvetica;sans-serif" w:hAnsi="Arial;Helvetica;sans-serif"/>
          <w:b/>
          <w:spacing w:val="-4"/>
          <w:sz w:val="21"/>
        </w:rPr>
        <w:t>Contingencies</w:t>
      </w:r>
    </w:p>
    <w:p>
      <w:pPr>
        <w:pStyle w:val="TextBody"/>
        <w:bidi w:val="0"/>
        <w:spacing w:before="120" w:after="0"/>
        <w:ind w:left="880" w:right="256" w:hanging="0"/>
        <w:jc w:val="both"/>
        <w:rPr>
          <w:rFonts w:ascii="Times New Roman;Times;serif" w:hAnsi="Times New Roman;Times;serif"/>
          <w:sz w:val="21"/>
        </w:rPr>
      </w:pPr>
      <w:r>
        <w:rPr>
          <w:rFonts w:ascii="Times New Roman;Times;serif" w:hAnsi="Times New Roman;Times;serif"/>
          <w:spacing w:val="-4"/>
          <w:sz w:val="21"/>
        </w:rPr>
        <w:t xml:space="preserve">Surety bonds </w:t>
      </w:r>
      <w:r>
        <w:rPr>
          <w:rFonts w:ascii="Times New Roman;Times;serif" w:hAnsi="Times New Roman;Times;serif"/>
          <w:spacing w:val="-3"/>
          <w:sz w:val="21"/>
        </w:rPr>
        <w:t xml:space="preserve">are </w:t>
      </w:r>
      <w:r>
        <w:rPr>
          <w:rFonts w:ascii="Times New Roman;Times;serif" w:hAnsi="Times New Roman;Times;serif"/>
          <w:spacing w:val="-4"/>
          <w:sz w:val="21"/>
        </w:rPr>
        <w:t xml:space="preserve">issued primarily </w:t>
      </w:r>
      <w:r>
        <w:rPr>
          <w:rFonts w:ascii="Times New Roman;Times;serif" w:hAnsi="Times New Roman;Times;serif"/>
          <w:sz w:val="21"/>
        </w:rPr>
        <w:t xml:space="preserve">to </w:t>
      </w:r>
      <w:r>
        <w:rPr>
          <w:rFonts w:ascii="Times New Roman;Times;serif" w:hAnsi="Times New Roman;Times;serif"/>
          <w:spacing w:val="-4"/>
          <w:sz w:val="21"/>
        </w:rPr>
        <w:t xml:space="preserve">governmental authorities </w:t>
      </w:r>
      <w:r>
        <w:rPr>
          <w:rFonts w:ascii="Times New Roman;Times;serif" w:hAnsi="Times New Roman;Times;serif"/>
          <w:sz w:val="21"/>
        </w:rPr>
        <w:t xml:space="preserve">to </w:t>
      </w:r>
      <w:r>
        <w:rPr>
          <w:rFonts w:ascii="Times New Roman;Times;serif" w:hAnsi="Times New Roman;Times;serif"/>
          <w:spacing w:val="-4"/>
          <w:sz w:val="21"/>
        </w:rPr>
        <w:t xml:space="preserve">guarantee fulfillment </w:t>
      </w:r>
      <w:r>
        <w:rPr>
          <w:rFonts w:ascii="Times New Roman;Times;serif" w:hAnsi="Times New Roman;Times;serif"/>
          <w:sz w:val="21"/>
        </w:rPr>
        <w:t xml:space="preserve">of </w:t>
      </w:r>
      <w:r>
        <w:rPr>
          <w:rFonts w:ascii="Times New Roman;Times;serif" w:hAnsi="Times New Roman;Times;serif"/>
          <w:spacing w:val="-5"/>
          <w:sz w:val="21"/>
        </w:rPr>
        <w:t xml:space="preserve">Company </w:t>
      </w:r>
      <w:r>
        <w:rPr>
          <w:rFonts w:ascii="Times New Roman;Times;serif" w:hAnsi="Times New Roman;Times;serif"/>
          <w:spacing w:val="-4"/>
          <w:sz w:val="21"/>
        </w:rPr>
        <w:t xml:space="preserve">obligations </w:t>
      </w:r>
      <w:r>
        <w:rPr>
          <w:rFonts w:ascii="Times New Roman;Times;serif" w:hAnsi="Times New Roman;Times;serif"/>
          <w:spacing w:val="-3"/>
          <w:sz w:val="21"/>
        </w:rPr>
        <w:t xml:space="preserve">with </w:t>
      </w:r>
      <w:r>
        <w:rPr>
          <w:rFonts w:ascii="Times New Roman;Times;serif" w:hAnsi="Times New Roman;Times;serif"/>
          <w:spacing w:val="-4"/>
          <w:sz w:val="21"/>
        </w:rPr>
        <w:t xml:space="preserve">respect </w:t>
      </w:r>
      <w:r>
        <w:rPr>
          <w:rFonts w:ascii="Times New Roman;Times;serif" w:hAnsi="Times New Roman;Times;serif"/>
          <w:sz w:val="21"/>
        </w:rPr>
        <w:t xml:space="preserve">to </w:t>
      </w:r>
      <w:r>
        <w:rPr>
          <w:rFonts w:ascii="Times New Roman;Times;serif" w:hAnsi="Times New Roman;Times;serif"/>
          <w:spacing w:val="-3"/>
          <w:sz w:val="21"/>
        </w:rPr>
        <w:t xml:space="preserve">the </w:t>
      </w:r>
      <w:r>
        <w:rPr>
          <w:rFonts w:ascii="Times New Roman;Times;serif" w:hAnsi="Times New Roman;Times;serif"/>
          <w:spacing w:val="-4"/>
          <w:sz w:val="21"/>
        </w:rPr>
        <w:t xml:space="preserve">installation </w:t>
      </w:r>
      <w:r>
        <w:rPr>
          <w:rFonts w:ascii="Times New Roman;Times;serif" w:hAnsi="Times New Roman;Times;serif"/>
          <w:spacing w:val="-3"/>
          <w:sz w:val="21"/>
        </w:rPr>
        <w:t xml:space="preserve">of </w:t>
      </w:r>
      <w:r>
        <w:rPr>
          <w:rFonts w:ascii="Times New Roman;Times;serif" w:hAnsi="Times New Roman;Times;serif"/>
          <w:spacing w:val="-4"/>
          <w:sz w:val="21"/>
        </w:rPr>
        <w:t xml:space="preserve">road, water, sewer </w:t>
      </w:r>
      <w:r>
        <w:rPr>
          <w:rFonts w:ascii="Times New Roman;Times;serif" w:hAnsi="Times New Roman;Times;serif"/>
          <w:sz w:val="21"/>
        </w:rPr>
        <w:t xml:space="preserve">and </w:t>
      </w:r>
      <w:r>
        <w:rPr>
          <w:rFonts w:ascii="Times New Roman;Times;serif" w:hAnsi="Times New Roman;Times;serif"/>
          <w:spacing w:val="-4"/>
          <w:sz w:val="21"/>
        </w:rPr>
        <w:t xml:space="preserve">drainage improvements </w:t>
      </w:r>
      <w:r>
        <w:rPr>
          <w:rFonts w:ascii="Times New Roman;Times;serif" w:hAnsi="Times New Roman;Times;serif"/>
          <w:spacing w:val="-3"/>
          <w:sz w:val="21"/>
        </w:rPr>
        <w:t xml:space="preserve">on land </w:t>
      </w:r>
      <w:r>
        <w:rPr>
          <w:rFonts w:ascii="Times New Roman;Times;serif" w:hAnsi="Times New Roman;Times;serif"/>
          <w:sz w:val="21"/>
        </w:rPr>
        <w:t xml:space="preserve">as </w:t>
      </w:r>
      <w:r>
        <w:rPr>
          <w:rFonts w:ascii="Times New Roman;Times;serif" w:hAnsi="Times New Roman;Times;serif"/>
          <w:spacing w:val="-5"/>
          <w:sz w:val="21"/>
        </w:rPr>
        <w:t xml:space="preserve">well </w:t>
      </w:r>
      <w:r>
        <w:rPr>
          <w:rFonts w:ascii="Times New Roman;Times;serif" w:hAnsi="Times New Roman;Times;serif"/>
          <w:sz w:val="21"/>
        </w:rPr>
        <w:t xml:space="preserve">as to </w:t>
      </w:r>
      <w:r>
        <w:rPr>
          <w:rFonts w:ascii="Times New Roman;Times;serif" w:hAnsi="Times New Roman;Times;serif"/>
          <w:spacing w:val="-4"/>
          <w:sz w:val="21"/>
        </w:rPr>
        <w:t xml:space="preserve">secure </w:t>
      </w:r>
      <w:r>
        <w:rPr>
          <w:rFonts w:ascii="Times New Roman;Times;serif" w:hAnsi="Times New Roman;Times;serif"/>
          <w:spacing w:val="-3"/>
          <w:sz w:val="21"/>
        </w:rPr>
        <w:t xml:space="preserve">the use of </w:t>
      </w:r>
      <w:r>
        <w:rPr>
          <w:rFonts w:ascii="Times New Roman;Times;serif" w:hAnsi="Times New Roman;Times;serif"/>
          <w:spacing w:val="-4"/>
          <w:sz w:val="21"/>
        </w:rPr>
        <w:t xml:space="preserve">buyer deposits. </w:t>
      </w:r>
      <w:r>
        <w:rPr>
          <w:rFonts w:ascii="Times New Roman;Times;serif" w:hAnsi="Times New Roman;Times;serif"/>
          <w:spacing w:val="-3"/>
          <w:sz w:val="21"/>
        </w:rPr>
        <w:t xml:space="preserve">These </w:t>
      </w:r>
      <w:r>
        <w:rPr>
          <w:rFonts w:ascii="Times New Roman;Times;serif" w:hAnsi="Times New Roman;Times;serif"/>
          <w:spacing w:val="-4"/>
          <w:sz w:val="21"/>
        </w:rPr>
        <w:t xml:space="preserve">bonds </w:t>
      </w:r>
      <w:r>
        <w:rPr>
          <w:rFonts w:ascii="Times New Roman;Times;serif" w:hAnsi="Times New Roman;Times;serif"/>
          <w:sz w:val="21"/>
        </w:rPr>
        <w:t xml:space="preserve">do </w:t>
      </w:r>
      <w:r>
        <w:rPr>
          <w:rFonts w:ascii="Times New Roman;Times;serif" w:hAnsi="Times New Roman;Times;serif"/>
          <w:spacing w:val="-3"/>
          <w:sz w:val="21"/>
        </w:rPr>
        <w:t xml:space="preserve">not have </w:t>
      </w:r>
      <w:r>
        <w:rPr>
          <w:rFonts w:ascii="Times New Roman;Times;serif" w:hAnsi="Times New Roman;Times;serif"/>
          <w:spacing w:val="-4"/>
          <w:sz w:val="21"/>
        </w:rPr>
        <w:t xml:space="preserve">stated expiration dates; rather, </w:t>
      </w:r>
      <w:r>
        <w:rPr>
          <w:rFonts w:ascii="Times New Roman;Times;serif" w:hAnsi="Times New Roman;Times;serif"/>
          <w:sz w:val="21"/>
        </w:rPr>
        <w:t xml:space="preserve">the </w:t>
      </w:r>
      <w:r>
        <w:rPr>
          <w:rFonts w:ascii="Times New Roman;Times;serif" w:hAnsi="Times New Roman;Times;serif"/>
          <w:spacing w:val="-4"/>
          <w:sz w:val="21"/>
        </w:rPr>
        <w:t xml:space="preserve">Company </w:t>
      </w:r>
      <w:r>
        <w:rPr>
          <w:rFonts w:ascii="Times New Roman;Times;serif" w:hAnsi="Times New Roman;Times;serif"/>
          <w:sz w:val="21"/>
        </w:rPr>
        <w:t xml:space="preserve">is </w:t>
      </w:r>
      <w:r>
        <w:rPr>
          <w:rFonts w:ascii="Times New Roman;Times;serif" w:hAnsi="Times New Roman;Times;serif"/>
          <w:spacing w:val="-4"/>
          <w:sz w:val="21"/>
        </w:rPr>
        <w:t xml:space="preserve">released </w:t>
      </w:r>
      <w:r>
        <w:rPr>
          <w:rFonts w:ascii="Times New Roman;Times;serif" w:hAnsi="Times New Roman;Times;serif"/>
          <w:spacing w:val="-3"/>
          <w:sz w:val="21"/>
        </w:rPr>
        <w:t xml:space="preserve">from </w:t>
      </w:r>
      <w:r>
        <w:rPr>
          <w:rFonts w:ascii="Times New Roman;Times;serif" w:hAnsi="Times New Roman;Times;serif"/>
          <w:sz w:val="21"/>
        </w:rPr>
        <w:t xml:space="preserve">the </w:t>
      </w:r>
      <w:r>
        <w:rPr>
          <w:rFonts w:ascii="Times New Roman;Times;serif" w:hAnsi="Times New Roman;Times;serif"/>
          <w:spacing w:val="-4"/>
          <w:sz w:val="21"/>
        </w:rPr>
        <w:t xml:space="preserve">bonds </w:t>
      </w:r>
      <w:r>
        <w:rPr>
          <w:rFonts w:ascii="Times New Roman;Times;serif" w:hAnsi="Times New Roman;Times;serif"/>
          <w:sz w:val="21"/>
        </w:rPr>
        <w:t xml:space="preserve">as the </w:t>
      </w:r>
      <w:r>
        <w:rPr>
          <w:rFonts w:ascii="Times New Roman;Times;serif" w:hAnsi="Times New Roman;Times;serif"/>
          <w:spacing w:val="-3"/>
          <w:sz w:val="21"/>
        </w:rPr>
        <w:t xml:space="preserve">contractual </w:t>
      </w:r>
      <w:r>
        <w:rPr>
          <w:rFonts w:ascii="Times New Roman;Times;serif" w:hAnsi="Times New Roman;Times;serif"/>
          <w:spacing w:val="-4"/>
          <w:sz w:val="21"/>
        </w:rPr>
        <w:t xml:space="preserve">performance </w:t>
      </w:r>
      <w:r>
        <w:rPr>
          <w:rFonts w:ascii="Times New Roman;Times;serif" w:hAnsi="Times New Roman;Times;serif"/>
          <w:sz w:val="21"/>
        </w:rPr>
        <w:t xml:space="preserve">is </w:t>
      </w:r>
      <w:r>
        <w:rPr>
          <w:rFonts w:ascii="Times New Roman;Times;serif" w:hAnsi="Times New Roman;Times;serif"/>
          <w:spacing w:val="-4"/>
          <w:sz w:val="21"/>
        </w:rPr>
        <w:t xml:space="preserve">completed. </w:t>
      </w:r>
      <w:r>
        <w:rPr>
          <w:rFonts w:ascii="Times New Roman;Times;serif" w:hAnsi="Times New Roman;Times;serif"/>
          <w:sz w:val="21"/>
        </w:rPr>
        <w:t xml:space="preserve">At </w:t>
      </w:r>
      <w:r>
        <w:rPr>
          <w:rFonts w:ascii="Times New Roman;Times;serif" w:hAnsi="Times New Roman;Times;serif"/>
          <w:spacing w:val="-4"/>
          <w:sz w:val="21"/>
        </w:rPr>
        <w:t xml:space="preserve">December </w:t>
      </w:r>
      <w:r>
        <w:rPr>
          <w:rFonts w:ascii="Times New Roman;Times;serif" w:hAnsi="Times New Roman;Times;serif"/>
          <w:spacing w:val="-3"/>
          <w:sz w:val="21"/>
        </w:rPr>
        <w:t xml:space="preserve">31, 2025 </w:t>
      </w:r>
      <w:r>
        <w:rPr>
          <w:rFonts w:ascii="Times New Roman;Times;serif" w:hAnsi="Times New Roman;Times;serif"/>
          <w:sz w:val="21"/>
        </w:rPr>
        <w:t xml:space="preserve">and </w:t>
      </w:r>
      <w:r>
        <w:rPr>
          <w:rFonts w:ascii="Times New Roman;Times;serif" w:hAnsi="Times New Roman;Times;serif"/>
          <w:spacing w:val="-4"/>
          <w:sz w:val="21"/>
        </w:rPr>
        <w:t xml:space="preserve">2024, the Company </w:t>
      </w:r>
      <w:r>
        <w:rPr>
          <w:rFonts w:ascii="Times New Roman;Times;serif" w:hAnsi="Times New Roman;Times;serif"/>
          <w:spacing w:val="-3"/>
          <w:sz w:val="21"/>
        </w:rPr>
        <w:t xml:space="preserve">had </w:t>
      </w:r>
      <w:r>
        <w:rPr>
          <w:rFonts w:ascii="Times New Roman;Times;serif" w:hAnsi="Times New Roman;Times;serif"/>
          <w:spacing w:val="-4"/>
          <w:sz w:val="21"/>
        </w:rPr>
        <w:t xml:space="preserve">outstanding surety bonds totaling </w:t>
      </w:r>
      <w:r>
        <w:rPr>
          <w:rFonts w:ascii="Times New Roman;Times;serif" w:hAnsi="Times New Roman;Times;serif"/>
          <w:spacing w:val="-3"/>
          <w:sz w:val="21"/>
        </w:rPr>
        <w:t xml:space="preserve">(in </w:t>
      </w:r>
      <w:r>
        <w:rPr>
          <w:rFonts w:ascii="Times New Roman;Times;serif" w:hAnsi="Times New Roman;Times;serif"/>
          <w:spacing w:val="-4"/>
          <w:sz w:val="21"/>
        </w:rPr>
        <w:t xml:space="preserve">thousands) $70,878 </w:t>
      </w:r>
      <w:r>
        <w:rPr>
          <w:rFonts w:ascii="Times New Roman;Times;serif" w:hAnsi="Times New Roman;Times;serif"/>
          <w:sz w:val="21"/>
        </w:rPr>
        <w:t xml:space="preserve">and </w:t>
      </w:r>
      <w:r>
        <w:rPr>
          <w:rFonts w:ascii="Times New Roman;Times;serif" w:hAnsi="Times New Roman;Times;serif"/>
          <w:spacing w:val="-4"/>
          <w:sz w:val="21"/>
        </w:rPr>
        <w:t xml:space="preserve">$74,081, respectively. Management </w:t>
      </w:r>
      <w:r>
        <w:rPr>
          <w:rFonts w:ascii="Times New Roman;Times;serif" w:hAnsi="Times New Roman;Times;serif"/>
          <w:spacing w:val="-3"/>
          <w:sz w:val="21"/>
        </w:rPr>
        <w:t xml:space="preserve">does not expect that </w:t>
      </w:r>
      <w:r>
        <w:rPr>
          <w:rFonts w:ascii="Times New Roman;Times;serif" w:hAnsi="Times New Roman;Times;serif"/>
          <w:sz w:val="21"/>
        </w:rPr>
        <w:t xml:space="preserve">any </w:t>
      </w:r>
      <w:r>
        <w:rPr>
          <w:rFonts w:ascii="Times New Roman;Times;serif" w:hAnsi="Times New Roman;Times;serif"/>
          <w:spacing w:val="-3"/>
          <w:sz w:val="21"/>
        </w:rPr>
        <w:t xml:space="preserve">material losses </w:t>
      </w:r>
      <w:r>
        <w:rPr>
          <w:rFonts w:ascii="Times New Roman;Times;serif" w:hAnsi="Times New Roman;Times;serif"/>
          <w:sz w:val="21"/>
        </w:rPr>
        <w:t xml:space="preserve">or </w:t>
      </w:r>
      <w:r>
        <w:rPr>
          <w:rFonts w:ascii="Times New Roman;Times;serif" w:hAnsi="Times New Roman;Times;serif"/>
          <w:spacing w:val="-4"/>
          <w:sz w:val="21"/>
        </w:rPr>
        <w:t xml:space="preserve">obligations </w:t>
      </w:r>
      <w:r>
        <w:rPr>
          <w:rFonts w:ascii="Times New Roman;Times;serif" w:hAnsi="Times New Roman;Times;serif"/>
          <w:spacing w:val="-3"/>
          <w:sz w:val="21"/>
        </w:rPr>
        <w:t xml:space="preserve">will </w:t>
      </w:r>
      <w:r>
        <w:rPr>
          <w:rFonts w:ascii="Times New Roman;Times;serif" w:hAnsi="Times New Roman;Times;serif"/>
          <w:spacing w:val="-4"/>
          <w:sz w:val="21"/>
        </w:rPr>
        <w:t xml:space="preserve">result </w:t>
      </w:r>
      <w:r>
        <w:rPr>
          <w:rFonts w:ascii="Times New Roman;Times;serif" w:hAnsi="Times New Roman;Times;serif"/>
          <w:spacing w:val="-3"/>
          <w:sz w:val="21"/>
        </w:rPr>
        <w:t xml:space="preserve">from </w:t>
      </w:r>
      <w:r>
        <w:rPr>
          <w:rFonts w:ascii="Times New Roman;Times;serif" w:hAnsi="Times New Roman;Times;serif"/>
          <w:sz w:val="21"/>
        </w:rPr>
        <w:t xml:space="preserve">the </w:t>
      </w:r>
      <w:r>
        <w:rPr>
          <w:rFonts w:ascii="Times New Roman;Times;serif" w:hAnsi="Times New Roman;Times;serif"/>
          <w:spacing w:val="-3"/>
          <w:sz w:val="21"/>
        </w:rPr>
        <w:t xml:space="preserve">issuance </w:t>
      </w:r>
      <w:r>
        <w:rPr>
          <w:rFonts w:ascii="Times New Roman;Times;serif" w:hAnsi="Times New Roman;Times;serif"/>
          <w:sz w:val="21"/>
        </w:rPr>
        <w:t xml:space="preserve">of the </w:t>
      </w:r>
      <w:r>
        <w:rPr>
          <w:rFonts w:ascii="Times New Roman;Times;serif" w:hAnsi="Times New Roman;Times;serif"/>
          <w:spacing w:val="-4"/>
          <w:sz w:val="21"/>
        </w:rPr>
        <w:t xml:space="preserve">surety bonds because </w:t>
      </w:r>
      <w:r>
        <w:rPr>
          <w:rFonts w:ascii="Times New Roman;Times;serif" w:hAnsi="Times New Roman;Times;serif"/>
          <w:spacing w:val="-3"/>
          <w:sz w:val="21"/>
        </w:rPr>
        <w:t xml:space="preserve">they </w:t>
      </w:r>
      <w:r>
        <w:rPr>
          <w:rFonts w:ascii="Times New Roman;Times;serif" w:hAnsi="Times New Roman;Times;serif"/>
          <w:spacing w:val="-4"/>
          <w:sz w:val="21"/>
        </w:rPr>
        <w:t xml:space="preserve">expect </w:t>
      </w:r>
      <w:r>
        <w:rPr>
          <w:rFonts w:ascii="Times New Roman;Times;serif" w:hAnsi="Times New Roman;Times;serif"/>
          <w:sz w:val="21"/>
        </w:rPr>
        <w:t xml:space="preserve">to </w:t>
      </w:r>
      <w:r>
        <w:rPr>
          <w:rFonts w:ascii="Times New Roman;Times;serif" w:hAnsi="Times New Roman;Times;serif"/>
          <w:spacing w:val="-3"/>
          <w:sz w:val="21"/>
        </w:rPr>
        <w:t xml:space="preserve">meet </w:t>
      </w:r>
      <w:r>
        <w:rPr>
          <w:rFonts w:ascii="Times New Roman;Times;serif" w:hAnsi="Times New Roman;Times;serif"/>
          <w:spacing w:val="-4"/>
          <w:sz w:val="21"/>
        </w:rPr>
        <w:t xml:space="preserve">their obligations under their agreements </w:t>
      </w:r>
      <w:r>
        <w:rPr>
          <w:rFonts w:ascii="Times New Roman;Times;serif" w:hAnsi="Times New Roman;Times;serif"/>
          <w:spacing w:val="-3"/>
          <w:sz w:val="21"/>
        </w:rPr>
        <w:t xml:space="preserve">with such </w:t>
      </w:r>
      <w:r>
        <w:rPr>
          <w:rFonts w:ascii="Times New Roman;Times;serif" w:hAnsi="Times New Roman;Times;serif"/>
          <w:spacing w:val="-4"/>
          <w:sz w:val="21"/>
        </w:rPr>
        <w:t xml:space="preserve">parties </w:t>
      </w:r>
      <w:r>
        <w:rPr>
          <w:rFonts w:ascii="Times New Roman;Times;serif" w:hAnsi="Times New Roman;Times;serif"/>
          <w:sz w:val="21"/>
        </w:rPr>
        <w:t xml:space="preserve">in </w:t>
      </w:r>
      <w:r>
        <w:rPr>
          <w:rFonts w:ascii="Times New Roman;Times;serif" w:hAnsi="Times New Roman;Times;serif"/>
          <w:spacing w:val="-3"/>
          <w:sz w:val="21"/>
        </w:rPr>
        <w:t xml:space="preserve">the </w:t>
      </w:r>
      <w:r>
        <w:rPr>
          <w:rFonts w:ascii="Times New Roman;Times;serif" w:hAnsi="Times New Roman;Times;serif"/>
          <w:spacing w:val="-4"/>
          <w:sz w:val="21"/>
        </w:rPr>
        <w:t xml:space="preserve">ordinary course </w:t>
      </w:r>
      <w:r>
        <w:rPr>
          <w:rFonts w:ascii="Times New Roman;Times;serif" w:hAnsi="Times New Roman;Times;serif"/>
          <w:sz w:val="21"/>
        </w:rPr>
        <w:t>of</w:t>
      </w:r>
      <w:r>
        <w:rPr>
          <w:rFonts w:ascii="Times New Roman;Times;serif" w:hAnsi="Times New Roman;Times;serif"/>
          <w:spacing w:val="-9"/>
          <w:sz w:val="21"/>
        </w:rPr>
        <w:t xml:space="preserve"> </w:t>
      </w:r>
      <w:r>
        <w:rPr>
          <w:rFonts w:ascii="Times New Roman;Times;serif" w:hAnsi="Times New Roman;Times;serif"/>
          <w:spacing w:val="-4"/>
          <w:sz w:val="21"/>
        </w:rPr>
        <w:t>business.</w:t>
      </w:r>
    </w:p>
    <w:p>
      <w:pPr>
        <w:pStyle w:val="TextBody"/>
        <w:bidi w:val="0"/>
        <w:spacing w:before="122" w:after="0"/>
        <w:ind w:left="879" w:right="257" w:hanging="0"/>
        <w:jc w:val="both"/>
        <w:rPr>
          <w:rFonts w:ascii="Times New Roman;Times;serif" w:hAnsi="Times New Roman;Times;serif"/>
          <w:sz w:val="21"/>
        </w:rPr>
      </w:pPr>
      <w:r>
        <w:rPr>
          <w:rFonts w:ascii="Times New Roman;Times;serif" w:hAnsi="Times New Roman;Times;serif"/>
          <w:spacing w:val="-3"/>
          <w:sz w:val="21"/>
        </w:rPr>
        <w:t xml:space="preserve">The </w:t>
      </w:r>
      <w:r>
        <w:rPr>
          <w:rFonts w:ascii="Times New Roman;Times;serif" w:hAnsi="Times New Roman;Times;serif"/>
          <w:spacing w:val="-4"/>
          <w:sz w:val="21"/>
        </w:rPr>
        <w:t xml:space="preserve">Company accrues </w:t>
      </w:r>
      <w:r>
        <w:rPr>
          <w:rFonts w:ascii="Times New Roman;Times;serif" w:hAnsi="Times New Roman;Times;serif"/>
          <w:spacing w:val="-3"/>
          <w:sz w:val="21"/>
        </w:rPr>
        <w:t xml:space="preserve">for </w:t>
      </w:r>
      <w:r>
        <w:rPr>
          <w:rFonts w:ascii="Times New Roman;Times;serif" w:hAnsi="Times New Roman;Times;serif"/>
          <w:spacing w:val="-4"/>
          <w:sz w:val="21"/>
        </w:rPr>
        <w:t xml:space="preserve">expected warranty costs </w:t>
      </w:r>
      <w:r>
        <w:rPr>
          <w:rFonts w:ascii="Times New Roman;Times;serif" w:hAnsi="Times New Roman;Times;serif"/>
          <w:sz w:val="21"/>
        </w:rPr>
        <w:t xml:space="preserve">at the </w:t>
      </w:r>
      <w:r>
        <w:rPr>
          <w:rFonts w:ascii="Times New Roman;Times;serif" w:hAnsi="Times New Roman;Times;serif"/>
          <w:spacing w:val="-3"/>
          <w:sz w:val="21"/>
        </w:rPr>
        <w:t xml:space="preserve">time each home </w:t>
      </w:r>
      <w:r>
        <w:rPr>
          <w:rFonts w:ascii="Times New Roman;Times;serif" w:hAnsi="Times New Roman;Times;serif"/>
          <w:sz w:val="21"/>
        </w:rPr>
        <w:t xml:space="preserve">is </w:t>
      </w:r>
      <w:r>
        <w:rPr>
          <w:rFonts w:ascii="Times New Roman;Times;serif" w:hAnsi="Times New Roman;Times;serif"/>
          <w:spacing w:val="-4"/>
          <w:sz w:val="21"/>
        </w:rPr>
        <w:t xml:space="preserve">closed </w:t>
      </w:r>
      <w:r>
        <w:rPr>
          <w:rFonts w:ascii="Times New Roman;Times;serif" w:hAnsi="Times New Roman;Times;serif"/>
          <w:sz w:val="21"/>
        </w:rPr>
        <w:t xml:space="preserve">and </w:t>
      </w:r>
      <w:r>
        <w:rPr>
          <w:rFonts w:ascii="Times New Roman;Times;serif" w:hAnsi="Times New Roman;Times;serif"/>
          <w:spacing w:val="-3"/>
          <w:sz w:val="21"/>
        </w:rPr>
        <w:t xml:space="preserve">title and </w:t>
      </w:r>
      <w:r>
        <w:rPr>
          <w:rFonts w:ascii="Times New Roman;Times;serif" w:hAnsi="Times New Roman;Times;serif"/>
          <w:spacing w:val="-4"/>
          <w:sz w:val="21"/>
        </w:rPr>
        <w:t xml:space="preserve">possession </w:t>
      </w:r>
      <w:r>
        <w:rPr>
          <w:rFonts w:ascii="Times New Roman;Times;serif" w:hAnsi="Times New Roman;Times;serif"/>
          <w:sz w:val="21"/>
        </w:rPr>
        <w:t xml:space="preserve">are </w:t>
      </w:r>
      <w:r>
        <w:rPr>
          <w:rFonts w:ascii="Times New Roman;Times;serif" w:hAnsi="Times New Roman;Times;serif"/>
          <w:spacing w:val="-3"/>
          <w:sz w:val="21"/>
        </w:rPr>
        <w:t xml:space="preserve">transferred </w:t>
      </w:r>
      <w:r>
        <w:rPr>
          <w:rFonts w:ascii="Times New Roman;Times;serif" w:hAnsi="Times New Roman;Times;serif"/>
          <w:sz w:val="21"/>
        </w:rPr>
        <w:t xml:space="preserve">to the </w:t>
      </w:r>
      <w:r>
        <w:rPr>
          <w:rFonts w:ascii="Times New Roman;Times;serif" w:hAnsi="Times New Roman;Times;serif"/>
          <w:spacing w:val="-3"/>
          <w:sz w:val="21"/>
        </w:rPr>
        <w:t xml:space="preserve">buyer. </w:t>
      </w:r>
      <w:r>
        <w:rPr>
          <w:rFonts w:ascii="Times New Roman;Times;serif" w:hAnsi="Times New Roman;Times;serif"/>
          <w:spacing w:val="-4"/>
          <w:sz w:val="21"/>
        </w:rPr>
        <w:t xml:space="preserve">Warranty </w:t>
      </w:r>
      <w:r>
        <w:rPr>
          <w:rFonts w:ascii="Times New Roman;Times;serif" w:hAnsi="Times New Roman;Times;serif"/>
          <w:spacing w:val="-3"/>
          <w:sz w:val="21"/>
        </w:rPr>
        <w:t xml:space="preserve">costs </w:t>
      </w:r>
      <w:r>
        <w:rPr>
          <w:rFonts w:ascii="Times New Roman;Times;serif" w:hAnsi="Times New Roman;Times;serif"/>
          <w:sz w:val="21"/>
        </w:rPr>
        <w:t xml:space="preserve">are </w:t>
      </w:r>
      <w:r>
        <w:rPr>
          <w:rFonts w:ascii="Times New Roman;Times;serif" w:hAnsi="Times New Roman;Times;serif"/>
          <w:spacing w:val="-3"/>
          <w:sz w:val="21"/>
        </w:rPr>
        <w:t xml:space="preserve">accrued based upon historical data </w:t>
      </w:r>
      <w:r>
        <w:rPr>
          <w:rFonts w:ascii="Times New Roman;Times;serif" w:hAnsi="Times New Roman;Times;serif"/>
          <w:sz w:val="21"/>
        </w:rPr>
        <w:t xml:space="preserve">and </w:t>
      </w:r>
      <w:r>
        <w:rPr>
          <w:rFonts w:ascii="Times New Roman;Times;serif" w:hAnsi="Times New Roman;Times;serif"/>
          <w:spacing w:val="-3"/>
          <w:sz w:val="21"/>
        </w:rPr>
        <w:t xml:space="preserve">trends with respect to similar </w:t>
      </w:r>
      <w:r>
        <w:rPr>
          <w:rFonts w:ascii="Times New Roman;Times;serif" w:hAnsi="Times New Roman;Times;serif"/>
          <w:spacing w:val="-4"/>
          <w:sz w:val="21"/>
        </w:rPr>
        <w:t xml:space="preserve">product </w:t>
      </w:r>
      <w:r>
        <w:rPr>
          <w:rFonts w:ascii="Times New Roman;Times;serif" w:hAnsi="Times New Roman;Times;serif"/>
          <w:spacing w:val="-3"/>
          <w:sz w:val="21"/>
        </w:rPr>
        <w:t xml:space="preserve">types </w:t>
      </w:r>
      <w:r>
        <w:rPr>
          <w:rFonts w:ascii="Times New Roman;Times;serif" w:hAnsi="Times New Roman;Times;serif"/>
          <w:sz w:val="21"/>
        </w:rPr>
        <w:t xml:space="preserve">and </w:t>
      </w:r>
      <w:r>
        <w:rPr>
          <w:rFonts w:ascii="Times New Roman;Times;serif" w:hAnsi="Times New Roman;Times;serif"/>
          <w:spacing w:val="-4"/>
          <w:sz w:val="21"/>
        </w:rPr>
        <w:t xml:space="preserve">geographical areas. Management continuously evaluates </w:t>
      </w:r>
      <w:r>
        <w:rPr>
          <w:rFonts w:ascii="Times New Roman;Times;serif" w:hAnsi="Times New Roman;Times;serif"/>
          <w:sz w:val="21"/>
        </w:rPr>
        <w:t xml:space="preserve">the </w:t>
      </w:r>
      <w:r>
        <w:rPr>
          <w:rFonts w:ascii="Times New Roman;Times;serif" w:hAnsi="Times New Roman;Times;serif"/>
          <w:spacing w:val="-3"/>
          <w:sz w:val="21"/>
        </w:rPr>
        <w:t xml:space="preserve">accrual </w:t>
      </w:r>
      <w:r>
        <w:rPr>
          <w:rFonts w:ascii="Times New Roman;Times;serif" w:hAnsi="Times New Roman;Times;serif"/>
          <w:sz w:val="21"/>
        </w:rPr>
        <w:t xml:space="preserve">to </w:t>
      </w:r>
      <w:r>
        <w:rPr>
          <w:rFonts w:ascii="Times New Roman;Times;serif" w:hAnsi="Times New Roman;Times;serif"/>
          <w:spacing w:val="-4"/>
          <w:sz w:val="21"/>
        </w:rPr>
        <w:t xml:space="preserve">determine </w:t>
      </w:r>
      <w:r>
        <w:rPr>
          <w:rFonts w:ascii="Times New Roman;Times;serif" w:hAnsi="Times New Roman;Times;serif"/>
          <w:spacing w:val="-3"/>
          <w:sz w:val="21"/>
        </w:rPr>
        <w:t xml:space="preserve">whether </w:t>
      </w:r>
      <w:r>
        <w:rPr>
          <w:rFonts w:ascii="Times New Roman;Times;serif" w:hAnsi="Times New Roman;Times;serif"/>
          <w:sz w:val="21"/>
        </w:rPr>
        <w:t xml:space="preserve">the </w:t>
      </w:r>
      <w:r>
        <w:rPr>
          <w:rFonts w:ascii="Times New Roman;Times;serif" w:hAnsi="Times New Roman;Times;serif"/>
          <w:spacing w:val="-3"/>
          <w:sz w:val="21"/>
        </w:rPr>
        <w:t xml:space="preserve">amount remains </w:t>
      </w:r>
      <w:r>
        <w:rPr>
          <w:rFonts w:ascii="Times New Roman;Times;serif" w:hAnsi="Times New Roman;Times;serif"/>
          <w:spacing w:val="-4"/>
          <w:sz w:val="21"/>
        </w:rPr>
        <w:t xml:space="preserve">contingent. </w:t>
      </w:r>
      <w:r>
        <w:rPr>
          <w:rFonts w:ascii="Times New Roman;Times;serif" w:hAnsi="Times New Roman;Times;serif"/>
          <w:spacing w:val="-3"/>
          <w:sz w:val="21"/>
        </w:rPr>
        <w:t xml:space="preserve">Adjustments </w:t>
      </w:r>
      <w:r>
        <w:rPr>
          <w:rFonts w:ascii="Times New Roman;Times;serif" w:hAnsi="Times New Roman;Times;serif"/>
          <w:sz w:val="21"/>
        </w:rPr>
        <w:t xml:space="preserve">to </w:t>
      </w:r>
      <w:r>
        <w:rPr>
          <w:rFonts w:ascii="Times New Roman;Times;serif" w:hAnsi="Times New Roman;Times;serif"/>
          <w:spacing w:val="-3"/>
          <w:sz w:val="21"/>
        </w:rPr>
        <w:t xml:space="preserve">the accrual related </w:t>
      </w:r>
      <w:r>
        <w:rPr>
          <w:rFonts w:ascii="Times New Roman;Times;serif" w:hAnsi="Times New Roman;Times;serif"/>
          <w:sz w:val="21"/>
        </w:rPr>
        <w:t xml:space="preserve">to </w:t>
      </w:r>
      <w:r>
        <w:rPr>
          <w:rFonts w:ascii="Times New Roman;Times;serif" w:hAnsi="Times New Roman;Times;serif"/>
          <w:spacing w:val="-3"/>
          <w:sz w:val="21"/>
        </w:rPr>
        <w:t xml:space="preserve">homes </w:t>
      </w:r>
      <w:r>
        <w:rPr>
          <w:rFonts w:ascii="Times New Roman;Times;serif" w:hAnsi="Times New Roman;Times;serif"/>
          <w:spacing w:val="-4"/>
          <w:sz w:val="21"/>
        </w:rPr>
        <w:t xml:space="preserve">delivered </w:t>
      </w:r>
      <w:r>
        <w:rPr>
          <w:rFonts w:ascii="Times New Roman;Times;serif" w:hAnsi="Times New Roman;Times;serif"/>
          <w:sz w:val="21"/>
        </w:rPr>
        <w:t xml:space="preserve">in </w:t>
      </w:r>
      <w:r>
        <w:rPr>
          <w:rFonts w:ascii="Times New Roman;Times;serif" w:hAnsi="Times New Roman;Times;serif"/>
          <w:spacing w:val="-3"/>
          <w:sz w:val="21"/>
        </w:rPr>
        <w:t xml:space="preserve">prior </w:t>
      </w:r>
      <w:r>
        <w:rPr>
          <w:rFonts w:ascii="Times New Roman;Times;serif" w:hAnsi="Times New Roman;Times;serif"/>
          <w:spacing w:val="-4"/>
          <w:sz w:val="21"/>
        </w:rPr>
        <w:t xml:space="preserve">years </w:t>
      </w:r>
      <w:r>
        <w:rPr>
          <w:rFonts w:ascii="Times New Roman;Times;serif" w:hAnsi="Times New Roman;Times;serif"/>
          <w:sz w:val="21"/>
        </w:rPr>
        <w:t xml:space="preserve">are </w:t>
      </w:r>
      <w:r>
        <w:rPr>
          <w:rFonts w:ascii="Times New Roman;Times;serif" w:hAnsi="Times New Roman;Times;serif"/>
          <w:spacing w:val="-4"/>
          <w:sz w:val="21"/>
        </w:rPr>
        <w:t xml:space="preserve">recorded </w:t>
      </w:r>
      <w:r>
        <w:rPr>
          <w:rFonts w:ascii="Times New Roman;Times;serif" w:hAnsi="Times New Roman;Times;serif"/>
          <w:sz w:val="21"/>
        </w:rPr>
        <w:t xml:space="preserve">in </w:t>
      </w:r>
      <w:r>
        <w:rPr>
          <w:rFonts w:ascii="Times New Roman;Times;serif" w:hAnsi="Times New Roman;Times;serif"/>
          <w:spacing w:val="-3"/>
          <w:sz w:val="21"/>
        </w:rPr>
        <w:t xml:space="preserve">the </w:t>
      </w:r>
      <w:r>
        <w:rPr>
          <w:rFonts w:ascii="Times New Roman;Times;serif" w:hAnsi="Times New Roman;Times;serif"/>
          <w:spacing w:val="-4"/>
          <w:sz w:val="21"/>
        </w:rPr>
        <w:t xml:space="preserve">period </w:t>
      </w:r>
      <w:r>
        <w:rPr>
          <w:rFonts w:ascii="Times New Roman;Times;serif" w:hAnsi="Times New Roman;Times;serif"/>
          <w:sz w:val="21"/>
        </w:rPr>
        <w:t xml:space="preserve">in </w:t>
      </w:r>
      <w:r>
        <w:rPr>
          <w:rFonts w:ascii="Times New Roman;Times;serif" w:hAnsi="Times New Roman;Times;serif"/>
          <w:spacing w:val="-4"/>
          <w:sz w:val="21"/>
        </w:rPr>
        <w:t xml:space="preserve">which </w:t>
      </w:r>
      <w:r>
        <w:rPr>
          <w:rFonts w:ascii="Times New Roman;Times;serif" w:hAnsi="Times New Roman;Times;serif"/>
          <w:sz w:val="21"/>
        </w:rPr>
        <w:t xml:space="preserve">a </w:t>
      </w:r>
      <w:r>
        <w:rPr>
          <w:rFonts w:ascii="Times New Roman;Times;serif" w:hAnsi="Times New Roman;Times;serif"/>
          <w:spacing w:val="-3"/>
          <w:sz w:val="21"/>
        </w:rPr>
        <w:t xml:space="preserve">change </w:t>
      </w:r>
      <w:r>
        <w:rPr>
          <w:rFonts w:ascii="Times New Roman;Times;serif" w:hAnsi="Times New Roman;Times;serif"/>
          <w:sz w:val="21"/>
        </w:rPr>
        <w:t xml:space="preserve">in </w:t>
      </w:r>
      <w:r>
        <w:rPr>
          <w:rFonts w:ascii="Times New Roman;Times;serif" w:hAnsi="Times New Roman;Times;serif"/>
          <w:spacing w:val="-4"/>
          <w:sz w:val="21"/>
        </w:rPr>
        <w:t xml:space="preserve">estimate occurs, </w:t>
      </w:r>
      <w:r>
        <w:rPr>
          <w:rFonts w:ascii="Times New Roman;Times;serif" w:hAnsi="Times New Roman;Times;serif"/>
          <w:sz w:val="21"/>
        </w:rPr>
        <w:t xml:space="preserve">as a </w:t>
      </w:r>
      <w:r>
        <w:rPr>
          <w:rFonts w:ascii="Times New Roman;Times;serif" w:hAnsi="Times New Roman;Times;serif"/>
          <w:spacing w:val="-4"/>
          <w:sz w:val="21"/>
        </w:rPr>
        <w:t xml:space="preserve">component </w:t>
      </w:r>
      <w:r>
        <w:rPr>
          <w:rFonts w:ascii="Times New Roman;Times;serif" w:hAnsi="Times New Roman;Times;serif"/>
          <w:sz w:val="21"/>
        </w:rPr>
        <w:t xml:space="preserve">of </w:t>
      </w:r>
      <w:r>
        <w:rPr>
          <w:rFonts w:ascii="Times New Roman;Times;serif" w:hAnsi="Times New Roman;Times;serif"/>
          <w:spacing w:val="-3"/>
          <w:sz w:val="21"/>
        </w:rPr>
        <w:t xml:space="preserve">cost </w:t>
      </w:r>
      <w:r>
        <w:rPr>
          <w:rFonts w:ascii="Times New Roman;Times;serif" w:hAnsi="Times New Roman;Times;serif"/>
          <w:sz w:val="21"/>
        </w:rPr>
        <w:t xml:space="preserve">of </w:t>
      </w:r>
      <w:r>
        <w:rPr>
          <w:rFonts w:ascii="Times New Roman;Times;serif" w:hAnsi="Times New Roman;Times;serif"/>
          <w:spacing w:val="-3"/>
          <w:sz w:val="21"/>
        </w:rPr>
        <w:t xml:space="preserve">sales </w:t>
      </w:r>
      <w:r>
        <w:rPr>
          <w:rFonts w:ascii="Times New Roman;Times;serif" w:hAnsi="Times New Roman;Times;serif"/>
          <w:sz w:val="21"/>
        </w:rPr>
        <w:t xml:space="preserve">in </w:t>
      </w:r>
      <w:r>
        <w:rPr>
          <w:rFonts w:ascii="Times New Roman;Times;serif" w:hAnsi="Times New Roman;Times;serif"/>
          <w:spacing w:val="-4"/>
          <w:sz w:val="21"/>
        </w:rPr>
        <w:t xml:space="preserve">the statements </w:t>
      </w:r>
      <w:r>
        <w:rPr>
          <w:rFonts w:ascii="Times New Roman;Times;serif" w:hAnsi="Times New Roman;Times;serif"/>
          <w:sz w:val="21"/>
        </w:rPr>
        <w:t>of</w:t>
      </w:r>
      <w:r>
        <w:rPr>
          <w:rFonts w:ascii="Times New Roman;Times;serif" w:hAnsi="Times New Roman;Times;serif"/>
          <w:spacing w:val="-9"/>
          <w:sz w:val="21"/>
        </w:rPr>
        <w:t xml:space="preserve"> </w:t>
      </w:r>
      <w:r>
        <w:rPr>
          <w:rFonts w:ascii="Times New Roman;Times;serif" w:hAnsi="Times New Roman;Times;serif"/>
          <w:spacing w:val="-4"/>
          <w:sz w:val="21"/>
        </w:rPr>
        <w:t>income.</w:t>
      </w:r>
    </w:p>
    <w:p>
      <w:pPr>
        <w:pStyle w:val="TextBody"/>
        <w:bidi w:val="0"/>
        <w:spacing w:before="122" w:after="0"/>
        <w:ind w:left="879" w:right="257" w:hanging="0"/>
        <w:jc w:val="both"/>
        <w:rPr>
          <w:spacing w:val="-4"/>
        </w:rPr>
      </w:pPr>
      <w:r>
        <w:rPr>
          <w:spacing w:val="-4"/>
        </w:rPr>
        <w:t>​</w:t>
      </w:r>
    </w:p>
    <w:p>
      <w:pPr>
        <w:pStyle w:val="TextBody"/>
        <w:bidi w:val="0"/>
        <w:spacing w:before="122" w:after="0"/>
        <w:ind w:left="879" w:right="257" w:hanging="0"/>
        <w:jc w:val="both"/>
        <w:rPr>
          <w:spacing w:val="-4"/>
        </w:rPr>
      </w:pPr>
      <w:r>
        <w:rPr>
          <w:spacing w:val="-4"/>
        </w:rPr>
        <w:t>​</w:t>
      </w:r>
    </w:p>
    <w:p>
      <w:pPr>
        <w:pStyle w:val="TextBody"/>
        <w:bidi w:val="0"/>
        <w:spacing w:before="122" w:after="0"/>
        <w:ind w:left="879" w:right="257" w:hanging="0"/>
        <w:jc w:val="both"/>
        <w:rPr>
          <w:spacing w:val="-4"/>
        </w:rPr>
      </w:pPr>
      <w:r>
        <w:rPr>
          <w:spacing w:val="-4"/>
        </w:rPr>
        <w:t>​</w:t>
      </w:r>
    </w:p>
    <w:p>
      <w:pPr>
        <w:pStyle w:val="TextBody"/>
        <w:bidi w:val="0"/>
        <w:spacing w:before="122" w:after="0"/>
        <w:ind w:left="879" w:right="257" w:hanging="0"/>
        <w:jc w:val="both"/>
        <w:rPr>
          <w:spacing w:val="-4"/>
        </w:rPr>
      </w:pPr>
      <w:r>
        <w:rPr>
          <w:spacing w:val="-4"/>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shd w:fill="FFFFFF" w:val="clear"/>
        </w:rPr>
        <w:tab/>
      </w:r>
      <w:r>
        <w:rPr>
          <w:rFonts w:ascii="Times New Roman;Times;serif" w:hAnsi="Times New Roman;Times;serif"/>
          <w:sz w:val="22"/>
          <w:shd w:fill="FFFFFF" w:val="clear"/>
        </w:rPr>
        <w:tab/>
      </w:r>
      <w:r>
        <w:rPr>
          <w:rFonts w:ascii="Times New Roman;Times;serif" w:hAnsi="Times New Roman;Times;serif"/>
          <w:sz w:val="20"/>
          <w:shd w:fill="FFFFFF" w:val="clear"/>
        </w:rPr>
        <w:t>9</w:t>
      </w:r>
      <w:r>
        <mc:AlternateContent>
          <mc:Choice Requires="wps">
            <w:drawing>
              <wp:anchor behindDoc="0" distT="0" distB="0" distL="0" distR="0" simplePos="0" locked="0" layoutInCell="1" allowOverlap="1" relativeHeight="872">
                <wp:simplePos x="0" y="0"/>
                <wp:positionH relativeFrom="page">
                  <wp:posOffset>0</wp:posOffset>
                </wp:positionH>
                <wp:positionV relativeFrom="line">
                  <wp:posOffset>635</wp:posOffset>
                </wp:positionV>
                <wp:extent cx="6480175" cy="175260"/>
                <wp:effectExtent l="0" t="0" r="0" b="0"/>
                <wp:wrapNone/>
                <wp:docPr id="871" name="Frame8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r>
        <w:rPr/>
        <w:t>​</w:t>
      </w:r>
    </w:p>
    <w:p>
      <w:pPr>
        <w:pStyle w:val="TextBody"/>
        <w:bidi w:val="0"/>
        <w:spacing w:before="0" w:after="0"/>
        <w:ind w:left="879" w:right="257" w:hanging="0"/>
        <w:jc w:val="both"/>
        <w:rPr>
          <w:spacing w:val="-4"/>
        </w:rPr>
      </w:pPr>
      <w:r>
        <w:rPr>
          <w:spacing w:val="-4"/>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LMWS, LLC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Financial Statements</w:t>
      </w:r>
    </w:p>
    <w:p>
      <w:pPr>
        <w:pStyle w:val="TextBody"/>
        <w:bidi w:val="0"/>
        <w:spacing w:before="1" w:after="0"/>
        <w:ind w:left="0" w:right="0" w:hanging="0"/>
        <w:jc w:val="left"/>
        <w:rPr/>
      </w:pPr>
      <w:r>
        <w:rPr/>
        <w:t>​</w:t>
      </w:r>
    </w:p>
    <w:p>
      <w:pPr>
        <w:pStyle w:val="TextBody"/>
        <w:bidi w:val="0"/>
        <w:spacing w:before="1" w:after="0"/>
        <w:ind w:left="159" w:right="0" w:hanging="0"/>
        <w:jc w:val="left"/>
        <w:rPr>
          <w:rFonts w:ascii="Arial;Helvetica;sans-serif" w:hAnsi="Arial;Helvetica;sans-serif"/>
          <w:b/>
          <w:sz w:val="21"/>
        </w:rPr>
      </w:pPr>
      <w:r>
        <w:rPr>
          <w:rFonts w:ascii="Arial;Helvetica;sans-serif" w:hAnsi="Arial;Helvetica;sans-serif"/>
          <w:b/>
          <w:i w:val="false"/>
          <w:caps w:val="false"/>
          <w:smallCaps w:val="false"/>
          <w:sz w:val="21"/>
        </w:rPr>
        <w:t>10.</w:t>
      </w:r>
      <w:r>
        <w:rPr>
          <w:rFonts w:ascii="Arial;Helvetica;sans-serif" w:hAnsi="Arial;Helvetica;sans-serif"/>
          <w:b/>
          <w:spacing w:val="-4"/>
          <w:sz w:val="21"/>
        </w:rPr>
        <w:t xml:space="preserve">Commitments </w:t>
      </w:r>
      <w:r>
        <w:rPr>
          <w:rFonts w:ascii="Arial;Helvetica;sans-serif" w:hAnsi="Arial;Helvetica;sans-serif"/>
          <w:b/>
          <w:spacing w:val="-3"/>
          <w:sz w:val="21"/>
        </w:rPr>
        <w:t>and</w:t>
      </w:r>
      <w:r>
        <w:rPr>
          <w:rFonts w:ascii="Arial;Helvetica;sans-serif" w:hAnsi="Arial;Helvetica;sans-serif"/>
          <w:b/>
          <w:spacing w:val="-10"/>
          <w:sz w:val="21"/>
        </w:rPr>
        <w:t xml:space="preserve"> </w:t>
      </w:r>
      <w:r>
        <w:rPr>
          <w:rFonts w:ascii="Arial;Helvetica;sans-serif" w:hAnsi="Arial;Helvetica;sans-serif"/>
          <w:b/>
          <w:spacing w:val="-4"/>
          <w:sz w:val="21"/>
        </w:rPr>
        <w:t>Contingencies (Cont’d.)</w:t>
      </w:r>
    </w:p>
    <w:p>
      <w:pPr>
        <w:pStyle w:val="TextBody"/>
        <w:bidi w:val="0"/>
        <w:spacing w:before="120" w:after="0"/>
        <w:ind w:left="879" w:right="0" w:hanging="0"/>
        <w:jc w:val="both"/>
        <w:rPr>
          <w:rFonts w:ascii="Times New Roman;Times;serif" w:hAnsi="Times New Roman;Times;serif"/>
          <w:sz w:val="21"/>
        </w:rPr>
      </w:pPr>
      <w:r>
        <w:rPr>
          <w:rFonts w:ascii="Times New Roman;Times;serif" w:hAnsi="Times New Roman;Times;serif"/>
          <w:spacing w:val="-3"/>
          <w:sz w:val="21"/>
        </w:rPr>
        <w:t xml:space="preserve">The </w:t>
      </w:r>
      <w:r>
        <w:rPr>
          <w:rFonts w:ascii="Times New Roman;Times;serif" w:hAnsi="Times New Roman;Times;serif"/>
          <w:spacing w:val="-4"/>
          <w:sz w:val="21"/>
        </w:rPr>
        <w:t xml:space="preserve">following table </w:t>
      </w:r>
      <w:r>
        <w:rPr>
          <w:rFonts w:ascii="Times New Roman;Times;serif" w:hAnsi="Times New Roman;Times;serif"/>
          <w:sz w:val="21"/>
        </w:rPr>
        <w:t xml:space="preserve">is a </w:t>
      </w:r>
      <w:r>
        <w:rPr>
          <w:rFonts w:ascii="Times New Roman;Times;serif" w:hAnsi="Times New Roman;Times;serif"/>
          <w:spacing w:val="-4"/>
          <w:sz w:val="21"/>
        </w:rPr>
        <w:t xml:space="preserve">reconciliation </w:t>
      </w:r>
      <w:r>
        <w:rPr>
          <w:rFonts w:ascii="Times New Roman;Times;serif" w:hAnsi="Times New Roman;Times;serif"/>
          <w:sz w:val="21"/>
        </w:rPr>
        <w:t xml:space="preserve">of </w:t>
      </w:r>
      <w:r>
        <w:rPr>
          <w:rFonts w:ascii="Times New Roman;Times;serif" w:hAnsi="Times New Roman;Times;serif"/>
          <w:spacing w:val="-3"/>
          <w:sz w:val="21"/>
        </w:rPr>
        <w:t xml:space="preserve">the </w:t>
      </w:r>
      <w:r>
        <w:rPr>
          <w:rFonts w:ascii="Times New Roman;Times;serif" w:hAnsi="Times New Roman;Times;serif"/>
          <w:spacing w:val="-4"/>
          <w:sz w:val="21"/>
        </w:rPr>
        <w:t xml:space="preserve">changes </w:t>
      </w:r>
      <w:r>
        <w:rPr>
          <w:rFonts w:ascii="Times New Roman;Times;serif" w:hAnsi="Times New Roman;Times;serif"/>
          <w:sz w:val="21"/>
        </w:rPr>
        <w:t xml:space="preserve">in </w:t>
      </w:r>
      <w:r>
        <w:rPr>
          <w:rFonts w:ascii="Times New Roman;Times;serif" w:hAnsi="Times New Roman;Times;serif"/>
          <w:spacing w:val="-3"/>
          <w:sz w:val="21"/>
        </w:rPr>
        <w:t xml:space="preserve">the </w:t>
      </w:r>
      <w:r>
        <w:rPr>
          <w:rFonts w:ascii="Times New Roman;Times;serif" w:hAnsi="Times New Roman;Times;serif"/>
          <w:spacing w:val="-4"/>
          <w:sz w:val="21"/>
        </w:rPr>
        <w:t xml:space="preserve">Company’s aggregate warranty liability </w:t>
      </w:r>
      <w:r>
        <w:rPr>
          <w:rFonts w:ascii="Times New Roman;Times;serif" w:hAnsi="Times New Roman;Times;serif"/>
          <w:spacing w:val="-3"/>
          <w:sz w:val="21"/>
        </w:rPr>
        <w:t xml:space="preserve">(in </w:t>
      </w:r>
      <w:r>
        <w:rPr>
          <w:rFonts w:ascii="Times New Roman;Times;serif" w:hAnsi="Times New Roman;Times;serif"/>
          <w:spacing w:val="-4"/>
          <w:sz w:val="21"/>
        </w:rPr>
        <w:t>thousands):</w:t>
      </w:r>
    </w:p>
    <w:p>
      <w:pPr>
        <w:pStyle w:val="TextBody"/>
        <w:bidi w:val="0"/>
        <w:spacing w:before="120" w:after="0"/>
        <w:ind w:left="879" w:right="0" w:hanging="0"/>
        <w:jc w:val="both"/>
        <w:rPr/>
      </w:pPr>
      <w:r>
        <w:rPr/>
        <w:t>​</w:t>
      </w:r>
    </w:p>
    <w:tbl>
      <w:tblPr>
        <w:tblW w:w="4852" w:type="dxa"/>
        <w:jc w:val="center"/>
        <w:tblInd w:w="0" w:type="dxa"/>
        <w:tblLayout w:type="fixed"/>
        <w:tblCellMar>
          <w:top w:w="0" w:type="dxa"/>
          <w:left w:w="0" w:type="dxa"/>
          <w:bottom w:w="0" w:type="dxa"/>
          <w:right w:w="0" w:type="dxa"/>
        </w:tblCellMar>
      </w:tblPr>
      <w:tblGrid>
        <w:gridCol w:w="3796"/>
        <w:gridCol w:w="109"/>
        <w:gridCol w:w="211"/>
        <w:gridCol w:w="736"/>
      </w:tblGrid>
      <w:tr>
        <w:trPr/>
        <w:tc>
          <w:tcPr>
            <w:tcW w:w="3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69215" cy="29210"/>
                      <wp:effectExtent l="0" t="0" r="0" b="0"/>
                      <wp:wrapNone/>
                      <wp:docPr id="872" name="Frame868"/>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133985" cy="29210"/>
                      <wp:effectExtent l="0" t="0" r="0" b="0"/>
                      <wp:wrapNone/>
                      <wp:docPr id="873" name="Frame869"/>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467995" cy="29210"/>
                      <wp:effectExtent l="0" t="0" r="0" b="0"/>
                      <wp:wrapNone/>
                      <wp:docPr id="874" name="Frame870"/>
                      <a:graphic xmlns:a="http://schemas.openxmlformats.org/drawingml/2006/main">
                        <a:graphicData uri="http://schemas.microsoft.com/office/word/2010/wordprocessingShape">
                          <wps:wsp>
                            <wps:cNvSpPr txBox="1"/>
                            <wps:spPr>
                              <a:xfrm>
                                <a:off x="0" y="0"/>
                                <a:ext cx="4679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1,738 </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 for warranties issued during the year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4,821 </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costs incurred during the year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(3,795)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2,764 </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 for warranties issued during the year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 xml:space="preserve">3,937 </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costs incurred during the year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(2,797)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 xml:space="preserve">3,904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shd w:fill="FFFFFF" w:val="clear"/>
        </w:rPr>
        <w:tab/>
      </w:r>
      <w:r>
        <w:rPr>
          <w:rFonts w:ascii="Times New Roman;Times;serif" w:hAnsi="Times New Roman;Times;serif"/>
          <w:sz w:val="22"/>
          <w:shd w:fill="FFFFFF" w:val="clear"/>
        </w:rPr>
        <w:tab/>
      </w:r>
      <w:r>
        <w:rPr>
          <w:rFonts w:ascii="Times New Roman;Times;serif" w:hAnsi="Times New Roman;Times;serif"/>
          <w:sz w:val="20"/>
          <w:shd w:fill="FFFFFF" w:val="clear"/>
        </w:rPr>
        <w:t>10</w:t>
      </w:r>
      <w:r>
        <mc:AlternateContent>
          <mc:Choice Requires="wps">
            <w:drawing>
              <wp:anchor behindDoc="0" distT="0" distB="0" distL="0" distR="0" simplePos="0" locked="0" layoutInCell="1" allowOverlap="1" relativeHeight="876">
                <wp:simplePos x="0" y="0"/>
                <wp:positionH relativeFrom="page">
                  <wp:posOffset>0</wp:posOffset>
                </wp:positionH>
                <wp:positionV relativeFrom="line">
                  <wp:posOffset>635</wp:posOffset>
                </wp:positionV>
                <wp:extent cx="6480175" cy="175260"/>
                <wp:effectExtent l="0" t="0" r="0" b="0"/>
                <wp:wrapNone/>
                <wp:docPr id="875" name="Frame8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ItalicMT">
    <w:charset w:val="01"/>
    <w:family w:val="auto"/>
    <w:pitch w:val="default"/>
  </w:font>
  <w:font w:name="Symbol">
    <w:charset w:val="01"/>
    <w:family w:val="auto"/>
    <w:pitch w:val="default"/>
  </w:font>
  <w:font w:name="TimesNewRomanPSMT">
    <w:charset w:val="01"/>
    <w:family w:val="auto"/>
    <w:pitch w:val="default"/>
  </w:font>
  <w:font w:name="Times New Roman">
    <w:altName w:val="Italic"/>
    <w:charset w:val="01"/>
    <w:family w:val="auto"/>
    <w:pitch w:val="default"/>
  </w:font>
  <w:font w:name="inherit">
    <w:charset w:val="01"/>
    <w:family w:val="auto"/>
    <w:pitch w:val="default"/>
  </w:font>
  <w:font w:name="Times New Roman Bold">
    <w:charset w:val="01"/>
    <w:family w:val="auto"/>
    <w:pitch w:val="default"/>
  </w:font>
  <w:font w:name="Arial">
    <w:altName w:val="Helvetica"/>
    <w:charset w:val="01"/>
    <w:family w:val="auto"/>
    <w:pitch w:val="default"/>
  </w:font>
  <w:font w:name="Verdana">
    <w:charset w:val="01"/>
    <w:family w:val="auto"/>
    <w:pitch w:val="default"/>
  </w:font>
  <w:font w:name="Freestyle Script">
    <w:charset w:val="01"/>
    <w:family w:val="auto"/>
    <w:pitch w:val="default"/>
  </w:font>
  <w:font w:name="Cambri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745308/000095012310072999/b81443exv3w1.htm" TargetMode="External"/><Relationship Id="rId4" Type="http://schemas.openxmlformats.org/officeDocument/2006/relationships/hyperlink" Target="https://www.sec.gov/Archives/edgar/data/745308/000115752322001657/a52973098ex3_1.htm" TargetMode="External"/><Relationship Id="rId5" Type="http://schemas.openxmlformats.org/officeDocument/2006/relationships/hyperlink" Target="http://www.sec.gov/Archives/edgar/data/745308/000074530814000034/exhibit41.htm" TargetMode="External"/><Relationship Id="rId6" Type="http://schemas.openxmlformats.org/officeDocument/2006/relationships/hyperlink" Target="http://www.sec.gov/Archives/edgar/data/745308/000074530814000034/exhibit41.htm" TargetMode="External"/><Relationship Id="rId7" Type="http://schemas.openxmlformats.org/officeDocument/2006/relationships/hyperlink" Target="https://www.sec.gov/Archives/edgar/data/745308/000155837020001483/joe-20191231ex438e22672.htm" TargetMode="External"/><Relationship Id="rId8" Type="http://schemas.openxmlformats.org/officeDocument/2006/relationships/hyperlink" Target="http://www.sec.gov/Archives/edgar/data/745308/000129993309000754/exhibit1.htm" TargetMode="External"/><Relationship Id="rId9" Type="http://schemas.openxmlformats.org/officeDocument/2006/relationships/hyperlink" Target="https://www.sec.gov/Archives/edgar/data/745308/000155837022006112/joe-20220331xex10d1.htm" TargetMode="External"/><Relationship Id="rId10" Type="http://schemas.openxmlformats.org/officeDocument/2006/relationships/hyperlink" Target="https://www.sec.gov/Archives/edgar/data/745308/000155837022011148/joe-20220630xex10d2.htm" TargetMode="External"/><Relationship Id="rId11" Type="http://schemas.openxmlformats.org/officeDocument/2006/relationships/hyperlink" Target="http://www.sec.gov/Archives/edgar/data/745308/000095012310109511/b83631exv10w1.htm" TargetMode="External"/><Relationship Id="rId12" Type="http://schemas.openxmlformats.org/officeDocument/2006/relationships/hyperlink" Target="http://www.sec.gov/Archives/edgar/data/745308/000074530816000033/joe-20151231ex1022a.htm" TargetMode="External"/><Relationship Id="rId13" Type="http://schemas.openxmlformats.org/officeDocument/2006/relationships/hyperlink" Target="https://www.sec.gov/ix?doc=/Archives/edgar/data/0000745308/000114036125011617/ny20037903x1_def14a.htm" TargetMode="External"/><Relationship Id="rId14" Type="http://schemas.openxmlformats.org/officeDocument/2006/relationships/hyperlink" Target="http://www.sec.gov/Archives/edgar/data/745308/000119312513390364/d606991dex1052.htm" TargetMode="External"/><Relationship Id="rId15" Type="http://schemas.openxmlformats.org/officeDocument/2006/relationships/hyperlink" Target="http://www.sec.gov/Archives/edgar/data/745308/000074530814000014/exhibit1058.htm" TargetMode="External"/><Relationship Id="rId16" Type="http://schemas.openxmlformats.org/officeDocument/2006/relationships/hyperlink" Target="https://www.sec.gov/Archives/edgar/data/745308/000155837024001435/joe-20231231xex97.htm" TargetMode="External"/><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76414</Words>
  <Characters>415879</Characters>
  <CharactersWithSpaces>496797</CharactersWithSpaces>
  <Paragraphs>18742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