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109855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132080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6"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(Mark One)</w:t>
      </w:r>
    </w:p>
    <w:p>
      <w:pPr>
        <w:spacing w:after="0" w:line="106" w:lineRule="exact"/>
        <w:rPr>
          <w:sz w:val="24"/>
          <w:szCs w:val="24"/>
          <w:color w:val="auto"/>
        </w:rPr>
      </w:pPr>
    </w:p>
    <w:p>
      <w:pPr>
        <w:ind w:left="740" w:right="420" w:hanging="596"/>
        <w:spacing w:after="0" w:line="270" w:lineRule="auto"/>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June 30, 2019</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740" w:right="420" w:hanging="596"/>
        <w:spacing w:after="0" w:line="270" w:lineRule="auto"/>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9" w:lineRule="exact"/>
        <w:rPr>
          <w:sz w:val="24"/>
          <w:szCs w:val="24"/>
          <w:color w:val="auto"/>
        </w:rPr>
      </w:pPr>
    </w:p>
    <w:p>
      <w:pPr>
        <w:ind w:left="3100"/>
        <w:spacing w:after="0"/>
        <w:tabs>
          <w:tab w:leader="none" w:pos="6220" w:val="left"/>
          <w:tab w:leader="none" w:pos="72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88"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7"/>
          <w:szCs w:val="17"/>
          <w:b w:val="1"/>
          <w:bCs w:val="1"/>
          <w:color w:val="auto"/>
        </w:rPr>
        <w:t>Commission file number: 1</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10466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139700</wp:posOffset>
            </wp:positionV>
            <wp:extent cx="1655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The St. Joe Company</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127000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060" w:type="dxa"/>
            <w:vAlign w:val="bottom"/>
            <w:gridSpan w:val="2"/>
          </w:tcPr>
          <w:p>
            <w:pPr>
              <w:jc w:val="center"/>
              <w:ind w:left="1078"/>
              <w:spacing w:after="0"/>
              <w:rPr>
                <w:sz w:val="20"/>
                <w:szCs w:val="20"/>
                <w:color w:val="auto"/>
              </w:rPr>
            </w:pPr>
            <w:r>
              <w:rPr>
                <w:rFonts w:ascii="Arial" w:cs="Arial" w:eastAsia="Arial" w:hAnsi="Arial"/>
                <w:sz w:val="17"/>
                <w:szCs w:val="17"/>
                <w:b w:val="1"/>
                <w:bCs w:val="1"/>
                <w:color w:val="auto"/>
                <w:w w:val="95"/>
              </w:rPr>
              <w:t>Florida</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00" w:type="dxa"/>
            <w:vAlign w:val="bottom"/>
          </w:tcPr>
          <w:p>
            <w:pPr>
              <w:jc w:val="center"/>
              <w:ind w:right="1797"/>
              <w:spacing w:after="0" w:line="196" w:lineRule="exact"/>
              <w:rPr>
                <w:sz w:val="20"/>
                <w:szCs w:val="20"/>
                <w:color w:val="auto"/>
              </w:rPr>
            </w:pPr>
            <w:r>
              <w:rPr>
                <w:rFonts w:ascii="Arial" w:cs="Arial" w:eastAsia="Arial" w:hAnsi="Arial"/>
                <w:sz w:val="17"/>
                <w:szCs w:val="17"/>
                <w:b w:val="1"/>
                <w:bCs w:val="1"/>
                <w:color w:val="auto"/>
                <w:w w:val="90"/>
              </w:rPr>
              <w:t>59</w:t>
            </w:r>
            <w:r>
              <w:rPr>
                <w:rFonts w:ascii="MS PGothic" w:cs="MS PGothic" w:eastAsia="MS PGothic" w:hAnsi="MS PGothic"/>
                <w:sz w:val="17"/>
                <w:szCs w:val="17"/>
                <w:b w:val="1"/>
                <w:bCs w:val="1"/>
                <w:color w:val="auto"/>
                <w:w w:val="90"/>
              </w:rPr>
              <w:t>‑</w:t>
            </w:r>
            <w:r>
              <w:rPr>
                <w:rFonts w:ascii="Arial" w:cs="Arial" w:eastAsia="Arial" w:hAnsi="Arial"/>
                <w:sz w:val="17"/>
                <w:szCs w:val="17"/>
                <w:b w:val="1"/>
                <w:bCs w:val="1"/>
                <w:color w:val="auto"/>
                <w:w w:val="90"/>
              </w:rPr>
              <w:t>0432511</w:t>
            </w:r>
          </w:p>
        </w:tc>
      </w:tr>
      <w:tr>
        <w:trPr>
          <w:trHeight w:val="203"/>
        </w:trPr>
        <w:tc>
          <w:tcPr>
            <w:tcW w:w="4060" w:type="dxa"/>
            <w:vAlign w:val="bottom"/>
            <w:gridSpan w:val="2"/>
          </w:tcPr>
          <w:p>
            <w:pPr>
              <w:jc w:val="center"/>
              <w:ind w:left="1078"/>
              <w:spacing w:after="0"/>
              <w:rPr>
                <w:sz w:val="20"/>
                <w:szCs w:val="20"/>
                <w:color w:val="auto"/>
              </w:rPr>
            </w:pPr>
            <w:r>
              <w:rPr>
                <w:rFonts w:ascii="Arial" w:cs="Arial" w:eastAsia="Arial" w:hAnsi="Arial"/>
                <w:sz w:val="17"/>
                <w:szCs w:val="17"/>
                <w:b w:val="1"/>
                <w:bCs w:val="1"/>
                <w:color w:val="auto"/>
                <w:w w:val="91"/>
              </w:rPr>
              <w:t>(State or other jurisdiction of</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00" w:type="dxa"/>
            <w:vAlign w:val="bottom"/>
          </w:tcPr>
          <w:p>
            <w:pPr>
              <w:jc w:val="center"/>
              <w:ind w:right="1777"/>
              <w:spacing w:after="0"/>
              <w:rPr>
                <w:sz w:val="20"/>
                <w:szCs w:val="20"/>
                <w:color w:val="auto"/>
              </w:rPr>
            </w:pPr>
            <w:r>
              <w:rPr>
                <w:rFonts w:ascii="Arial" w:cs="Arial" w:eastAsia="Arial" w:hAnsi="Arial"/>
                <w:sz w:val="17"/>
                <w:szCs w:val="17"/>
                <w:b w:val="1"/>
                <w:bCs w:val="1"/>
                <w:color w:val="auto"/>
                <w:w w:val="95"/>
              </w:rPr>
              <w:t>(I.R.S. Employer</w:t>
            </w:r>
          </w:p>
        </w:tc>
      </w:tr>
      <w:tr>
        <w:trPr>
          <w:trHeight w:val="222"/>
        </w:trPr>
        <w:tc>
          <w:tcPr>
            <w:tcW w:w="4060" w:type="dxa"/>
            <w:vAlign w:val="bottom"/>
            <w:gridSpan w:val="2"/>
          </w:tcPr>
          <w:p>
            <w:pPr>
              <w:jc w:val="center"/>
              <w:ind w:left="1078"/>
              <w:spacing w:after="0"/>
              <w:rPr>
                <w:sz w:val="20"/>
                <w:szCs w:val="20"/>
                <w:color w:val="auto"/>
              </w:rPr>
            </w:pPr>
            <w:r>
              <w:rPr>
                <w:rFonts w:ascii="Arial" w:cs="Arial" w:eastAsia="Arial" w:hAnsi="Arial"/>
                <w:sz w:val="17"/>
                <w:szCs w:val="17"/>
                <w:b w:val="1"/>
                <w:bCs w:val="1"/>
                <w:color w:val="auto"/>
                <w:w w:val="91"/>
              </w:rPr>
              <w:t>incorporation or organization)</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jc w:val="center"/>
              <w:ind w:right="1797"/>
              <w:spacing w:after="0"/>
              <w:rPr>
                <w:sz w:val="20"/>
                <w:szCs w:val="20"/>
                <w:color w:val="auto"/>
              </w:rPr>
            </w:pPr>
            <w:r>
              <w:rPr>
                <w:rFonts w:ascii="Arial" w:cs="Arial" w:eastAsia="Arial" w:hAnsi="Arial"/>
                <w:sz w:val="17"/>
                <w:szCs w:val="17"/>
                <w:b w:val="1"/>
                <w:bCs w:val="1"/>
                <w:color w:val="auto"/>
                <w:w w:val="93"/>
              </w:rPr>
              <w:t>Identification No.)</w:t>
            </w:r>
          </w:p>
        </w:tc>
      </w:tr>
      <w:tr>
        <w:trPr>
          <w:trHeight w:val="264"/>
        </w:trPr>
        <w:tc>
          <w:tcPr>
            <w:tcW w:w="4060" w:type="dxa"/>
            <w:vAlign w:val="bottom"/>
            <w:gridSpan w:val="2"/>
          </w:tcPr>
          <w:p>
            <w:pPr>
              <w:jc w:val="center"/>
              <w:ind w:left="1098"/>
              <w:spacing w:after="0"/>
              <w:rPr>
                <w:sz w:val="20"/>
                <w:szCs w:val="20"/>
                <w:color w:val="auto"/>
              </w:rPr>
            </w:pPr>
            <w:r>
              <w:rPr>
                <w:rFonts w:ascii="Arial" w:cs="Arial" w:eastAsia="Arial" w:hAnsi="Arial"/>
                <w:sz w:val="17"/>
                <w:szCs w:val="17"/>
                <w:b w:val="1"/>
                <w:bCs w:val="1"/>
                <w:color w:val="auto"/>
                <w:w w:val="91"/>
              </w:rPr>
              <w:t>133 South Watersound Parkway</w:t>
            </w:r>
          </w:p>
        </w:tc>
        <w:tc>
          <w:tcPr>
            <w:tcW w:w="2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300" w:type="dxa"/>
            <w:vAlign w:val="bottom"/>
          </w:tcPr>
          <w:p>
            <w:pPr>
              <w:spacing w:after="0"/>
              <w:rPr>
                <w:sz w:val="22"/>
                <w:szCs w:val="22"/>
                <w:color w:val="auto"/>
              </w:rPr>
            </w:pPr>
          </w:p>
        </w:tc>
      </w:tr>
      <w:tr>
        <w:trPr>
          <w:trHeight w:val="203"/>
        </w:trPr>
        <w:tc>
          <w:tcPr>
            <w:tcW w:w="4060" w:type="dxa"/>
            <w:vAlign w:val="bottom"/>
            <w:gridSpan w:val="2"/>
          </w:tcPr>
          <w:p>
            <w:pPr>
              <w:jc w:val="center"/>
              <w:ind w:left="1098"/>
              <w:spacing w:after="0"/>
              <w:rPr>
                <w:sz w:val="20"/>
                <w:szCs w:val="20"/>
                <w:color w:val="auto"/>
              </w:rPr>
            </w:pPr>
            <w:r>
              <w:rPr>
                <w:rFonts w:ascii="Arial" w:cs="Arial" w:eastAsia="Arial" w:hAnsi="Arial"/>
                <w:sz w:val="17"/>
                <w:szCs w:val="17"/>
                <w:b w:val="1"/>
                <w:bCs w:val="1"/>
                <w:color w:val="auto"/>
                <w:w w:val="92"/>
              </w:rPr>
              <w:t>Watersound, Florida</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00" w:type="dxa"/>
            <w:vAlign w:val="bottom"/>
          </w:tcPr>
          <w:p>
            <w:pPr>
              <w:jc w:val="right"/>
              <w:ind w:right="2297"/>
              <w:spacing w:after="0"/>
              <w:rPr>
                <w:sz w:val="20"/>
                <w:szCs w:val="20"/>
                <w:color w:val="auto"/>
              </w:rPr>
            </w:pPr>
            <w:r>
              <w:rPr>
                <w:rFonts w:ascii="Arial" w:cs="Arial" w:eastAsia="Arial" w:hAnsi="Arial"/>
                <w:sz w:val="17"/>
                <w:szCs w:val="17"/>
                <w:b w:val="1"/>
                <w:bCs w:val="1"/>
                <w:color w:val="auto"/>
              </w:rPr>
              <w:t>32461</w:t>
            </w:r>
          </w:p>
        </w:tc>
      </w:tr>
      <w:tr>
        <w:trPr>
          <w:trHeight w:val="222"/>
        </w:trPr>
        <w:tc>
          <w:tcPr>
            <w:tcW w:w="4060" w:type="dxa"/>
            <w:vAlign w:val="bottom"/>
            <w:gridSpan w:val="2"/>
          </w:tcPr>
          <w:p>
            <w:pPr>
              <w:jc w:val="center"/>
              <w:ind w:left="1078"/>
              <w:spacing w:after="0"/>
              <w:rPr>
                <w:sz w:val="20"/>
                <w:szCs w:val="20"/>
                <w:color w:val="auto"/>
              </w:rPr>
            </w:pPr>
            <w:r>
              <w:rPr>
                <w:rFonts w:ascii="Arial" w:cs="Arial" w:eastAsia="Arial" w:hAnsi="Arial"/>
                <w:sz w:val="17"/>
                <w:szCs w:val="17"/>
                <w:b w:val="1"/>
                <w:bCs w:val="1"/>
                <w:color w:val="auto"/>
                <w:w w:val="88"/>
              </w:rPr>
              <w:t>(Address of principal executive offices)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jc w:val="center"/>
              <w:ind w:right="1777"/>
              <w:spacing w:after="0"/>
              <w:rPr>
                <w:sz w:val="20"/>
                <w:szCs w:val="20"/>
                <w:color w:val="auto"/>
              </w:rPr>
            </w:pPr>
            <w:r>
              <w:rPr>
                <w:rFonts w:ascii="Arial" w:cs="Arial" w:eastAsia="Arial" w:hAnsi="Arial"/>
                <w:sz w:val="17"/>
                <w:szCs w:val="17"/>
                <w:b w:val="1"/>
                <w:bCs w:val="1"/>
                <w:color w:val="auto"/>
                <w:w w:val="95"/>
              </w:rPr>
              <w:t>(Zip Code)</w:t>
            </w:r>
          </w:p>
        </w:tc>
      </w:tr>
      <w:tr>
        <w:trPr>
          <w:trHeight w:val="274"/>
        </w:trPr>
        <w:tc>
          <w:tcPr>
            <w:tcW w:w="3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40" w:type="dxa"/>
            <w:vAlign w:val="bottom"/>
            <w:gridSpan w:val="3"/>
          </w:tcPr>
          <w:p>
            <w:pPr>
              <w:jc w:val="center"/>
              <w:ind w:right="740"/>
              <w:spacing w:after="0" w:line="184" w:lineRule="exact"/>
              <w:rPr>
                <w:sz w:val="20"/>
                <w:szCs w:val="20"/>
                <w:color w:val="auto"/>
              </w:rPr>
            </w:pPr>
            <w:r>
              <w:rPr>
                <w:rFonts w:ascii="Arial" w:cs="Arial" w:eastAsia="Arial" w:hAnsi="Arial"/>
                <w:sz w:val="16"/>
                <w:szCs w:val="16"/>
                <w:b w:val="1"/>
                <w:bCs w:val="1"/>
                <w:color w:val="auto"/>
                <w:w w:val="93"/>
              </w:rPr>
              <w:t>(850) 231</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6400</w:t>
            </w:r>
          </w:p>
        </w:tc>
        <w:tc>
          <w:tcPr>
            <w:tcW w:w="3300" w:type="dxa"/>
            <w:vAlign w:val="bottom"/>
          </w:tcPr>
          <w:p>
            <w:pPr>
              <w:spacing w:after="0"/>
              <w:rPr>
                <w:sz w:val="23"/>
                <w:szCs w:val="23"/>
                <w:color w:val="auto"/>
              </w:rPr>
            </w:pPr>
          </w:p>
        </w:tc>
      </w:tr>
      <w:tr>
        <w:trPr>
          <w:trHeight w:val="194"/>
        </w:trPr>
        <w:tc>
          <w:tcPr>
            <w:tcW w:w="7100" w:type="dxa"/>
            <w:vAlign w:val="bottom"/>
            <w:gridSpan w:val="5"/>
          </w:tcPr>
          <w:p>
            <w:pPr>
              <w:jc w:val="center"/>
              <w:ind w:left="3238"/>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300" w:type="dxa"/>
            <w:vAlign w:val="bottom"/>
          </w:tcPr>
          <w:p>
            <w:pPr>
              <w:spacing w:after="0"/>
              <w:rPr>
                <w:sz w:val="16"/>
                <w:szCs w:val="16"/>
                <w:color w:val="auto"/>
              </w:rPr>
            </w:pPr>
          </w:p>
        </w:tc>
      </w:tr>
      <w:tr>
        <w:trPr>
          <w:trHeight w:val="186"/>
        </w:trPr>
        <w:tc>
          <w:tcPr>
            <w:tcW w:w="7100" w:type="dxa"/>
            <w:vAlign w:val="bottom"/>
            <w:gridSpan w:val="5"/>
          </w:tcPr>
          <w:p>
            <w:pPr>
              <w:jc w:val="center"/>
              <w:ind w:left="323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300" w:type="dxa"/>
            <w:vAlign w:val="bottom"/>
          </w:tcPr>
          <w:p>
            <w:pPr>
              <w:spacing w:after="0"/>
              <w:rPr>
                <w:sz w:val="16"/>
                <w:szCs w:val="16"/>
                <w:color w:val="auto"/>
              </w:rPr>
            </w:pPr>
          </w:p>
        </w:tc>
      </w:tr>
      <w:tr>
        <w:trPr>
          <w:trHeight w:val="323"/>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0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b w:val="1"/>
                <w:bCs w:val="1"/>
                <w:color w:val="auto"/>
                <w:w w:val="92"/>
              </w:rPr>
              <w:t>Name of Exchange on Which Registered</w:t>
            </w:r>
          </w:p>
        </w:tc>
      </w:tr>
      <w:tr>
        <w:trPr>
          <w:trHeight w:val="224"/>
        </w:trPr>
        <w:tc>
          <w:tcPr>
            <w:tcW w:w="40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Common Stock, no par value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JOE</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00" w:type="dxa"/>
            <w:vAlign w:val="bottom"/>
          </w:tcPr>
          <w:p>
            <w:pPr>
              <w:jc w:val="center"/>
              <w:ind w:right="577"/>
              <w:spacing w:after="0"/>
              <w:rPr>
                <w:sz w:val="20"/>
                <w:szCs w:val="20"/>
                <w:color w:val="auto"/>
              </w:rPr>
            </w:pPr>
            <w:r>
              <w:rPr>
                <w:rFonts w:ascii="Arial" w:cs="Arial" w:eastAsia="Arial" w:hAnsi="Arial"/>
                <w:sz w:val="16"/>
                <w:szCs w:val="16"/>
                <w:color w:val="auto"/>
                <w:w w:val="92"/>
              </w:rPr>
              <w:t>New York Stock Exchange</w:t>
            </w:r>
          </w:p>
        </w:tc>
      </w:tr>
      <w:tr>
        <w:trPr>
          <w:trHeight w:val="26"/>
        </w:trPr>
        <w:tc>
          <w:tcPr>
            <w:tcW w:w="3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222885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20" w:right="60" w:firstLine="324"/>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20" w:right="240" w:firstLine="324"/>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20" w:right="80" w:firstLine="324"/>
        <w:spacing w:after="0" w:line="207" w:lineRule="exact"/>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8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720" w:type="dxa"/>
            <w:vAlign w:val="bottom"/>
          </w:tcPr>
          <w:p>
            <w:pPr>
              <w:ind w:left="234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288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4720" w:type="dxa"/>
            <w:vAlign w:val="bottom"/>
          </w:tcPr>
          <w:p>
            <w:pPr>
              <w:ind w:left="234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19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720" w:type="dxa"/>
            <w:vAlign w:val="bottom"/>
          </w:tcPr>
          <w:p>
            <w:pPr>
              <w:ind w:left="2340"/>
              <w:spacing w:after="0"/>
              <w:rPr>
                <w:sz w:val="20"/>
                <w:szCs w:val="20"/>
                <w:color w:val="auto"/>
              </w:rPr>
            </w:pPr>
            <w:r>
              <w:rPr>
                <w:rFonts w:ascii="Arial" w:cs="Arial" w:eastAsia="Arial" w:hAnsi="Arial"/>
                <w:sz w:val="17"/>
                <w:szCs w:val="17"/>
                <w:color w:val="auto"/>
              </w:rPr>
              <w:t>Emerging growth company</w:t>
            </w:r>
          </w:p>
        </w:tc>
        <w:tc>
          <w:tcPr>
            <w:tcW w:w="6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jc w:val="both"/>
        <w:ind w:left="20" w:right="160" w:firstLine="324"/>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0" w:lineRule="exact"/>
        <w:rPr>
          <w:sz w:val="24"/>
          <w:szCs w:val="24"/>
          <w:color w:val="auto"/>
        </w:rPr>
      </w:pPr>
    </w:p>
    <w:p>
      <w:pPr>
        <w:ind w:left="340" w:right="960"/>
        <w:spacing w:after="0" w:line="266" w:lineRule="exact"/>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29, 2019, there were 60,206,242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6612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40"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Page No.</w:t>
            </w:r>
          </w:p>
        </w:tc>
      </w:tr>
      <w:tr>
        <w:trPr>
          <w:trHeight w:val="196"/>
        </w:trPr>
        <w:tc>
          <w:tcPr>
            <w:tcW w:w="8500" w:type="dxa"/>
            <w:vAlign w:val="bottom"/>
            <w:gridSpan w:val="21"/>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6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85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58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2019 and December 31, 2018</w:t>
              </w:r>
            </w:hyperlink>
          </w:p>
        </w:tc>
        <w:tc>
          <w:tcPr>
            <w:tcW w:w="2640" w:type="dxa"/>
            <w:vAlign w:val="bottom"/>
            <w:gridSpan w:val="6"/>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64"/>
        </w:trPr>
        <w:tc>
          <w:tcPr>
            <w:tcW w:w="74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 Three and Six Months Ended June 30, 2019 and 2018</w:t>
              </w:r>
            </w:hyperlink>
          </w:p>
        </w:tc>
        <w:tc>
          <w:tcPr>
            <w:tcW w:w="1060" w:type="dxa"/>
            <w:vAlign w:val="bottom"/>
            <w:gridSpan w:val="3"/>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64"/>
        </w:trPr>
        <w:tc>
          <w:tcPr>
            <w:tcW w:w="850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 Three and Six Months Ended June 30, 2019 and</w:t>
              </w:r>
            </w:hyperlink>
          </w:p>
        </w:tc>
        <w:tc>
          <w:tcPr>
            <w:tcW w:w="560" w:type="dxa"/>
            <w:vAlign w:val="bottom"/>
          </w:tcPr>
          <w:p>
            <w:pPr>
              <w:spacing w:after="0"/>
              <w:rPr>
                <w:sz w:val="22"/>
                <w:szCs w:val="22"/>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264"/>
        </w:trPr>
        <w:tc>
          <w:tcPr>
            <w:tcW w:w="81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Changes in Stockholders’ Equity - Three and Six Months Ended June 30,</w:t>
              </w:r>
            </w:hyperlink>
          </w:p>
        </w:tc>
        <w:tc>
          <w:tcPr>
            <w:tcW w:w="34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2019 and 2018</w:t>
              </w:r>
            </w:hyperlink>
          </w:p>
        </w:tc>
        <w:tc>
          <w:tcPr>
            <w:tcW w:w="7420" w:type="dxa"/>
            <w:vAlign w:val="bottom"/>
            <w:gridSpan w:val="17"/>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264"/>
        </w:trPr>
        <w:tc>
          <w:tcPr>
            <w:tcW w:w="850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 Six Months Ended June 30, 2019 and 2018</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64"/>
        </w:trPr>
        <w:tc>
          <w:tcPr>
            <w:tcW w:w="6960" w:type="dxa"/>
            <w:vAlign w:val="bottom"/>
            <w:tcBorders>
              <w:top w:val="single" w:sz="8" w:color="0000EE"/>
            </w:tcBorders>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the Condensed Consolidated Financial Statements</w:t>
              </w:r>
            </w:hyperlink>
          </w:p>
        </w:tc>
        <w:tc>
          <w:tcPr>
            <w:tcW w:w="1540" w:type="dxa"/>
            <w:vAlign w:val="bottom"/>
            <w:gridSpan w:val="5"/>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4"/>
        </w:trPr>
        <w:tc>
          <w:tcPr>
            <w:tcW w:w="70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Item 2. Management’s Discussion and Analysis of Financial Condition and Results of Operations</w:t>
              </w:r>
            </w:hyperlink>
          </w:p>
        </w:tc>
        <w:tc>
          <w:tcPr>
            <w:tcW w:w="1480" w:type="dxa"/>
            <w:vAlign w:val="bottom"/>
            <w:gridSpan w:val="4"/>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64"/>
        </w:trPr>
        <w:tc>
          <w:tcPr>
            <w:tcW w:w="49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Item 3. Quantitative and Qualitative Disclosures About Market Risk</w:t>
              </w:r>
            </w:hyperlink>
          </w:p>
        </w:tc>
        <w:tc>
          <w:tcPr>
            <w:tcW w:w="3580" w:type="dxa"/>
            <w:vAlign w:val="bottom"/>
            <w:gridSpan w:val="7"/>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64"/>
        </w:trPr>
        <w:tc>
          <w:tcPr>
            <w:tcW w:w="850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4. Controls and Procedures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64"/>
        </w:trPr>
        <w:tc>
          <w:tcPr>
            <w:tcW w:w="6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PART II</w:t>
              </w:r>
            </w:hyperlink>
          </w:p>
        </w:tc>
        <w:tc>
          <w:tcPr>
            <w:tcW w:w="1660" w:type="dxa"/>
            <w:vAlign w:val="bottom"/>
            <w:tcBorders>
              <w:top w:val="single" w:sz="8" w:color="0000EE"/>
            </w:tcBorders>
            <w:gridSpan w:val="7"/>
          </w:tcPr>
          <w:p>
            <w:pPr>
              <w:spacing w:after="0"/>
              <w:rPr>
                <w:sz w:val="22"/>
                <w:szCs w:val="22"/>
                <w:color w:val="auto"/>
              </w:rPr>
            </w:pPr>
          </w:p>
        </w:tc>
        <w:tc>
          <w:tcPr>
            <w:tcW w:w="6180" w:type="dxa"/>
            <w:vAlign w:val="bottom"/>
            <w:gridSpan w:val="11"/>
          </w:tcPr>
          <w:p>
            <w:pPr>
              <w:spacing w:after="0"/>
              <w:rPr>
                <w:sz w:val="22"/>
                <w:szCs w:val="22"/>
                <w:color w:val="auto"/>
              </w:rPr>
            </w:pPr>
          </w:p>
        </w:tc>
        <w:tc>
          <w:tcPr>
            <w:tcW w:w="560" w:type="dxa"/>
            <w:vAlign w:val="bottom"/>
          </w:tcPr>
          <w:p>
            <w:pPr>
              <w:spacing w:after="0"/>
              <w:rPr>
                <w:sz w:val="22"/>
                <w:szCs w:val="22"/>
                <w:color w:val="auto"/>
              </w:rPr>
            </w:pPr>
          </w:p>
        </w:tc>
      </w:tr>
      <w:tr>
        <w:trPr>
          <w:trHeight w:val="264"/>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 Legal Proceedings</w:t>
              </w:r>
            </w:hyperlink>
          </w:p>
        </w:tc>
        <w:tc>
          <w:tcPr>
            <w:tcW w:w="6600" w:type="dxa"/>
            <w:vAlign w:val="bottom"/>
            <w:gridSpan w:val="13"/>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64"/>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Item 1A. Risk Factors</w:t>
              </w:r>
            </w:hyperlink>
          </w:p>
        </w:tc>
        <w:tc>
          <w:tcPr>
            <w:tcW w:w="6900" w:type="dxa"/>
            <w:vAlign w:val="bottom"/>
            <w:gridSpan w:val="15"/>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64"/>
        </w:trPr>
        <w:tc>
          <w:tcPr>
            <w:tcW w:w="850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 Unregistered Sales of Equity Securities and Use of Proceeds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64"/>
        </w:trPr>
        <w:tc>
          <w:tcPr>
            <w:tcW w:w="4900" w:type="dxa"/>
            <w:vAlign w:val="bottom"/>
            <w:tcBorders>
              <w:top w:val="single" w:sz="8" w:color="0000EE"/>
            </w:tcBorders>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 Defaults Upon Senior Securities</w:t>
              </w:r>
            </w:hyperlink>
          </w:p>
        </w:tc>
        <w:tc>
          <w:tcPr>
            <w:tcW w:w="3600" w:type="dxa"/>
            <w:vAlign w:val="bottom"/>
            <w:gridSpan w:val="8"/>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64"/>
        </w:trPr>
        <w:tc>
          <w:tcPr>
            <w:tcW w:w="2880" w:type="dxa"/>
            <w:vAlign w:val="bottom"/>
            <w:tcBorders>
              <w:top w:val="single" w:sz="8" w:color="0000EE"/>
            </w:tcBorders>
            <w:gridSpan w:val="1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 Mine Safety Disclosures</w:t>
              </w:r>
            </w:hyperlink>
          </w:p>
        </w:tc>
        <w:tc>
          <w:tcPr>
            <w:tcW w:w="5620" w:type="dxa"/>
            <w:vAlign w:val="bottom"/>
            <w:gridSpan w:val="10"/>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64"/>
        </w:trPr>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2"/>
                <w:szCs w:val="22"/>
                <w:color w:val="auto"/>
              </w:rPr>
            </w:pPr>
          </w:p>
        </w:tc>
        <w:tc>
          <w:tcPr>
            <w:tcW w:w="6180" w:type="dxa"/>
            <w:vAlign w:val="bottom"/>
            <w:gridSpan w:val="11"/>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64"/>
        </w:trPr>
        <w:tc>
          <w:tcPr>
            <w:tcW w:w="11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Item 6. Exhibits</w:t>
              </w:r>
            </w:hyperlink>
          </w:p>
        </w:tc>
        <w:tc>
          <w:tcPr>
            <w:tcW w:w="7340" w:type="dxa"/>
            <w:vAlign w:val="bottom"/>
            <w:gridSpan w:val="16"/>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64"/>
        </w:trPr>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68">
              <w:r>
                <w:rPr>
                  <w:rFonts w:ascii="Arial" w:cs="Arial" w:eastAsia="Arial" w:hAnsi="Arial"/>
                  <w:sz w:val="18"/>
                  <w:szCs w:val="18"/>
                  <w:b w:val="1"/>
                  <w:bCs w:val="1"/>
                  <w:color w:val="0000EE"/>
                  <w:w w:val="96"/>
                </w:rPr>
                <w:t>SIGNATURES</w:t>
              </w:r>
            </w:hyperlink>
          </w:p>
        </w:tc>
        <w:tc>
          <w:tcPr>
            <w:tcW w:w="7340" w:type="dxa"/>
            <w:vAlign w:val="bottom"/>
            <w:gridSpan w:val="16"/>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925"/>
        </w:trPr>
        <w:tc>
          <w:tcPr>
            <w:tcW w:w="4900" w:type="dxa"/>
            <w:vAlign w:val="bottom"/>
            <w:gridSpan w:val="13"/>
          </w:tcPr>
          <w:p>
            <w:pPr>
              <w:ind w:left="44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61"/>
        </w:trPr>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10"/>
        </w:trPr>
        <w:tc>
          <w:tcPr>
            <w:tcW w:w="6360" w:type="dxa"/>
            <w:vAlign w:val="bottom"/>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Investment in real estate,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384,056</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350,994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Investments - debt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8,958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 - equity securities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60,308</w:t>
            </w:r>
          </w:p>
        </w:tc>
      </w:tr>
      <w:tr>
        <w:trPr>
          <w:trHeight w:val="202"/>
        </w:trPr>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Property and equipment, net of accumulated depreciation of $61,692 and $60,271 at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June 30, 2019 and December 31, 2018, respectively</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w:t>
            </w:r>
          </w:p>
        </w:tc>
      </w:tr>
      <w:tr>
        <w:trPr>
          <w:trHeight w:val="216"/>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held by special purpose entities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207,384</w:t>
            </w:r>
          </w:p>
        </w:tc>
      </w:tr>
      <w:tr>
        <w:trPr>
          <w:trHeight w:val="230"/>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906,247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870,962</w:t>
            </w:r>
          </w:p>
        </w:tc>
      </w:tr>
      <w:tr>
        <w:trPr>
          <w:trHeight w:val="203"/>
        </w:trPr>
        <w:tc>
          <w:tcPr>
            <w:tcW w:w="6360" w:type="dxa"/>
            <w:vAlign w:val="bottom"/>
          </w:tcPr>
          <w:p>
            <w:pPr>
              <w:ind w:left="19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Debt,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80,244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69,374</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44,315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Senior Notes held by special purpose entity</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176,775</w:t>
            </w:r>
          </w:p>
        </w:tc>
      </w:tr>
      <w:tr>
        <w:trPr>
          <w:trHeight w:val="210"/>
        </w:trPr>
        <w:tc>
          <w:tcPr>
            <w:tcW w:w="636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364,107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337,851</w:t>
            </w:r>
          </w:p>
        </w:tc>
      </w:tr>
      <w:tr>
        <w:trPr>
          <w:trHeight w:val="216"/>
        </w:trPr>
        <w:tc>
          <w:tcPr>
            <w:tcW w:w="6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6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no par value; 180,000,000 shares authorized; 60,672,034 issued at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3"/>
              </w:rPr>
              <w:t>June 30, 2019 and December 31, 2018; and 60,200,534 and 60,672,034 outstanding</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at June 30, 2019 and December 31, 2018, respectively</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330,209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331,395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199,820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187,450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Treasury stock at cost, 471,500 shares held at June 30, 2019</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(7,073)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518,171</w:t>
            </w:r>
          </w:p>
        </w:tc>
      </w:tr>
      <w:tr>
        <w:trPr>
          <w:trHeight w:val="216"/>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14,940</w:t>
            </w:r>
          </w:p>
        </w:tc>
      </w:tr>
      <w:tr>
        <w:trPr>
          <w:trHeight w:val="21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533,111</w:t>
            </w:r>
          </w:p>
        </w:tc>
      </w:tr>
      <w:tr>
        <w:trPr>
          <w:trHeight w:val="217"/>
        </w:trPr>
        <w:tc>
          <w:tcPr>
            <w:tcW w:w="63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906,247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The following presents the portion of the condensed consolidated balances attributable to the Company’s consolidated variable interest entities, which, as of June 30, 2019 and December 31, 2018, include the Pier Park North joint venture (“Pier Park North JV”), Pier Park Crossings LLC (“Pier Park Crossings JV”), Windmark JV, LLC (“Windmark JV”), Panama City Timber Finance Company, LLC and Northwest Florida Timber Finance, LLC as discussed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 Basis of Presentation and Principles of Consolidation</w:t>
      </w:r>
      <w:r>
        <w:rPr>
          <w:rFonts w:ascii="Arial" w:cs="Arial" w:eastAsia="Arial" w:hAnsi="Arial"/>
          <w:sz w:val="16"/>
          <w:szCs w:val="16"/>
          <w:color w:val="auto"/>
        </w:rPr>
        <w:t>. As of June 30, 2019, the consolidated balances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attributable to the Company’s consolidated variable interest entities also include Origins Crossings, LLC (“Origins Crossings JV”) and SJWCSL, LLC (“Watercrest JV”). The following assets may only be used to settle obligations of the consolidated variable interest entities and the following liabilities are only obligations of the variable interest entities and do not have recourse to the general credit of the Company, except for covenants and limited guarantees discussed in Note 10. </w:t>
      </w:r>
      <w:r>
        <w:rPr>
          <w:rFonts w:ascii="Arial" w:cs="Arial" w:eastAsia="Arial" w:hAnsi="Arial"/>
          <w:sz w:val="16"/>
          <w:szCs w:val="16"/>
          <w:i w:val="1"/>
          <w:iCs w:val="1"/>
          <w:color w:val="auto"/>
        </w:rPr>
        <w:t>Debt, Net</w:t>
      </w:r>
      <w:r>
        <w:rPr>
          <w:rFonts w:ascii="Arial" w:cs="Arial" w:eastAsia="Arial" w:hAnsi="Arial"/>
          <w:sz w:val="16"/>
          <w:szCs w:val="16"/>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4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r>
      <w:tr>
        <w:trPr>
          <w:trHeight w:val="210"/>
        </w:trPr>
        <w:tc>
          <w:tcPr>
            <w:tcW w:w="540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 in real estate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89,584</w:t>
            </w:r>
          </w:p>
        </w:tc>
        <w:tc>
          <w:tcPr>
            <w:tcW w:w="40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70,124</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assets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16,165</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by special purpose entities</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207,055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207,384</w:t>
            </w:r>
          </w:p>
        </w:tc>
      </w:tr>
      <w:tr>
        <w:trPr>
          <w:trHeight w:val="217"/>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318,774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295,786</w:t>
            </w:r>
          </w:p>
        </w:tc>
      </w:tr>
      <w:tr>
        <w:trPr>
          <w:trHeight w:val="216"/>
        </w:trPr>
        <w:tc>
          <w:tcPr>
            <w:tcW w:w="540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Debt, net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69,096</w:t>
            </w:r>
          </w:p>
        </w:tc>
        <w:tc>
          <w:tcPr>
            <w:tcW w:w="40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60,262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Senior Notes held by special purpose entity</w:t>
            </w:r>
          </w:p>
        </w:tc>
        <w:tc>
          <w:tcPr>
            <w:tcW w:w="1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176,899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176,775</w:t>
            </w:r>
          </w:p>
        </w:tc>
      </w:tr>
      <w:tr>
        <w:trPr>
          <w:trHeight w:val="217"/>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1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242,810</w:t>
            </w:r>
          </w:p>
        </w:tc>
      </w:tr>
    </w:tbl>
    <w:p>
      <w:pPr>
        <w:spacing w:after="0" w:line="20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Real estate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20,144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Leasing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Cost of real estate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hospitality 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Cost of leasing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timber revenue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Other operating and corporate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income,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the Company</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Basic and Diluted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60,200,534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63,760,022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60,260,488</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64,613,298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100"/>
              <w:spacing w:after="0" w:line="203" w:lineRule="exact"/>
              <w:rPr>
                <w:sz w:val="20"/>
                <w:szCs w:val="20"/>
                <w:color w:val="auto"/>
              </w:rPr>
            </w:pPr>
            <w:r>
              <w:rPr>
                <w:rFonts w:ascii="Arial" w:cs="Arial" w:eastAsia="Arial" w:hAnsi="Arial"/>
                <w:sz w:val="18"/>
                <w:szCs w:val="18"/>
                <w:color w:val="auto"/>
                <w:w w:val="98"/>
              </w:rPr>
              <w:t>Net income per share attributable to the Company</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00" w:type="dxa"/>
            <w:vAlign w:val="bottom"/>
            <w:gridSpan w:val="4"/>
          </w:tcPr>
          <w:p>
            <w:pPr>
              <w:ind w:left="5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210"/>
        </w:trPr>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$ 10,228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$ 26,067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$ 12,207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$ 26,692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investment items:</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Net unrealized (loss) gain on available-for-sale investments</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unrealized gain (loss) on restricted 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Reclassification of net realized (gain) loss included in earnings</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Reclassification into retained earnings </w:t>
            </w:r>
            <w:r>
              <w:rPr>
                <w:rFonts w:ascii="Arial" w:cs="Arial" w:eastAsia="Arial" w:hAnsi="Arial"/>
                <w:sz w:val="8"/>
                <w:szCs w:val="8"/>
                <w:color w:val="auto"/>
              </w:rPr>
              <w:t>(1)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40" w:type="dxa"/>
            <w:vAlign w:val="bottom"/>
            <w:shd w:val="clear" w:color="auto" w:fill="CCEEFF"/>
          </w:tcPr>
          <w:p>
            <w:pPr>
              <w:spacing w:after="0"/>
              <w:rPr>
                <w:sz w:val="18"/>
                <w:szCs w:val="18"/>
                <w:color w:val="auto"/>
              </w:rPr>
            </w:pPr>
          </w:p>
        </w:tc>
      </w:tr>
      <w:tr>
        <w:trPr>
          <w:trHeight w:val="202"/>
        </w:trPr>
        <w:tc>
          <w:tcPr>
            <w:tcW w:w="548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Reclassification of other-than-temporary impairment loss included in</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0"/>
                <w:szCs w:val="20"/>
                <w:color w:val="auto"/>
              </w:rPr>
            </w:pPr>
          </w:p>
        </w:tc>
      </w:tr>
      <w:tr>
        <w:trPr>
          <w:trHeight w:val="210"/>
        </w:trPr>
        <w:tc>
          <w:tcPr>
            <w:tcW w:w="54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before income taxes</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8"/>
                <w:szCs w:val="8"/>
                <w:color w:val="auto"/>
              </w:rPr>
              <w:t>(2)</w:t>
            </w: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(206)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r>
      <w:tr>
        <w:trPr>
          <w:trHeight w:val="210"/>
        </w:trPr>
        <w:tc>
          <w:tcPr>
            <w:tcW w:w="54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other comprehensive (loss) income, net of tax</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8"/>
                <w:szCs w:val="18"/>
                <w:color w:val="auto"/>
              </w:rPr>
              <w:t>Total comprehensive income, net of tax</w:t>
            </w:r>
          </w:p>
        </w:tc>
        <w:tc>
          <w:tcPr>
            <w:tcW w:w="2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$ 10,226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$ 26,286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$ 12,811</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$ 27,540</w:t>
            </w: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8" w:lineRule="exact"/>
        <w:rPr>
          <w:sz w:val="20"/>
          <w:szCs w:val="20"/>
          <w:color w:val="auto"/>
        </w:rPr>
      </w:pPr>
    </w:p>
    <w:p>
      <w:pPr>
        <w:ind w:left="320" w:right="20" w:hanging="317"/>
        <w:spacing w:after="0" w:line="204" w:lineRule="exact"/>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reclassification into retained earnings for the six months ended June 30, 2018 relates to the adoption of Accounting Standards Update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01 </w:t>
      </w:r>
      <w:r>
        <w:rPr>
          <w:rFonts w:ascii="Arial" w:cs="Arial" w:eastAsia="Arial" w:hAnsi="Arial"/>
          <w:sz w:val="16"/>
          <w:szCs w:val="16"/>
          <w:i w:val="1"/>
          <w:iCs w:val="1"/>
          <w:color w:val="auto"/>
        </w:rPr>
        <w:t>Financial Instruments - Overall</w:t>
      </w:r>
      <w:r>
        <w:rPr>
          <w:rFonts w:ascii="Arial" w:cs="Arial" w:eastAsia="Arial" w:hAnsi="Arial"/>
          <w:sz w:val="16"/>
          <w:szCs w:val="16"/>
          <w:color w:val="auto"/>
        </w:rPr>
        <w:t>, as amended (“ASU 2016</w:t>
      </w:r>
      <w:r>
        <w:rPr>
          <w:rFonts w:ascii="MS PGothic" w:cs="MS PGothic" w:eastAsia="MS PGothic" w:hAnsi="MS PGothic"/>
          <w:sz w:val="16"/>
          <w:szCs w:val="16"/>
          <w:color w:val="auto"/>
        </w:rPr>
        <w:t>‑</w:t>
      </w:r>
      <w:r>
        <w:rPr>
          <w:rFonts w:ascii="Arial" w:cs="Arial" w:eastAsia="Arial" w:hAnsi="Arial"/>
          <w:sz w:val="16"/>
          <w:szCs w:val="16"/>
          <w:color w:val="auto"/>
        </w:rPr>
        <w:t>01”). The new guidance was effective January 1, 2018, and required equity investments to be measured at fair value with changes in fair value recognized in results of operations rather than the condensed consolidated statements of comprehensive income.</w:t>
      </w:r>
    </w:p>
    <w:p>
      <w:pPr>
        <w:spacing w:after="0" w:line="1" w:lineRule="exact"/>
        <w:rPr>
          <w:rFonts w:ascii="Arial" w:cs="Arial" w:eastAsia="Arial" w:hAnsi="Arial"/>
          <w:sz w:val="16"/>
          <w:szCs w:val="16"/>
          <w:color w:val="auto"/>
        </w:rPr>
      </w:pPr>
    </w:p>
    <w:p>
      <w:pPr>
        <w:ind w:left="320" w:right="60" w:hanging="317"/>
        <w:spacing w:after="0" w:line="203" w:lineRule="exact"/>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Income tax expense for the six months ended June 30, 2018 includes $0.3 million of income tax expense related to the adoption of ASU 2018</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(“ASU 2018</w:t>
      </w:r>
      <w:r>
        <w:rPr>
          <w:rFonts w:ascii="MS PGothic" w:cs="MS PGothic" w:eastAsia="MS PGothic" w:hAnsi="MS PGothic"/>
          <w:sz w:val="16"/>
          <w:szCs w:val="16"/>
          <w:color w:val="auto"/>
        </w:rPr>
        <w:t>‑</w:t>
      </w:r>
      <w:r>
        <w:rPr>
          <w:rFonts w:ascii="Arial" w:cs="Arial" w:eastAsia="Arial" w:hAnsi="Arial"/>
          <w:sz w:val="16"/>
          <w:szCs w:val="16"/>
          <w:color w:val="auto"/>
        </w:rPr>
        <w:t>02”). The new guidance was effective January 1, 2018, and allowed a reclassification from accumulated other comprehensive loss to retained earnings for stranded tax effects resulting from the Tax Cuts and Jobs Act (the “Tax Act”).</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60,200,534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$ 331,408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189,447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16,606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$ 530,320</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Allocation of ownership interest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in Watercrest JV</w:t>
            </w:r>
          </w:p>
        </w:tc>
        <w:tc>
          <w:tcPr>
            <w:tcW w:w="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Capital contribution from non-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controlling interest</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Capital distribution to non-</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controlling interest</w:t>
            </w:r>
          </w:p>
        </w:tc>
        <w:tc>
          <w:tcPr>
            <w:tcW w:w="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w w:val="94"/>
              </w:rPr>
              <w:t>Other comprehensive loss, net of</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tax</w:t>
            </w:r>
          </w:p>
        </w:tc>
        <w:tc>
          <w:tcPr>
            <w:tcW w:w="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60,200,534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$ 330,209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199,820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19,254</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$ 542,140</w:t>
            </w:r>
          </w:p>
        </w:tc>
        <w:tc>
          <w:tcPr>
            <w:tcW w:w="0" w:type="dxa"/>
            <w:vAlign w:val="bottom"/>
          </w:tcPr>
          <w:p>
            <w:pPr>
              <w:spacing w:after="0"/>
              <w:rPr>
                <w:sz w:val="1"/>
                <w:szCs w:val="1"/>
                <w:color w:val="auto"/>
              </w:rPr>
            </w:pPr>
          </w:p>
        </w:tc>
      </w:tr>
      <w:tr>
        <w:trPr>
          <w:trHeight w:val="585"/>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(Loss)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65,142,997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$ 425,223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155,838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(13,695)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14,662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$ 581,196</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Allocation of ownership interest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in Pier Park Crossings JV</w:t>
            </w:r>
          </w:p>
        </w:tc>
        <w:tc>
          <w:tcPr>
            <w:tcW w:w="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Capital contribution from non-</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controlling interest</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Issuance of common stock for</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officer compensation, net of tax</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withholding</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w w:val="99"/>
              </w:rPr>
              <w:t>Repurchase of common shares</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(3,300,335)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(58,768)</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(58,768)</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0" w:type="dxa"/>
            <w:vAlign w:val="bottom"/>
          </w:tcPr>
          <w:p>
            <w:pPr>
              <w:jc w:val="right"/>
              <w:spacing w:after="0"/>
              <w:rPr>
                <w:sz w:val="20"/>
                <w:szCs w:val="20"/>
                <w:color w:val="auto"/>
              </w:rPr>
            </w:pPr>
            <w:r>
              <w:rPr>
                <w:rFonts w:ascii="Arial" w:cs="Arial" w:eastAsia="Arial" w:hAnsi="Arial"/>
                <w:sz w:val="18"/>
                <w:szCs w:val="18"/>
                <w:color w:val="auto"/>
              </w:rPr>
              <w:t>26,067</w:t>
            </w:r>
          </w:p>
        </w:tc>
        <w:tc>
          <w:tcPr>
            <w:tcW w:w="0" w:type="dxa"/>
            <w:vAlign w:val="bottom"/>
          </w:tcPr>
          <w:p>
            <w:pPr>
              <w:spacing w:after="0"/>
              <w:rPr>
                <w:sz w:val="1"/>
                <w:szCs w:val="1"/>
                <w:color w:val="auto"/>
              </w:rPr>
            </w:pPr>
          </w:p>
        </w:tc>
      </w:tr>
      <w:tr>
        <w:trPr>
          <w:trHeight w:val="217"/>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61,842,662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$ 424,736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182,033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(72,463)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$ 549,540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(Loss) Income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at December 31, 2018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60,672,034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$ 331,395</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187,450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533,111</w:t>
            </w:r>
          </w:p>
        </w:tc>
        <w:tc>
          <w:tcPr>
            <w:tcW w:w="0" w:type="dxa"/>
            <w:vAlign w:val="bottom"/>
          </w:tcPr>
          <w:p>
            <w:pPr>
              <w:spacing w:after="0"/>
              <w:rPr>
                <w:sz w:val="1"/>
                <w:szCs w:val="1"/>
                <w:color w:val="auto"/>
              </w:rPr>
            </w:pPr>
          </w:p>
        </w:tc>
      </w:tr>
      <w:tr>
        <w:trPr>
          <w:trHeight w:val="202"/>
        </w:trPr>
        <w:tc>
          <w:tcPr>
            <w:tcW w:w="2540" w:type="dxa"/>
            <w:vAlign w:val="bottom"/>
          </w:tcPr>
          <w:p>
            <w:pPr>
              <w:ind w:left="100"/>
              <w:spacing w:after="0" w:line="201" w:lineRule="exact"/>
              <w:rPr>
                <w:sz w:val="20"/>
                <w:szCs w:val="20"/>
                <w:color w:val="auto"/>
              </w:rPr>
            </w:pPr>
            <w:r>
              <w:rPr>
                <w:rFonts w:ascii="Arial" w:cs="Arial" w:eastAsia="Arial" w:hAnsi="Arial"/>
                <w:sz w:val="18"/>
                <w:szCs w:val="18"/>
                <w:color w:val="auto"/>
                <w:w w:val="97"/>
              </w:rPr>
              <w:t>Allocation of ownership interest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00"/>
              <w:spacing w:after="0"/>
              <w:rPr>
                <w:sz w:val="20"/>
                <w:szCs w:val="20"/>
                <w:color w:val="auto"/>
              </w:rPr>
            </w:pPr>
            <w:r>
              <w:rPr>
                <w:rFonts w:ascii="Arial" w:cs="Arial" w:eastAsia="Arial" w:hAnsi="Arial"/>
                <w:sz w:val="18"/>
                <w:szCs w:val="18"/>
                <w:color w:val="auto"/>
              </w:rPr>
              <w:t>in Watercrest JV</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Capital contribution from non-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controlling interest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02"/>
        </w:trPr>
        <w:tc>
          <w:tcPr>
            <w:tcW w:w="2540" w:type="dxa"/>
            <w:vAlign w:val="bottom"/>
          </w:tcPr>
          <w:p>
            <w:pPr>
              <w:ind w:left="100"/>
              <w:spacing w:after="0" w:line="201" w:lineRule="exact"/>
              <w:rPr>
                <w:sz w:val="20"/>
                <w:szCs w:val="20"/>
                <w:color w:val="auto"/>
              </w:rPr>
            </w:pPr>
            <w:r>
              <w:rPr>
                <w:rFonts w:ascii="Arial" w:cs="Arial" w:eastAsia="Arial" w:hAnsi="Arial"/>
                <w:sz w:val="18"/>
                <w:szCs w:val="18"/>
                <w:color w:val="auto"/>
              </w:rPr>
              <w:t>Capital distribution to non-</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00"/>
              <w:spacing w:after="0"/>
              <w:rPr>
                <w:sz w:val="20"/>
                <w:szCs w:val="20"/>
                <w:color w:val="auto"/>
              </w:rPr>
            </w:pPr>
            <w:r>
              <w:rPr>
                <w:rFonts w:ascii="Arial" w:cs="Arial" w:eastAsia="Arial" w:hAnsi="Arial"/>
                <w:sz w:val="18"/>
                <w:szCs w:val="18"/>
                <w:color w:val="auto"/>
              </w:rPr>
              <w:t>controlling interest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540" w:type="dxa"/>
            <w:vAlign w:val="bottom"/>
          </w:tcPr>
          <w:p>
            <w:pPr>
              <w:ind w:left="100"/>
              <w:spacing w:after="0"/>
              <w:rPr>
                <w:sz w:val="20"/>
                <w:szCs w:val="20"/>
                <w:color w:val="auto"/>
              </w:rPr>
            </w:pPr>
            <w:r>
              <w:rPr>
                <w:rFonts w:ascii="Arial" w:cs="Arial" w:eastAsia="Arial" w:hAnsi="Arial"/>
                <w:sz w:val="18"/>
                <w:szCs w:val="18"/>
                <w:color w:val="auto"/>
                <w:w w:val="96"/>
              </w:rPr>
              <w:t>Repurchase of common shares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(471,500)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60,200,534</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$ 330,209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199,820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542,140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5" w:right="11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9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00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Outstanding</w:t>
            </w:r>
          </w:p>
        </w:tc>
        <w:tc>
          <w:tcPr>
            <w:tcW w:w="8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9"/>
                <w:szCs w:val="9"/>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65,897,866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$ 424,694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154,324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$ 592,584</w:t>
            </w:r>
          </w:p>
        </w:tc>
        <w:tc>
          <w:tcPr>
            <w:tcW w:w="0" w:type="dxa"/>
            <w:vAlign w:val="bottom"/>
          </w:tcPr>
          <w:p>
            <w:pPr>
              <w:spacing w:after="0"/>
              <w:rPr>
                <w:sz w:val="1"/>
                <w:szCs w:val="1"/>
                <w:color w:val="auto"/>
              </w:rPr>
            </w:pPr>
          </w:p>
        </w:tc>
      </w:tr>
      <w:tr>
        <w:trPr>
          <w:trHeight w:val="175"/>
        </w:trPr>
        <w:tc>
          <w:tcPr>
            <w:tcW w:w="2620" w:type="dxa"/>
            <w:vAlign w:val="bottom"/>
          </w:tcPr>
          <w:p>
            <w:pPr>
              <w:ind w:left="100"/>
              <w:spacing w:after="0" w:line="176" w:lineRule="exact"/>
              <w:rPr>
                <w:sz w:val="20"/>
                <w:szCs w:val="20"/>
                <w:color w:val="auto"/>
              </w:rPr>
            </w:pPr>
            <w:r>
              <w:rPr>
                <w:rFonts w:ascii="Arial" w:cs="Arial" w:eastAsia="Arial" w:hAnsi="Arial"/>
                <w:sz w:val="18"/>
                <w:szCs w:val="18"/>
                <w:color w:val="auto"/>
              </w:rPr>
              <w:t>Allocation of ownership interest</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in Pier Park Crossings JV</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Additional ownership interest</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in Artisan Park, LLC</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Capital contribution from non-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controlling interest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Stock based compensation</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Issuance of common stock for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w w:val="99"/>
              </w:rPr>
              <w:t>officer compensation, net of tax</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withholding</w:t>
            </w:r>
          </w:p>
        </w:tc>
        <w:tc>
          <w:tcPr>
            <w:tcW w:w="860" w:type="dxa"/>
            <w:vAlign w:val="bottom"/>
          </w:tcPr>
          <w:p>
            <w:pPr>
              <w:jc w:val="right"/>
              <w:spacing w:after="0"/>
              <w:rPr>
                <w:sz w:val="20"/>
                <w:szCs w:val="20"/>
                <w:color w:val="auto"/>
              </w:rPr>
            </w:pPr>
            <w:r>
              <w:rPr>
                <w:rFonts w:ascii="Arial" w:cs="Arial" w:eastAsia="Arial" w:hAnsi="Arial"/>
                <w:sz w:val="18"/>
                <w:szCs w:val="18"/>
                <w:color w:val="auto"/>
              </w:rPr>
              <w:t>9,956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Repurchase of common shares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(4,065,160)</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(72,463)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(72,463)</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Adoption of ASU 2014-09</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i w:val="1"/>
                <w:iCs w:val="1"/>
                <w:color w:val="auto"/>
              </w:rPr>
              <w:t>Revenue From Contracts with</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i w:val="1"/>
                <w:iCs w:val="1"/>
                <w:color w:val="auto"/>
                <w:w w:val="99"/>
              </w:rPr>
              <w:t>Customers</w:t>
            </w:r>
            <w:r>
              <w:rPr>
                <w:rFonts w:ascii="Arial" w:cs="Arial" w:eastAsia="Arial" w:hAnsi="Arial"/>
                <w:sz w:val="18"/>
                <w:szCs w:val="18"/>
                <w:color w:val="auto"/>
                <w:w w:val="99"/>
              </w:rPr>
              <w:t>, as amended,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color w:val="auto"/>
              </w:rPr>
              <w:t>tax</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Adoption of ASU 2016-01</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 amended,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tcPr>
          <w:p>
            <w:pPr>
              <w:ind w:left="100"/>
              <w:spacing w:after="0" w:line="201" w:lineRule="exact"/>
              <w:rPr>
                <w:sz w:val="20"/>
                <w:szCs w:val="20"/>
                <w:color w:val="auto"/>
              </w:rPr>
            </w:pPr>
            <w:r>
              <w:rPr>
                <w:rFonts w:ascii="Arial" w:cs="Arial" w:eastAsia="Arial" w:hAnsi="Arial"/>
                <w:sz w:val="18"/>
                <w:szCs w:val="18"/>
                <w:color w:val="auto"/>
              </w:rPr>
              <w:t>Adoption of ASU 2018-02</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i w:val="1"/>
                <w:iCs w:val="1"/>
                <w:color w:val="auto"/>
              </w:rPr>
              <w:t>Income Statement - Reporting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00"/>
              <w:spacing w:after="0"/>
              <w:rPr>
                <w:sz w:val="20"/>
                <w:szCs w:val="20"/>
                <w:color w:val="auto"/>
              </w:rPr>
            </w:pPr>
            <w:r>
              <w:rPr>
                <w:rFonts w:ascii="Arial" w:cs="Arial" w:eastAsia="Arial" w:hAnsi="Arial"/>
                <w:sz w:val="18"/>
                <w:szCs w:val="18"/>
                <w:i w:val="1"/>
                <w:iCs w:val="1"/>
                <w:color w:val="auto"/>
              </w:rPr>
              <w:t>Comprehensive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Other comprehensive income,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800" w:type="dxa"/>
            <w:vAlign w:val="bottom"/>
          </w:tcPr>
          <w:p>
            <w:pPr>
              <w:jc w:val="right"/>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17"/>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61,842,662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$ 424,736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182,033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(72,463)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$ 549,540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right"/>
              <w:ind w:right="38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r>
      <w:tr>
        <w:trPr>
          <w:trHeight w:val="183"/>
        </w:trPr>
        <w:tc>
          <w:tcPr>
            <w:tcW w:w="70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2018</w:t>
            </w:r>
          </w:p>
        </w:tc>
      </w:tr>
      <w:tr>
        <w:trPr>
          <w:trHeight w:val="156"/>
        </w:trPr>
        <w:tc>
          <w:tcPr>
            <w:tcW w:w="70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2"/>
        </w:trPr>
        <w:tc>
          <w:tcPr>
            <w:tcW w:w="70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12,207</w:t>
            </w:r>
          </w:p>
        </w:tc>
        <w:tc>
          <w:tcPr>
            <w:tcW w:w="100" w:type="dxa"/>
            <w:vAlign w:val="bottom"/>
          </w:tcPr>
          <w:p>
            <w:pPr>
              <w:spacing w:after="0"/>
              <w:rPr>
                <w:sz w:val="14"/>
                <w:szCs w:val="14"/>
                <w:color w:val="auto"/>
              </w:rPr>
            </w:pPr>
          </w:p>
        </w:tc>
        <w:tc>
          <w:tcPr>
            <w:tcW w:w="340" w:type="dxa"/>
            <w:vAlign w:val="bottom"/>
            <w:gridSpan w:val="2"/>
          </w:tcPr>
          <w:p>
            <w:pPr>
              <w:jc w:val="right"/>
              <w:ind w:right="83"/>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26,692</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Depreciation, depletion and amortization</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4,527</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Stock based compensation</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235</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Loss on sale of investments</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1,086</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Unrealized gain on investments, net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(729)</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Other-than-temporary impairment loss</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63</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Deferred income tax expense (benefit)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Impairment loss on investment in real estate</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99</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Cost of real estate sold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8,167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6,545</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Expenditures for and acquisition of real estate to be sold</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(14,602)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(8,288)</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Accretion income and other</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(1,038)</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Gain on land contribution to equity method investment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tcPr>
          <w:p>
            <w:pPr>
              <w:ind w:left="320"/>
              <w:spacing w:after="0" w:line="162" w:lineRule="exact"/>
              <w:rPr>
                <w:sz w:val="20"/>
                <w:szCs w:val="20"/>
                <w:color w:val="auto"/>
              </w:rPr>
            </w:pPr>
            <w:r>
              <w:rPr>
                <w:rFonts w:ascii="Arial" w:cs="Arial" w:eastAsia="Arial" w:hAnsi="Arial"/>
                <w:sz w:val="15"/>
                <w:szCs w:val="15"/>
                <w:color w:val="auto"/>
              </w:rPr>
              <w:t>Gain on insurance proceeds for damage to property and equipment</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(4,071)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7000" w:type="dxa"/>
            <w:vAlign w:val="bottom"/>
          </w:tcPr>
          <w:p>
            <w:pPr>
              <w:ind w:left="440"/>
              <w:spacing w:after="0" w:line="162" w:lineRule="exact"/>
              <w:rPr>
                <w:sz w:val="20"/>
                <w:szCs w:val="20"/>
                <w:color w:val="auto"/>
              </w:rPr>
            </w:pPr>
            <w:r>
              <w:rPr>
                <w:rFonts w:ascii="Arial" w:cs="Arial" w:eastAsia="Arial" w:hAnsi="Arial"/>
                <w:sz w:val="15"/>
                <w:szCs w:val="15"/>
                <w:color w:val="auto"/>
              </w:rPr>
              <w:t>Other assets</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(1,816)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(331)</w:t>
            </w:r>
          </w:p>
        </w:tc>
      </w:tr>
      <w:tr>
        <w:trPr>
          <w:trHeight w:val="162"/>
        </w:trPr>
        <w:tc>
          <w:tcPr>
            <w:tcW w:w="700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Other liabilities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2,184</w:t>
            </w:r>
          </w:p>
        </w:tc>
      </w:tr>
      <w:tr>
        <w:trPr>
          <w:trHeight w:val="162"/>
        </w:trPr>
        <w:tc>
          <w:tcPr>
            <w:tcW w:w="7000" w:type="dxa"/>
            <w:vAlign w:val="bottom"/>
            <w:tcBorders>
              <w:bottom w:val="single" w:sz="8" w:color="CCEEFF"/>
            </w:tcBorders>
          </w:tcPr>
          <w:p>
            <w:pPr>
              <w:ind w:left="440"/>
              <w:spacing w:after="0" w:line="162" w:lineRule="exact"/>
              <w:rPr>
                <w:sz w:val="20"/>
                <w:szCs w:val="20"/>
                <w:color w:val="auto"/>
              </w:rPr>
            </w:pPr>
            <w:r>
              <w:rPr>
                <w:rFonts w:ascii="Arial" w:cs="Arial" w:eastAsia="Arial" w:hAnsi="Arial"/>
                <w:sz w:val="15"/>
                <w:szCs w:val="15"/>
                <w:color w:val="auto"/>
              </w:rPr>
              <w:t>Income taxes receivable</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410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6,720</w:t>
            </w:r>
          </w:p>
        </w:tc>
      </w:tr>
      <w:tr>
        <w:trPr>
          <w:trHeight w:val="156"/>
        </w:trPr>
        <w:tc>
          <w:tcPr>
            <w:tcW w:w="700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Net cash provided by operating activities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12,297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37,719</w:t>
            </w:r>
          </w:p>
        </w:tc>
      </w:tr>
      <w:tr>
        <w:trPr>
          <w:trHeight w:val="162"/>
        </w:trPr>
        <w:tc>
          <w:tcPr>
            <w:tcW w:w="7000" w:type="dxa"/>
            <w:vAlign w:val="bottom"/>
          </w:tcPr>
          <w:p>
            <w:pPr>
              <w:spacing w:after="0" w:line="162" w:lineRule="exact"/>
              <w:rPr>
                <w:sz w:val="20"/>
                <w:szCs w:val="20"/>
                <w:color w:val="auto"/>
              </w:rPr>
            </w:pPr>
            <w:r>
              <w:rPr>
                <w:rFonts w:ascii="Arial" w:cs="Arial" w:eastAsia="Arial" w:hAnsi="Arial"/>
                <w:sz w:val="15"/>
                <w:szCs w:val="15"/>
                <w:b w:val="1"/>
                <w:bCs w:val="1"/>
                <w:color w:val="auto"/>
              </w:rPr>
              <w:t>Cash flows from investing activities: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Expenditures for operating property</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(26,599)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(9,659)</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Expenditures for property and equipment</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(7,409)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(1,252)</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Proceeds from the disposition of assets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Proceeds from insurance claims</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10,796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Purchases of investments - equity securities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(10,442)</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Purchases of restricted investments</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Maturities of investments - debt securities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Sales of investments - debt securities</w:t>
            </w:r>
          </w:p>
        </w:tc>
        <w:tc>
          <w:tcPr>
            <w:tcW w:w="200" w:type="dxa"/>
            <w:vAlign w:val="bottom"/>
          </w:tcPr>
          <w:p>
            <w:pPr>
              <w:spacing w:after="0"/>
              <w:rPr>
                <w:sz w:val="14"/>
                <w:szCs w:val="14"/>
                <w:color w:val="auto"/>
              </w:rPr>
            </w:pPr>
          </w:p>
        </w:tc>
        <w:tc>
          <w:tcPr>
            <w:tcW w:w="8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63,548</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Sales of investments - equity securities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7,328</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Sales of restricted investments</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1,155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1,082</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Maturities of assets held by special purpose entities</w:t>
            </w: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414</w:t>
            </w:r>
          </w:p>
        </w:tc>
      </w:tr>
      <w:tr>
        <w:trPr>
          <w:trHeight w:val="156"/>
        </w:trPr>
        <w:tc>
          <w:tcPr>
            <w:tcW w:w="7000" w:type="dxa"/>
            <w:vAlign w:val="bottom"/>
          </w:tcPr>
          <w:p>
            <w:pPr>
              <w:spacing w:after="0" w:line="156" w:lineRule="exact"/>
              <w:rPr>
                <w:sz w:val="20"/>
                <w:szCs w:val="20"/>
                <w:color w:val="auto"/>
              </w:rPr>
            </w:pPr>
            <w:r>
              <w:rPr>
                <w:rFonts w:ascii="Arial" w:cs="Arial" w:eastAsia="Arial" w:hAnsi="Arial"/>
                <w:sz w:val="15"/>
                <w:szCs w:val="15"/>
                <w:b w:val="1"/>
                <w:bCs w:val="1"/>
                <w:color w:val="auto"/>
              </w:rPr>
              <w:t>Net cash (used in) provided by investing activities</w:t>
            </w:r>
          </w:p>
        </w:tc>
        <w:tc>
          <w:tcPr>
            <w:tcW w:w="20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(14,688)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55,981</w:t>
            </w:r>
          </w:p>
        </w:tc>
      </w:tr>
      <w:tr>
        <w:trPr>
          <w:trHeight w:val="162"/>
        </w:trPr>
        <w:tc>
          <w:tcPr>
            <w:tcW w:w="70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flows from financing activities: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Capital contribution from non-controlling interest</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1,784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887</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Capital distribution to non-controlling interest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Capital contribution to unconsolidated affiliate</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Repurchase of common shares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(72,463)</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Borrowings on debt</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5,737</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Principal payments for debt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(871)</w:t>
            </w:r>
          </w:p>
        </w:tc>
      </w:tr>
      <w:tr>
        <w:trPr>
          <w:trHeight w:val="162"/>
        </w:trPr>
        <w:tc>
          <w:tcPr>
            <w:tcW w:w="7000" w:type="dxa"/>
            <w:vAlign w:val="bottom"/>
          </w:tcPr>
          <w:p>
            <w:pPr>
              <w:ind w:left="220"/>
              <w:spacing w:after="0" w:line="162" w:lineRule="exact"/>
              <w:rPr>
                <w:sz w:val="20"/>
                <w:szCs w:val="20"/>
                <w:color w:val="auto"/>
              </w:rPr>
            </w:pPr>
            <w:r>
              <w:rPr>
                <w:rFonts w:ascii="Arial" w:cs="Arial" w:eastAsia="Arial" w:hAnsi="Arial"/>
                <w:sz w:val="15"/>
                <w:szCs w:val="15"/>
                <w:color w:val="auto"/>
              </w:rPr>
              <w:t>Principal payments under finance lease obligation</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700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Debt issuance costs</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(813)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(1,158)</w:t>
            </w:r>
          </w:p>
        </w:tc>
      </w:tr>
      <w:tr>
        <w:trPr>
          <w:trHeight w:val="156"/>
        </w:trPr>
        <w:tc>
          <w:tcPr>
            <w:tcW w:w="7000" w:type="dxa"/>
            <w:vAlign w:val="bottom"/>
          </w:tcPr>
          <w:p>
            <w:pPr>
              <w:spacing w:after="0" w:line="156" w:lineRule="exact"/>
              <w:rPr>
                <w:sz w:val="20"/>
                <w:szCs w:val="20"/>
                <w:color w:val="auto"/>
              </w:rPr>
            </w:pPr>
            <w:r>
              <w:rPr>
                <w:rFonts w:ascii="Arial" w:cs="Arial" w:eastAsia="Arial" w:hAnsi="Arial"/>
                <w:sz w:val="15"/>
                <w:szCs w:val="15"/>
                <w:b w:val="1"/>
                <w:bCs w:val="1"/>
                <w:color w:val="auto"/>
              </w:rPr>
              <w:t>Net cash provided by (used in) financing activities</w:t>
            </w: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3,043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(67,868)</w:t>
            </w:r>
          </w:p>
        </w:tc>
      </w:tr>
      <w:tr>
        <w:trPr>
          <w:trHeight w:val="162"/>
        </w:trPr>
        <w:tc>
          <w:tcPr>
            <w:tcW w:w="70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increase in cash, cash equivalents and restricted cash</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652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25,832</w:t>
            </w:r>
          </w:p>
        </w:tc>
      </w:tr>
      <w:tr>
        <w:trPr>
          <w:trHeight w:val="162"/>
        </w:trPr>
        <w:tc>
          <w:tcPr>
            <w:tcW w:w="700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b w:val="1"/>
                <w:bCs w:val="1"/>
                <w:color w:val="auto"/>
              </w:rPr>
              <w:t>Cash, cash equivalents and restricted cash at beginning of the period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198,073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b w:val="1"/>
                <w:bCs w:val="1"/>
                <w:color w:val="auto"/>
              </w:rPr>
              <w:t>192,451</w:t>
            </w:r>
          </w:p>
        </w:tc>
      </w:tr>
      <w:tr>
        <w:trPr>
          <w:trHeight w:val="163"/>
        </w:trPr>
        <w:tc>
          <w:tcPr>
            <w:tcW w:w="70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the period</w:t>
            </w:r>
          </w:p>
        </w:tc>
        <w:tc>
          <w:tcPr>
            <w:tcW w:w="20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198,725</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3"/>
              <w:spacing w:after="0" w:line="156"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218,283</w:t>
            </w:r>
          </w:p>
        </w:tc>
      </w:tr>
    </w:tbl>
    <w:p>
      <w:pPr>
        <w:spacing w:after="0" w:line="13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condensed consolidated balance sheets that sum to the total of the same such amounts shown in the statements of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8"/>
              </w:rPr>
              <w:t>195,587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215,095</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included in other assets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3,138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40" w:type="dxa"/>
            <w:vAlign w:val="bottom"/>
            <w:tcBorders>
              <w:bottom w:val="single" w:sz="8" w:color="CCEEFF"/>
            </w:tcBorders>
          </w:tcPr>
          <w:p>
            <w:pPr>
              <w:spacing w:after="0"/>
              <w:rPr>
                <w:sz w:val="18"/>
                <w:szCs w:val="18"/>
                <w:color w:val="auto"/>
              </w:rPr>
            </w:pPr>
          </w:p>
        </w:tc>
      </w:tr>
      <w:tr>
        <w:trPr>
          <w:trHeight w:val="21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8"/>
              </w:rPr>
              <w:t>198,725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218,283</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cash includes amounts set aside as a requirement of financing for certain of the Company’s developments.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r>
      <w:tr>
        <w:trPr>
          <w:trHeight w:val="237"/>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 for:</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5,822</w:t>
            </w:r>
          </w:p>
        </w:tc>
        <w:tc>
          <w:tcPr>
            <w:tcW w:w="1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w:t>
            </w:r>
          </w:p>
        </w:tc>
        <w:tc>
          <w:tcPr>
            <w:tcW w:w="18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and investment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Non-cash allocation of ownership interest in JV</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contribution to equity method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120"/>
              <w:spacing w:after="0"/>
              <w:rPr>
                <w:sz w:val="20"/>
                <w:szCs w:val="20"/>
                <w:color w:val="auto"/>
              </w:rPr>
            </w:pPr>
            <w:r>
              <w:rPr>
                <w:rFonts w:ascii="Arial" w:cs="Arial" w:eastAsia="Arial" w:hAnsi="Arial"/>
                <w:sz w:val="18"/>
                <w:szCs w:val="18"/>
                <w:color w:val="auto"/>
              </w:rPr>
              <w:t>Increase in capital contribution from non-controlling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 Community Development District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r>
      <w:tr>
        <w:trPr>
          <w:trHeight w:val="202"/>
        </w:trPr>
        <w:tc>
          <w:tcPr>
            <w:tcW w:w="7340" w:type="dxa"/>
            <w:vAlign w:val="bottom"/>
          </w:tcPr>
          <w:p>
            <w:pPr>
              <w:ind w:left="120"/>
              <w:spacing w:after="0" w:line="201" w:lineRule="exact"/>
              <w:rPr>
                <w:sz w:val="20"/>
                <w:szCs w:val="20"/>
                <w:color w:val="auto"/>
              </w:rPr>
            </w:pPr>
            <w:r>
              <w:rPr>
                <w:rFonts w:ascii="Arial" w:cs="Arial" w:eastAsia="Arial" w:hAnsi="Arial"/>
                <w:sz w:val="18"/>
                <w:szCs w:val="18"/>
                <w:color w:val="auto"/>
              </w:rPr>
              <w:t>(Decrease) increase in expenditures for operating properties and property and equipment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7340" w:type="dxa"/>
            <w:vAlign w:val="bottom"/>
          </w:tcPr>
          <w:p>
            <w:pPr>
              <w:ind w:left="120"/>
              <w:spacing w:after="0"/>
              <w:rPr>
                <w:sz w:val="20"/>
                <w:szCs w:val="20"/>
                <w:color w:val="auto"/>
              </w:rPr>
            </w:pPr>
            <w:r>
              <w:rPr>
                <w:rFonts w:ascii="Arial" w:cs="Arial" w:eastAsia="Arial" w:hAnsi="Arial"/>
                <w:sz w:val="18"/>
                <w:szCs w:val="18"/>
                <w:color w:val="auto"/>
              </w:rPr>
              <w:t>financed through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(2,814)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See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 JOE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unless otherwise 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St. Joe Company together with its consolidated subsidiaries (“St. Joe” or the “Company”) is a Florida real estate development, asset management and operating company with real estate assets and operations concentrated in Northwest Florida. Approximately 90% of the Company’s real estate land holdings are located within fifteen miles of the Gulf of Mexico.</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conducts primarily all of its business in the following four reportable operating segments: 1) residential real estate, 2) hospitality, 3) commercial leasing and sales and 4) forestry. Commencing in the fourth quarter of 2018, the Company’s previously titled “resorts and leisure” segment was retitled “hospitality,” with no effect on the condensed consolidated balance sheets, statements of income, statements of comprehensive income or statements of cash flows for the periods presented</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The accompanying unaudited interim condensed consolidated financial statements have been prepared pursuant to the rules and regulations of the Securities and Exchange Commission (the “SEC”) for reporting on Form 10</w:t>
      </w:r>
      <w:r>
        <w:rPr>
          <w:rFonts w:ascii="MS PGothic" w:cs="MS PGothic" w:eastAsia="MS PGothic" w:hAnsi="MS PGothic"/>
          <w:sz w:val="16"/>
          <w:szCs w:val="16"/>
          <w:color w:val="auto"/>
        </w:rPr>
        <w:t>‑</w:t>
      </w:r>
      <w:r>
        <w:rPr>
          <w:rFonts w:ascii="Arial" w:cs="Arial" w:eastAsia="Arial" w:hAnsi="Arial"/>
          <w:sz w:val="16"/>
          <w:szCs w:val="16"/>
          <w:color w:val="auto"/>
        </w:rPr>
        <w:t>Q. Accordingly, certain information and footnotes required by United States generally accepted accounting principles (“GAAP”) for complete financial statements are not included herein. The unaudited interim condensed consolidated financial statements include the accounts of the Company and all of its majority-owned and controlled subsidiaries and variable interest entities where the Company deems itself the primary beneficiary. Investments in joint ventures (“JV”) and limited partnerships in which the Company is not the primary beneficiary are accounted for by the equity method. All significant intercompany transactions and balances have been eliminated in consolidation. The December 31, 2018 condensed consolidated balance sheet amounts have been derived from the Company’s December 31, 2018 audited consolidated financial statements. Certain prior period amounts in the accompanying condensed consolidated financial statements have been reclassified to conform to the current year presentation. These reclassifications had no effect on the Company’s previously reported total assets and liabilities, stockholders’ equity or net income. Operating results for the six months ended June 30, 2019 are not necessarily indicative of the results that may be expected for the full year ending December 31, 2019.</w:t>
      </w:r>
    </w:p>
    <w:p>
      <w:pPr>
        <w:spacing w:after="0" w:line="2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 variable interest entity (“VIE”) is an entity in which a controlling financial interest may be achieved through arrangements that do not involve voting interests. A VIE is required to be consolidated by its primary beneficiary, which is the entity that possesses the power to direct the activities of the VIE that most significantly impact the VIE’s economic performance and has the obligation to absorb losses or the right to receive benefits from the VIE that are significant to the entity. The Company consolidates VIEs when it is the primary beneficiary of the VIE, including real estate JVs determined to be VIEs. See Note 9. </w:t>
      </w:r>
      <w:r>
        <w:rPr>
          <w:rFonts w:ascii="Arial" w:cs="Arial" w:eastAsia="Arial" w:hAnsi="Arial"/>
          <w:sz w:val="18"/>
          <w:szCs w:val="18"/>
          <w:i w:val="1"/>
          <w:iCs w:val="1"/>
          <w:color w:val="auto"/>
        </w:rPr>
        <w:t>Real Estate Joint Ventures</w:t>
      </w:r>
      <w:r>
        <w:rPr>
          <w:rFonts w:ascii="Arial" w:cs="Arial" w:eastAsia="Arial" w:hAnsi="Arial"/>
          <w:sz w:val="18"/>
          <w:szCs w:val="18"/>
          <w:color w:val="auto"/>
        </w:rPr>
        <w:t>.</w:t>
      </w:r>
    </w:p>
    <w:p>
      <w:pPr>
        <w:spacing w:after="0" w:line="193" w:lineRule="exact"/>
        <w:rPr>
          <w:sz w:val="20"/>
          <w:szCs w:val="20"/>
          <w:color w:val="auto"/>
        </w:rPr>
      </w:pPr>
    </w:p>
    <w:p>
      <w:pPr>
        <w:ind w:right="120" w:firstLine="324"/>
        <w:spacing w:after="0" w:line="218" w:lineRule="exact"/>
        <w:rPr>
          <w:sz w:val="20"/>
          <w:szCs w:val="20"/>
          <w:color w:val="auto"/>
        </w:rPr>
      </w:pPr>
      <w:r>
        <w:rPr>
          <w:rFonts w:ascii="Arial" w:cs="Arial" w:eastAsia="Arial" w:hAnsi="Arial"/>
          <w:sz w:val="16"/>
          <w:szCs w:val="16"/>
          <w:color w:val="auto"/>
        </w:rPr>
        <w:t>The interim condensed consolidated financial statements reflect all normal recurring adjustments that, in the opinion of management, are necessary for fair presentation of the information contained herein. The interim condensed consolidated financial statements should be read in conjunction with the consolidated financial statements and notes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The Company adheres to the same accounting policies in preparation of its unaudited interim condensed consolidated financial statements as the Company’s December 31, 2018 annual financial statements, except for recently adopted accounting pronouncements detailed below. As required under GAAP, interim accounting for certain expenses, including income taxes, are based on full year assumptions. For interim financial reporting purposes, income taxes are recorded based upon estimated annual income tax rates.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 and Uncertainties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Company’s real estate investments are concentrated in Northwest Florida in a number of specific development projects. Uncertain economic conditions could have an adverse impact on the Company’s real estate values and could cause the Company to sell assets at depressed values in order to pay ongoing obligations.</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investments, other receivables, investments held by special purpose entity or entities (“SPE”), and investments in retained interests. The Company deposits and invests cash with local and regional financial institutions, and as of</w:t>
      </w:r>
    </w:p>
    <w:p>
      <w:pPr>
        <w:spacing w:after="0" w:line="253" w:lineRule="auto"/>
        <w:rPr>
          <w:sz w:val="20"/>
          <w:szCs w:val="20"/>
          <w:color w:val="auto"/>
        </w:rPr>
      </w:pPr>
      <w:r>
        <w:rPr>
          <w:rFonts w:ascii="Arial" w:cs="Arial" w:eastAsia="Arial" w:hAnsi="Arial"/>
          <w:sz w:val="18"/>
          <w:szCs w:val="18"/>
          <w:color w:val="auto"/>
        </w:rPr>
        <w:t>June 30, 2019, these balances exceeded the amount of F.D.I.C. insurance provided on such deposits. In addition, as of June 30, 2019 the company had $2.8 million invested in two issuers of corporate debt securities that are non-investment grade, $36.3 million invested in five issuers of preferred stock that are non-investment grade and one issuer of preferred stock that is investment grade, as well as investments of $154.2 million in short term commercial paper from twenty-two issuers and short term U.S. Treasury securities of $7.0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Basic and diluted earnings per share are calculated by dividing net income attributable to the Company by the average number of common shares outstanding for the period. For the three and six months ended June 30, 2019 and 2018, basic and diluted average shares outstanding were the same. There were no outstanding common stock equivalents as of June 30, 2019 or June 30, 2018. Non-vested restricted stock is included in outstanding shares at the time of grant.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324"/>
        <w:spacing w:after="0" w:line="217"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that amended the existing accounting standards for lease accounting, including requiring lessees to recognize both finance and operating leases with terms of more than 12 months on the balance sheet. The accounting applied by a lessor is largely unchanged by this amendment. This amendment also required certain quantitative and qualitative disclosures about leasing arrangements. In January 2018, the FASB issued ASU 2018</w:t>
      </w:r>
      <w:r>
        <w:rPr>
          <w:rFonts w:ascii="MS PGothic" w:cs="MS PGothic" w:eastAsia="MS PGothic" w:hAnsi="MS PGothic"/>
          <w:sz w:val="16"/>
          <w:szCs w:val="16"/>
          <w:color w:val="auto"/>
        </w:rPr>
        <w:t>‑</w:t>
      </w:r>
      <w:r>
        <w:rPr>
          <w:rFonts w:ascii="Arial" w:cs="Arial" w:eastAsia="Arial" w:hAnsi="Arial"/>
          <w:sz w:val="16"/>
          <w:szCs w:val="16"/>
          <w:color w:val="auto"/>
        </w:rPr>
        <w:t>01, which provided an optional transition practical expedient to not evaluate under the new lease standard, existing or expired land easements that were not previously accounted for as leases. In July 2018, the FASB issued ASU 2018-10 that provided clarifications and improvements to ASU 2016-02. In July 2018, the FASB issued ASU 2018-11 that provided entities with an additional and optional transition method to apply the new standard at the adoption date and recognize a cumulative-effect adjustment to the beginning balance of retained earnings in the period of adoption. In December 2018, the FASB issued ASU 2018-20 that provided an accounting policy election for certain narrow-scope improvements for lessors. In March 2019, the FASB issued ASU 2019-01 that provided clarifications and improvements to ASU 2016-02. During the Company’s evaluation of ASU 2016-02, as amended, (“Topic 842”) the following practical expedients and accounting policies with respect to Topic 842 have been elected and/or adopted effective January 1, 2019:</w:t>
      </w:r>
    </w:p>
    <w:p>
      <w:pPr>
        <w:spacing w:after="0" w:line="205" w:lineRule="exact"/>
        <w:rPr>
          <w:sz w:val="20"/>
          <w:szCs w:val="20"/>
          <w:color w:val="auto"/>
        </w:rPr>
      </w:pPr>
    </w:p>
    <w:p>
      <w:pPr>
        <w:ind w:left="660" w:right="6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as lessee and as lessor, did not reassess (i) whether any expired or existing contracts are or contain leases, (ii) lease classification for any expired or existing leases or (iii) initial direct costs for any expired or existing leases.</w:t>
      </w:r>
    </w:p>
    <w:p>
      <w:pPr>
        <w:spacing w:after="0" w:line="181" w:lineRule="exact"/>
        <w:rPr>
          <w:rFonts w:ascii="Arial" w:cs="Arial" w:eastAsia="Arial" w:hAnsi="Arial"/>
          <w:sz w:val="18"/>
          <w:szCs w:val="18"/>
          <w:color w:val="auto"/>
        </w:rPr>
      </w:pPr>
    </w:p>
    <w:p>
      <w:pPr>
        <w:ind w:left="660" w:right="240" w:hanging="333"/>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as lessee, did not apply the recognition requirements of Topic 842 to short-term (twelve months or less) leases. Instead, the Company, as lessee, will recognize the lease payments in profit or loss on a straight-line basis over the lease term and variable lease payments in the period in which the obligation for those payments is incurred.</w:t>
      </w:r>
    </w:p>
    <w:p>
      <w:pPr>
        <w:spacing w:after="0" w:line="186" w:lineRule="exact"/>
        <w:rPr>
          <w:rFonts w:ascii="Arial" w:cs="Arial" w:eastAsia="Arial" w:hAnsi="Arial"/>
          <w:sz w:val="18"/>
          <w:szCs w:val="18"/>
          <w:color w:val="auto"/>
        </w:rPr>
      </w:pPr>
    </w:p>
    <w:p>
      <w:pPr>
        <w:ind w:left="660" w:right="40" w:hanging="333"/>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as lessor, did not separate nonlease components from lease components and, instead, will account for each separate lease component and the nonlease components associated with that lease as a single component if the nonlease components otherwise would be accounted for under Accounting Standards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primary reason for this election is related to instances where common area maintenance is, or may be, a component of base rent within a lease agreement.</w:t>
      </w:r>
    </w:p>
    <w:p>
      <w:pPr>
        <w:spacing w:after="0" w:line="124" w:lineRule="exact"/>
        <w:rPr>
          <w:sz w:val="20"/>
          <w:szCs w:val="20"/>
          <w:color w:val="auto"/>
        </w:rPr>
      </w:pPr>
    </w:p>
    <w:p>
      <w:pPr>
        <w:jc w:val="both"/>
        <w:ind w:right="200" w:firstLine="324"/>
        <w:spacing w:after="0" w:line="285" w:lineRule="auto"/>
        <w:rPr>
          <w:sz w:val="20"/>
          <w:szCs w:val="20"/>
          <w:color w:val="auto"/>
        </w:rPr>
      </w:pPr>
      <w:r>
        <w:rPr>
          <w:rFonts w:ascii="Arial" w:cs="Arial" w:eastAsia="Arial" w:hAnsi="Arial"/>
          <w:sz w:val="16"/>
          <w:szCs w:val="16"/>
          <w:color w:val="auto"/>
        </w:rPr>
        <w:t>The Company adopted the new guidance, including amendments, as of January 1, 2019 and has elected to implement Topic 842 retrospectively using the cumulative-effect adjustment transition method as of the date of adoption. As a result, prior periods have not been restated. As of the date of adoption, a cumulative-effect adjustment was not necessary and the Company recognized an operating lease right-of use assets of $0.4 million and corresponding operating lease liabilities of $0.4 million based on the present value of minimum rental payments related to leases for which the Company is the lessee.</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operating lease right-of-use assets and corresponding operating lease liabilities are included within other assets and other liabilities, respectively, on the condensed consolidated balance sheets. There were no adjustments related to the leases for which the Company is the lessor. The adoption of this guidance did not materially impact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ind w:right="40" w:firstLine="324"/>
        <w:spacing w:after="0" w:line="218" w:lineRule="exact"/>
        <w:rPr>
          <w:sz w:val="20"/>
          <w:szCs w:val="20"/>
          <w:color w:val="auto"/>
        </w:rPr>
      </w:pPr>
      <w:r>
        <w:rPr>
          <w:rFonts w:ascii="Arial" w:cs="Arial" w:eastAsia="Arial" w:hAnsi="Arial"/>
          <w:sz w:val="17"/>
          <w:szCs w:val="17"/>
          <w:color w:val="auto"/>
        </w:rPr>
        <w:t>In June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(“ASU 2016-13”), that requires a financial asset measured at amortized cost to be presented at the net amount expected to be collected and requires that credit losses from available-for-sale debt securities be presented as an allowance for credit loss. In November 2018, the FASB issued ASU 2018-19, which clarifies that impairment of receivables from operating leases should be accounted for using lease guidance. In April 2019, the FASB issued ASU 2019-04, which clarifies and improves ASU 2016-13. In May 2019, the FASB issued ASU 2019-05, which provides an option to irrevocably elect the fair value option for certain financial assets previously measured at amortized cost basis. This new guidance will be effective for annual and interim periods beginning after December 15, 2019, with early adoption permitted for annual and interim periods beginning after December 15, 2018. The Company is currently evaluating the impact that the adoption of this guidance will have on its financial condition, results of operations and cash flows.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Real Estate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 estate by property type and segment includes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44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Development property: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Residential real estate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112,759</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105,323</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Commercial leasing and sales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73,128</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Forestry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10"/>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development property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186,818</w:t>
            </w:r>
          </w:p>
        </w:tc>
      </w:tr>
      <w:tr>
        <w:trPr>
          <w:trHeight w:val="216"/>
        </w:trPr>
        <w:tc>
          <w:tcPr>
            <w:tcW w:w="3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Residential real estate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7,344</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93,046</w:t>
            </w:r>
          </w:p>
        </w:tc>
      </w:tr>
      <w:tr>
        <w:trPr>
          <w:trHeight w:val="216"/>
        </w:trPr>
        <w:tc>
          <w:tcPr>
            <w:tcW w:w="3440" w:type="dxa"/>
            <w:vAlign w:val="bottom"/>
          </w:tcPr>
          <w:p>
            <w:pPr>
              <w:ind w:left="120"/>
              <w:spacing w:after="0"/>
              <w:rPr>
                <w:sz w:val="20"/>
                <w:szCs w:val="20"/>
                <w:color w:val="auto"/>
              </w:rPr>
            </w:pPr>
            <w:r>
              <w:rPr>
                <w:rFonts w:ascii="Arial" w:cs="Arial" w:eastAsia="Arial" w:hAnsi="Arial"/>
                <w:sz w:val="18"/>
                <w:szCs w:val="18"/>
                <w:color w:val="auto"/>
              </w:rPr>
              <w:t>Commercial leasing and sales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127,406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111,471</w:t>
            </w:r>
          </w:p>
        </w:tc>
      </w:tr>
      <w:tr>
        <w:trPr>
          <w:trHeight w:val="216"/>
        </w:trPr>
        <w:tc>
          <w:tcPr>
            <w:tcW w:w="3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Forestry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w:t>
            </w:r>
          </w:p>
        </w:tc>
      </w:tr>
      <w:tr>
        <w:trPr>
          <w:trHeight w:val="216"/>
        </w:trPr>
        <w:tc>
          <w:tcPr>
            <w:tcW w:w="3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property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231,676</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3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w:t>
            </w:r>
          </w:p>
        </w:tc>
      </w:tr>
      <w:tr>
        <w:trPr>
          <w:trHeight w:val="210"/>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property, net</w:t>
            </w: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180,642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164,176</w:t>
            </w:r>
          </w:p>
        </w:tc>
      </w:tr>
      <w:tr>
        <w:trPr>
          <w:trHeight w:val="217"/>
        </w:trPr>
        <w:tc>
          <w:tcPr>
            <w:tcW w:w="3440" w:type="dxa"/>
            <w:vAlign w:val="bottom"/>
          </w:tcPr>
          <w:p>
            <w:pPr>
              <w:spacing w:after="0"/>
              <w:rPr>
                <w:sz w:val="20"/>
                <w:szCs w:val="20"/>
                <w:color w:val="auto"/>
              </w:rPr>
            </w:pPr>
            <w:r>
              <w:rPr>
                <w:rFonts w:ascii="Arial" w:cs="Arial" w:eastAsia="Arial" w:hAnsi="Arial"/>
                <w:sz w:val="18"/>
                <w:szCs w:val="18"/>
                <w:b w:val="1"/>
                <w:bCs w:val="1"/>
                <w:color w:val="auto"/>
              </w:rPr>
              <w:t>Investment in real estate, net</w:t>
            </w:r>
          </w:p>
        </w:tc>
        <w:tc>
          <w:tcPr>
            <w:tcW w:w="3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384,056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350,994</w:t>
            </w:r>
          </w:p>
        </w:tc>
      </w:tr>
      <w:tr>
        <w:trPr>
          <w:trHeight w:val="864"/>
        </w:trPr>
        <w:tc>
          <w:tcPr>
            <w:tcW w:w="3440" w:type="dxa"/>
            <w:vAlign w:val="bottom"/>
          </w:tcPr>
          <w:p>
            <w:pPr>
              <w:spacing w:after="0"/>
              <w:rPr>
                <w:sz w:val="24"/>
                <w:szCs w:val="24"/>
                <w:color w:val="auto"/>
              </w:rPr>
            </w:pPr>
          </w:p>
        </w:tc>
        <w:tc>
          <w:tcPr>
            <w:tcW w:w="3460" w:type="dxa"/>
            <w:vAlign w:val="bottom"/>
          </w:tcPr>
          <w:p>
            <w:pPr>
              <w:jc w:val="right"/>
              <w:ind w:right="219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1"/>
        </w:trPr>
        <w:tc>
          <w:tcPr>
            <w:tcW w:w="34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Development property consists of land the Company is developing or intends to develop for sale or future operations and includes direct costs associated with the land, development and construction costs and indirect costs. Residential real estate includes residential communities. Hospitality development property consists of land and construction costs related to two gulf-front vacation rental homes and development costs and improvements for other property. Commercial leasing and sales development property primarily consists of land and development costs for commercial and industrial uses, including the Pier Park Crossings JV, Origins Crossings JV, land holdings near the Northwest Florida Beaches International Airport and Port of Port St. Joe. Development property in the hospitality and commercial leasing and sales segments will be reclassified as operating property as it is placed into service.</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Operating property includes property that the Company uses for operations and activities. Residential real estate operating property consists primarily of residential utility assets. The hospitality operating property includes the WaterColor Inn, WaterSound Inn, golf courses, a beach club, marinas and certain vacation rental properties. Commercial leasing and sales operating property includes property developed or purchased by the Company and used for retail and commercial rental purposes, including property in the Pier Park North JV, VentureCrossings, Pier Park Crossings JV and Beckrich Office Park, as well as other properties. Forestry operating property includes the Company’s timberlands. Operating property may be sold in the future as part of the Company’s principal real estate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Investments classified as available-for-sale securities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left="314"/>
              <w:spacing w:after="0"/>
              <w:rPr>
                <w:sz w:val="20"/>
                <w:szCs w:val="20"/>
                <w:color w:val="auto"/>
              </w:rPr>
            </w:pPr>
            <w:r>
              <w:rPr>
                <w:rFonts w:ascii="Arial" w:cs="Arial" w:eastAsia="Arial" w:hAnsi="Arial"/>
                <w:sz w:val="14"/>
                <w:szCs w:val="14"/>
                <w:b w:val="1"/>
                <w:bCs w:val="1"/>
                <w:color w:val="auto"/>
                <w:w w:val="90"/>
              </w:rPr>
              <w:t>June 30, 2019</w:t>
            </w: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5"/>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2,928</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Restricted investments: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bond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Money market fund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2,334</w:t>
            </w:r>
          </w:p>
        </w:tc>
        <w:tc>
          <w:tcPr>
            <w:tcW w:w="0" w:type="dxa"/>
            <w:vAlign w:val="bottom"/>
          </w:tcPr>
          <w:p>
            <w:pPr>
              <w:spacing w:after="0"/>
              <w:rPr>
                <w:sz w:val="1"/>
                <w:szCs w:val="1"/>
                <w:color w:val="auto"/>
              </w:rPr>
            </w:pPr>
          </w:p>
        </w:tc>
      </w:tr>
      <w:tr>
        <w:trPr>
          <w:trHeight w:val="217"/>
        </w:trPr>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5,166</w:t>
            </w:r>
          </w:p>
        </w:tc>
        <w:tc>
          <w:tcPr>
            <w:tcW w:w="0" w:type="dxa"/>
            <w:vAlign w:val="bottom"/>
          </w:tcPr>
          <w:p>
            <w:pPr>
              <w:spacing w:after="0"/>
              <w:rPr>
                <w:sz w:val="1"/>
                <w:szCs w:val="1"/>
                <w:color w:val="auto"/>
              </w:rPr>
            </w:pPr>
          </w:p>
        </w:tc>
      </w:tr>
      <w:tr>
        <w:trPr>
          <w:trHeight w:val="594"/>
        </w:trPr>
        <w:tc>
          <w:tcPr>
            <w:tcW w:w="46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Amortized Cost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gridSpan w:val="2"/>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6,936</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9,844</w:t>
            </w: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8,958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investments: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Short-term bond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3,441</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3,432</w:t>
            </w: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$ 12,390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During the three months ended June 30, 2019 there were no realized gains or losses from the sale of available-for-sale securities. During the six months ended June 30, 2019 net realized losses from the sale of available-for-sale securities were less than $0.1 million. During six months ended June 30, 2019 proceeds from the sale of available-for-sale securities were $1.2 million and purchases of available-for-sale securities were less than $0.1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During the six months ended June 30, 2018, net realized losses from the sale of available for-sale securities were $1.1 million, proceeds from the sale of available-for-sale securities were $64.6 million and purchases of available-for sale securities were less than $0.1 million.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the available-for-sale investments unrealized loss position and related fair values: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2"/>
                <w:szCs w:val="12"/>
                <w:color w:val="auto"/>
              </w:rPr>
            </w:pPr>
          </w:p>
        </w:tc>
        <w:tc>
          <w:tcPr>
            <w:tcW w:w="14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3"/>
              </w:rPr>
              <w:t>12 Months or Greater</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 debt securities: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594"/>
        </w:trPr>
        <w:tc>
          <w:tcPr>
            <w:tcW w:w="5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2"/>
                <w:szCs w:val="12"/>
                <w:color w:val="auto"/>
              </w:rPr>
            </w:pPr>
          </w:p>
        </w:tc>
        <w:tc>
          <w:tcPr>
            <w:tcW w:w="14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3"/>
              </w:rPr>
              <w:t>12 Months or Greater</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7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 debt securities: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Short-term bond</w:t>
            </w: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June 30, 2019, the Company had unrealized losses of $0.1 million related to corporate debt securities. The Company had unrealized losses of $0.9 million as of December 31, 2018 related to corporate debt securities and restricted investments. As of June 30, 2019 and December 31, 2018, the Company did not intend to sell the investments with a material unrealized loss and it is more likely than not that the Company will not be required to sell any of these securities prior to their anticipated recovery, which could be maturity. During the six months ended June 30, 2018, the Company determined unrealized losses related to its corporate debt securities were other-than-temporarily impaired and recorded an impairment of $0.1 million for credit-related loss in investment income, net in the Company’s condensed consolidated statements of income.</w:t>
      </w:r>
    </w:p>
    <w:p>
      <w:pPr>
        <w:spacing w:after="0" w:line="19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amortized cost and estimated fair value of investments - debt securities and restricted investments classified as available-for-sale, by contractual maturity are shown in the following table. Actual maturities may differ from contractual maturities since certain borrowers have the right to call or prepay obligations.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June 30, 2019</w:t>
            </w:r>
          </w:p>
        </w:tc>
      </w:tr>
      <w:tr>
        <w:trPr>
          <w:trHeight w:val="142"/>
        </w:trPr>
        <w:tc>
          <w:tcPr>
            <w:tcW w:w="4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2"/>
                <w:szCs w:val="12"/>
                <w:color w:val="auto"/>
              </w:rPr>
            </w:pPr>
          </w:p>
        </w:tc>
        <w:tc>
          <w:tcPr>
            <w:tcW w:w="8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investments</w:t>
            </w:r>
          </w:p>
        </w:tc>
        <w:tc>
          <w:tcPr>
            <w:tcW w:w="2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r>
      <w:tr>
        <w:trPr>
          <w:trHeight w:val="217"/>
        </w:trPr>
        <w:tc>
          <w:tcPr>
            <w:tcW w:w="428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 Equity Securities</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As of June 30, 2019 and December 31, 2018 investments - equity securities included $36.3 million and $36.1 million, respectively, of preferred stock investments recorded at fair value. During the three and six months ended June 30, 2019 the Company had an unrealized loss on investments - equity securities of $1.9 million and an unrealized gain on investments – equity securities of $0.1 million, respectively. During the three and six months ended June 30, 2018 the Company had an unrealized gain on investments – equity securities of $1.3 million and $0.7 million, respectively. These amounts were included within investment income, net on the condensed consolidated statements of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Mr. Bruce R. Berkowitz is the Chairman of the Company’s Board of Directors (the “Board”). He is the Manager of, and controls entities that own and control, Fairholme Holdings, LLC (“Fairholme”), which wholly owns Fairholme Capital Management, L.L.C. (“FCM”, an investment advisor registered with the SEC) and the Fairholme Trust Company, L.L.C. (“FTC”, a non-depository trust company regulated by the Florida Office of Financial Regulation). Mr. Berkowitz is the Chief Investment Officer of FCM, and the Chief Executive Officer and a director of FTC. Since April 2013, FCM has provided investment advisory services to the Company directly, or more recently, as the sub-advisor to FTC. Neither FCM nor FTC receives any compensation for services as the Company’s investment advisor. As of June 30, 2019, clients of FCM and FTC beneficially owned approximately 41.43% of the Company’s common stock and Fairholme, including Mr. Berkowitz and clients of FCM and FTC, collectively beneficially owned 44.03% of the Company’s common stock. FCM and its client, The Fairholme Fund, a series of the Fairholme Funds, Inc., may be deemed affiliates of the Company.</w:t>
      </w:r>
    </w:p>
    <w:p>
      <w:pPr>
        <w:spacing w:after="0" w:line="16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Both Mr. Cesar Alvarez and Mr. Howard Frank are members of the Company’s Board and also serve as directors of Fairholme Funds, Inc. Mr. Alvarez is also a director of FTC.</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Pursuant to the terms of an Investment Management Agreement, as amended, with the Company (the “Investment Management Agreement”), FTC agreed to supervise and direct the investments of investment accounts established by the Company in accordance with the investment guidelines and restrictions approved by the Investment Committee of the Company’s Board. The investment guidelines are set forth in the Investment Management Agreement and require that, as of the date of any investment: (i) no more than 15% of the investment account may be invested in securities of any one issuer (excluding the U.S. Government), (ii) any investment in any one issuer (excluding the U.S. Government) that exceeds 10% of the investment account, but not 15%, requires the consent of at least two members of the Investment Committee, (iii) 25% of the investment account must be held in cash or cash equivalents, (iv) the investment account is permitted to be invested in common equity securities; however, common stock investments shall be limited to exchange-traded common equities, shall not exceed 5% ownership of a single issuer and, cumulatively, the common stock held in the Company’s investment portfolio shall not exceed $100.0 million market value, and (v) the aggregate market value of investments in common stock, preferred stock or other equity investments cannot exceed 25% of the market value of the Company’s investment portfolio at the time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instruments measured at fair value on a recurring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154,241</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163,039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163,039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 equity securities: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4"/>
              </w:rPr>
              <w:t>25,478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36,270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Restricted investments: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bond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Money market fund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2,334</w:t>
            </w:r>
          </w:p>
        </w:tc>
        <w:tc>
          <w:tcPr>
            <w:tcW w:w="0" w:type="dxa"/>
            <w:vAlign w:val="bottom"/>
          </w:tcPr>
          <w:p>
            <w:pPr>
              <w:spacing w:after="0"/>
              <w:rPr>
                <w:sz w:val="1"/>
                <w:szCs w:val="1"/>
                <w:color w:val="auto"/>
              </w:rPr>
            </w:pPr>
          </w:p>
        </w:tc>
      </w:tr>
      <w:tr>
        <w:trPr>
          <w:trHeight w:val="217"/>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176,165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28,310</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204,475</w:t>
            </w:r>
          </w:p>
        </w:tc>
        <w:tc>
          <w:tcPr>
            <w:tcW w:w="0" w:type="dxa"/>
            <w:vAlign w:val="bottom"/>
          </w:tcPr>
          <w:p>
            <w:pPr>
              <w:spacing w:after="0"/>
              <w:rPr>
                <w:sz w:val="1"/>
                <w:szCs w:val="1"/>
                <w:color w:val="auto"/>
              </w:rPr>
            </w:pPr>
          </w:p>
        </w:tc>
      </w:tr>
      <w:tr>
        <w:trPr>
          <w:trHeight w:val="594"/>
        </w:trPr>
        <w:tc>
          <w:tcPr>
            <w:tcW w:w="4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43,346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43,346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107,586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107,586</w:t>
            </w: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29,998</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180,930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180,930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 debt securities: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6,937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8,958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Investments - equity securities: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25,662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36,132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investments: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Short-term bond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3,432</w:t>
            </w:r>
          </w:p>
        </w:tc>
        <w:tc>
          <w:tcPr>
            <w:tcW w:w="0" w:type="dxa"/>
            <w:vAlign w:val="bottom"/>
          </w:tcPr>
          <w:p>
            <w:pPr>
              <w:spacing w:after="0"/>
              <w:rPr>
                <w:sz w:val="1"/>
                <w:szCs w:val="1"/>
                <w:color w:val="auto"/>
              </w:rPr>
            </w:pPr>
          </w:p>
        </w:tc>
      </w:tr>
      <w:tr>
        <w:trPr>
          <w:trHeight w:val="217"/>
        </w:trPr>
        <w:tc>
          <w:tcPr>
            <w:tcW w:w="40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201,769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27,683</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229,452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Money market funds, commercial paper, U.S. Treasury securities, certain preferred stock investments and short-term bonds are measured based on quoted market prices in an active market and categorized within Level 1 of the fair value hierarchy. Money market funds, commercial paper and short term U.S. Treasury securities with a maturity date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90 days or less from the date of purchase are classified as cash equivalents in the Company’s condensed consolidated balance sheets.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Company’s corporate debt securities and certain preferred stock investments are not traded on a nationally recognized exchange, but are traded in the U.S. over-the-counter market where there is less trading activity and the investments are measured primarily using pricing data from external pricing services that report prices observed for recently executed market transactions. For these reasons, the Company has determined that corporate debt securities and certain preferred stock investments are categorized as Level 2 financial instruments since their fair values were determined from market inputs in an inactive market.</w:t>
      </w:r>
    </w:p>
    <w:p>
      <w:pPr>
        <w:spacing w:after="0" w:line="193"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Restricted investments are included within other assets on the condensed consolidated balance sheets and include certain of the surplus assets that were transferred from the Company’s Pension Plan to a suspense account in the Company’s 401(k) Plan in December 2014. The Company has retained the risks and rewards of ownership of these assets; therefore, the assets held in the suspense account are included in the Company’s condensed consolidated financial statements until they are allocated to participants. As of June 30, 2019 and December 31, 2018, the assets held in the suspense account were invested in Vanguard Money Market Funds, which invest in short-term, high quality securities or short-term U.S. government securities and seek to provide current income and preserve shareholders’ principal investment and a Vanguard Short-Term Bond Fund, which invests in money market instruments and short-term high quality bonds, including asset-backed, government, and investment grade corporate securities with an expected maturity of 0</w:t>
      </w:r>
      <w:r>
        <w:rPr>
          <w:rFonts w:ascii="MS PGothic" w:cs="MS PGothic" w:eastAsia="MS PGothic" w:hAnsi="MS PGothic"/>
          <w:sz w:val="16"/>
          <w:szCs w:val="16"/>
          <w:color w:val="auto"/>
        </w:rPr>
        <w:t>‑</w:t>
      </w:r>
      <w:r>
        <w:rPr>
          <w:rFonts w:ascii="Arial" w:cs="Arial" w:eastAsia="Arial" w:hAnsi="Arial"/>
          <w:sz w:val="16"/>
          <w:szCs w:val="16"/>
          <w:color w:val="auto"/>
        </w:rPr>
        <w:t xml:space="preserve">3 years. The Vanguard Money Market Funds and Vanguard Short-Term Bond Fund are measured based on quoted market prices in an active market and categorized within Level 1 of the fair value hierarchy. The Company’s Retirement Plan Investment Committee is responsible for investing decisions and allocation decisions of the suspense account. Refer to Note 8. </w:t>
      </w:r>
      <w:r>
        <w:rPr>
          <w:rFonts w:ascii="Arial" w:cs="Arial" w:eastAsia="Arial" w:hAnsi="Arial"/>
          <w:sz w:val="16"/>
          <w:szCs w:val="16"/>
          <w:i w:val="1"/>
          <w:iCs w:val="1"/>
          <w:color w:val="auto"/>
        </w:rPr>
        <w:t>Other Assets</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uses the following methods and assumptions in estimating fair value for financial instruments:</w:t>
      </w:r>
    </w:p>
    <w:p>
      <w:pPr>
        <w:spacing w:after="0" w:line="117" w:lineRule="exact"/>
        <w:rPr>
          <w:sz w:val="20"/>
          <w:szCs w:val="20"/>
          <w:color w:val="auto"/>
        </w:rPr>
      </w:pPr>
    </w:p>
    <w:p>
      <w:pPr>
        <w:ind w:left="660" w:right="24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investments held by SPEs - time deposit is based on the present value of future cash flows at the current market rate.</w:t>
      </w:r>
    </w:p>
    <w:p>
      <w:pPr>
        <w:spacing w:after="0" w:line="8" w:lineRule="exact"/>
        <w:rPr>
          <w:rFonts w:ascii="Arial" w:cs="Arial" w:eastAsia="Arial" w:hAnsi="Arial"/>
          <w:sz w:val="18"/>
          <w:szCs w:val="18"/>
          <w:color w:val="auto"/>
        </w:rPr>
      </w:pPr>
    </w:p>
    <w:p>
      <w:pPr>
        <w:ind w:left="660" w:right="40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investments held by SPEs - U.S. Treasury securities are measured based on quoted market prices in an active market.</w:t>
      </w:r>
    </w:p>
    <w:p>
      <w:pPr>
        <w:spacing w:after="0" w:line="8" w:lineRule="exact"/>
        <w:rPr>
          <w:rFonts w:ascii="Arial" w:cs="Arial" w:eastAsia="Arial" w:hAnsi="Arial"/>
          <w:sz w:val="18"/>
          <w:szCs w:val="18"/>
          <w:color w:val="auto"/>
        </w:rPr>
      </w:pPr>
    </w:p>
    <w:p>
      <w:pPr>
        <w:ind w:left="660" w:right="52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senior notes held by SPE is based on the present value of future cash flows at the current market rate.</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carrying amount and fair value, measured on a nonrecurring basis, of the Company’s financial instruments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0"/>
                <w:szCs w:val="10"/>
                <w:color w:val="auto"/>
              </w:rPr>
            </w:pPr>
          </w:p>
        </w:tc>
        <w:tc>
          <w:tcPr>
            <w:tcW w:w="8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Level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94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96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Investments held by SPEs: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Time deposit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U.S. Treasury securities and cash</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Senior Notes held by SPE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176,899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204,080</w:t>
            </w:r>
          </w:p>
        </w:tc>
        <w:tc>
          <w:tcPr>
            <w:tcW w:w="16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176,775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193,293</w:t>
            </w:r>
          </w:p>
        </w:tc>
        <w:tc>
          <w:tcPr>
            <w:tcW w:w="160" w:type="dxa"/>
            <w:vAlign w:val="bottom"/>
          </w:tcPr>
          <w:p>
            <w:pPr>
              <w:spacing w:after="0"/>
              <w:rPr>
                <w:sz w:val="20"/>
                <w:szCs w:val="20"/>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and Senior Notes Held by Special Purpose Entities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connection with a real estate sale in 2014, the Company received consideration including a $200.0 million fifteen-year installment note (the “Timber Note”) issued by Panama City Timber Finance Company, LLC. The Company contributed the Timber Note and assigned its rights as a beneficiary under a letter of credit to Northwest Florida Timber Finance, LLC. Northwest Florida Timber Finance, LLC monetized the Timber Note by issuing $180.0 million aggregate principal amount of its 4.8% Senior Secured Notes due in 2029 (the “Senior Notes”) at an issue price of 98.5% of face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value to third party investors. The investments held by Panama City Timber Finance Company, LLC as of June 30, 2019, consist of a $200.0 million time deposit that, subsequent to April 2, 2014, pays interest at 4.0% and matures in March 2029, U.S. Treasuries of $6.7 million and cash of $0.4 million. The Senior Notes held by Northwest Florida Timber Finance, LLC as of June 30, 2019 consist of $176.9 million, net of the $3.1 million discount and debt issuance costs. Panama City Timber Finance Company, LLC and Northwest Florida Timber Finance, LLC are VIEs, which the Company consolidates as the primary beneficiary of each entity.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Hurricane Michael</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October 10, 2018, Hurricane Michael made landfall in the Florida Panhandle, which resulted in widespread damage to the area. The majority of the Company’s properties incurred minimal or no damage; however the Company’s Bay Point Marina in Bay County and Port St. Joe Marina in Gulf County, as well as certain timber and commercial leasing assets were impacted. The marinas suffered significant damage requiring long-term restoration and will remain closed during the reconstruction of significant portions of these assets, which is currently underway.</w:t>
      </w:r>
    </w:p>
    <w:p>
      <w:pPr>
        <w:spacing w:after="0" w:line="1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maintains property and business interruption insurance, subject to certain deductibles, and is continuing to assess claims under such policies; however, the timing and amount of insurance proceeds are uncertain and may not be sufficient to cover all losses. Timing differences are likely to exist between the impairment losses, capital expenditures made to repair or restore properties and recognition and receipt of insurance proceeds reflected in the Company’s financial statements.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GAAP guidance provides that property damaged by a natural disaster be evaluated for impairment loss in the period the loss occurs, recording an insurance receivable for the lesser of the expected net insurance recovery or the net book value of damaged assets that are planned to be replaced. Insurance recoveries for business interruption, clean-up and demolition costs, post-event costs or property damage in excess of net book value will be recognized in income in the period received or when all contingencies associated with the recoveries are resolved and the insurance companies have committed to a recovery amount. During the three and six months ended June 30, 2019, $1.3 million of insurance proceeds were received related to business interruption insurance, included within cost of hospitality revenue on the condensed consolidated statements of income. Costs incurred due to business interruption, primarily at the marinas, are continuing to be evaluated. The Company does not expect revenue at these locations until the properties have been rebuilt, but will incur costs for employee retention and property maintenance.</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During the fourth quarter of 2018, the Company recorded a loss on disposal of assets related to the net book value of the marinas and certain forestry and commercial leasing assets. During the three and six months ended June 30, 2019, the Company recognized $3.8 million and $4.1 million, respectively of insurance proceeds, included in other income, net on the condensed consolidated statements of income.</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three and six months ended June 30, 2019, the Company has incurred costs of $0.8 million and $1.1 million, respectively for additional hurricane expenses for repairs, clean-up costs, landscape repairs, demolition costs, professional fees and temporary housing for employees included in other income, net on the condensed consolidated statements of income.</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expects that its results of operations related to the marinas and timber assets will be impacted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Leasing revenue consists of rental revenue from multi-family, retail, office and commercial property, cell towers and other assets, which is recognized as earned, using the straight-line method over the life of each lease.</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leasing revenue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w:t>
            </w:r>
          </w:p>
        </w:tc>
      </w:tr>
      <w:tr>
        <w:trPr>
          <w:trHeight w:val="201"/>
        </w:trPr>
        <w:tc>
          <w:tcPr>
            <w:tcW w:w="4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June 30, 2019</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rPr>
              <w:t>Lease payments</w:t>
            </w:r>
          </w:p>
        </w:tc>
        <w:tc>
          <w:tcPr>
            <w:tcW w:w="240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5,404</w:t>
            </w: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 lease payments</w:t>
            </w:r>
          </w:p>
        </w:tc>
        <w:tc>
          <w:tcPr>
            <w:tcW w:w="2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17"/>
        </w:trPr>
        <w:tc>
          <w:tcPr>
            <w:tcW w:w="4060" w:type="dxa"/>
            <w:vAlign w:val="bottom"/>
          </w:tcPr>
          <w:p>
            <w:pPr>
              <w:spacing w:after="0"/>
              <w:rPr>
                <w:sz w:val="20"/>
                <w:szCs w:val="20"/>
                <w:color w:val="auto"/>
              </w:rPr>
            </w:pPr>
            <w:r>
              <w:rPr>
                <w:rFonts w:ascii="Arial" w:cs="Arial" w:eastAsia="Arial" w:hAnsi="Arial"/>
                <w:sz w:val="18"/>
                <w:szCs w:val="18"/>
                <w:color w:val="auto"/>
              </w:rPr>
              <w:t>Total leasing revenue</w:t>
            </w: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r>
    </w:tbl>
    <w:p>
      <w:pPr>
        <w:spacing w:after="0" w:line="31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Minimum future base rental revenue on non-cancelable leases subsequent to June 30, 2019, for the next five years ending December 31 are: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jc w:val="right"/>
              <w:ind w:right="7810"/>
              <w:spacing w:after="0"/>
              <w:rPr>
                <w:sz w:val="20"/>
                <w:szCs w:val="20"/>
                <w:color w:val="auto"/>
              </w:rPr>
            </w:pPr>
            <w:r>
              <w:rPr>
                <w:rFonts w:ascii="Arial" w:cs="Arial" w:eastAsia="Arial" w:hAnsi="Arial"/>
                <w:sz w:val="18"/>
                <w:szCs w:val="18"/>
                <w:color w:val="auto"/>
                <w:w w:val="84"/>
              </w:rPr>
              <w:t>2019</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r>
      <w:tr>
        <w:trPr>
          <w:trHeight w:val="216"/>
        </w:trPr>
        <w:tc>
          <w:tcPr>
            <w:tcW w:w="8260" w:type="dxa"/>
            <w:vAlign w:val="bottom"/>
          </w:tcPr>
          <w:p>
            <w:pPr>
              <w:jc w:val="right"/>
              <w:ind w:right="7810"/>
              <w:spacing w:after="0"/>
              <w:rPr>
                <w:sz w:val="20"/>
                <w:szCs w:val="20"/>
                <w:color w:val="auto"/>
              </w:rPr>
            </w:pPr>
            <w:r>
              <w:rPr>
                <w:rFonts w:ascii="Arial" w:cs="Arial" w:eastAsia="Arial" w:hAnsi="Arial"/>
                <w:sz w:val="18"/>
                <w:szCs w:val="18"/>
                <w:color w:val="auto"/>
                <w:w w:val="84"/>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11,016</w:t>
            </w:r>
          </w:p>
        </w:tc>
      </w:tr>
      <w:tr>
        <w:trPr>
          <w:trHeight w:val="216"/>
        </w:trPr>
        <w:tc>
          <w:tcPr>
            <w:tcW w:w="8260" w:type="dxa"/>
            <w:vAlign w:val="bottom"/>
            <w:shd w:val="clear" w:color="auto" w:fill="CCEEFF"/>
          </w:tcPr>
          <w:p>
            <w:pPr>
              <w:jc w:val="right"/>
              <w:ind w:right="7810"/>
              <w:spacing w:after="0"/>
              <w:rPr>
                <w:sz w:val="20"/>
                <w:szCs w:val="20"/>
                <w:color w:val="auto"/>
              </w:rPr>
            </w:pPr>
            <w:r>
              <w:rPr>
                <w:rFonts w:ascii="Arial" w:cs="Arial" w:eastAsia="Arial" w:hAnsi="Arial"/>
                <w:sz w:val="18"/>
                <w:szCs w:val="18"/>
                <w:color w:val="auto"/>
                <w:w w:val="84"/>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w:t>
            </w:r>
          </w:p>
        </w:tc>
      </w:tr>
      <w:tr>
        <w:trPr>
          <w:trHeight w:val="216"/>
        </w:trPr>
        <w:tc>
          <w:tcPr>
            <w:tcW w:w="8260" w:type="dxa"/>
            <w:vAlign w:val="bottom"/>
          </w:tcPr>
          <w:p>
            <w:pPr>
              <w:jc w:val="right"/>
              <w:ind w:right="781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8,977</w:t>
            </w:r>
          </w:p>
        </w:tc>
      </w:tr>
      <w:tr>
        <w:trPr>
          <w:trHeight w:val="216"/>
        </w:trPr>
        <w:tc>
          <w:tcPr>
            <w:tcW w:w="8260" w:type="dxa"/>
            <w:vAlign w:val="bottom"/>
            <w:shd w:val="clear" w:color="auto" w:fill="CCEEFF"/>
          </w:tcPr>
          <w:p>
            <w:pPr>
              <w:jc w:val="right"/>
              <w:ind w:right="781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r>
      <w:tr>
        <w:trPr>
          <w:trHeight w:val="217"/>
        </w:trPr>
        <w:tc>
          <w:tcPr>
            <w:tcW w:w="8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42,538</w:t>
            </w:r>
          </w:p>
        </w:tc>
      </w:tr>
    </w:tbl>
    <w:p>
      <w:pPr>
        <w:spacing w:after="0" w:line="3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of June 30, 2019, the Company leased certain office equipment under a finance lease and had operating leases for property and equipment used in hospitality operations with remaining lease terms up to the year 2024. Certain leases include options to purchase, terminate or renew for one or more years, which are included in the lease term used to establish right-of-use assets and lease liabilities when it is reasonably certain that the option will be exercised. Finance lease right-of-use assets are included within property, plant and equipment and operating lease right-of-use assets are included within other assets on the condensed consolidated balance sheets, which represent the Company’s right to use an underlying asset during a lease term for leases in excess of one year. Corresponding finance lease liability and operating lease liabilities are included within other liabilities on the condensed consolidated balance sheets and are related to the Company’s obligation to make lease payments for leases in excess of one year. Prior to the adoption ASU 2016-02 on January 1, 2019 lease assets and liabilities for operating leases were not recognized. The Company uses its incremental borrowing rate to determine the present value of the lease payments since the rate implicit in each lease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6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2019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June 30,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Lease cost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Finance lease cost: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right-of-use assets</w:t>
            </w:r>
          </w:p>
        </w:tc>
        <w:tc>
          <w:tcPr>
            <w:tcW w:w="8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Interest on lease liability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cost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Short-term lease cost</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lease cost</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Weighted-average remaining lease term - finance lease (in years)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 operating leases (in years)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00"/>
              <w:spacing w:after="0"/>
              <w:rPr>
                <w:sz w:val="20"/>
                <w:szCs w:val="20"/>
                <w:color w:val="auto"/>
              </w:rPr>
            </w:pPr>
            <w:r>
              <w:rPr>
                <w:rFonts w:ascii="Arial" w:cs="Arial" w:eastAsia="Arial" w:hAnsi="Arial"/>
                <w:sz w:val="18"/>
                <w:szCs w:val="18"/>
                <w:color w:val="auto"/>
              </w:rPr>
              <w:t>Weighted-average discount rate - finance lease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 - operating leases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aggregate payments of finance lease liability subsequent to June 30, 2019, for the years ending December 31 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imputed interest</w:t>
            </w:r>
          </w:p>
        </w:tc>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7"/>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finance lease liability</w:t>
            </w:r>
          </w:p>
        </w:tc>
        <w:tc>
          <w:tcPr>
            <w:tcW w:w="3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bl>
    <w:p>
      <w:pPr>
        <w:spacing w:after="0" w:line="3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aggregate payments of operating lease liabilities subsequent to June 30, 2019, for the years ending December 31 are: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2020</w:t>
            </w: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2022</w:t>
            </w: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imputed interest</w:t>
            </w:r>
          </w:p>
        </w:tc>
        <w:tc>
          <w:tcPr>
            <w:tcW w:w="49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49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878"/>
        </w:trPr>
        <w:tc>
          <w:tcPr>
            <w:tcW w:w="3320" w:type="dxa"/>
            <w:vAlign w:val="bottom"/>
          </w:tcPr>
          <w:p>
            <w:pPr>
              <w:spacing w:after="0"/>
              <w:rPr>
                <w:sz w:val="24"/>
                <w:szCs w:val="24"/>
                <w:color w:val="auto"/>
              </w:rPr>
            </w:pPr>
          </w:p>
        </w:tc>
        <w:tc>
          <w:tcPr>
            <w:tcW w:w="4940" w:type="dxa"/>
            <w:vAlign w:val="bottom"/>
          </w:tcPr>
          <w:p>
            <w:pPr>
              <w:jc w:val="right"/>
              <w:ind w:right="355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61"/>
        </w:trPr>
        <w:tc>
          <w:tcPr>
            <w:tcW w:w="33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assets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Homesite sales receivable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Claim settlement receivable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Straight-line rent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Investment in unconsolidated joint venture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Retained interest investments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 for Senior Notes held by SPE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17"/>
        </w:trPr>
        <w:tc>
          <w:tcPr>
            <w:tcW w:w="7140" w:type="dxa"/>
            <w:vAlign w:val="bottom"/>
          </w:tcPr>
          <w:p>
            <w:pPr>
              <w:ind w:left="120"/>
              <w:spacing w:after="0"/>
              <w:rPr>
                <w:sz w:val="20"/>
                <w:szCs w:val="20"/>
                <w:color w:val="auto"/>
              </w:rPr>
            </w:pPr>
            <w:r>
              <w:rPr>
                <w:rFonts w:ascii="Arial" w:cs="Arial" w:eastAsia="Arial" w:hAnsi="Arial"/>
                <w:sz w:val="18"/>
                <w:szCs w:val="18"/>
                <w:b w:val="1"/>
                <w:bCs w:val="1"/>
                <w:color w:val="auto"/>
              </w:rPr>
              <w:t>Total 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61,497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60,308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Restricted investments include certain of the surplus assets that were transferred from the Company’s Pension Plan to a suspense account in the Company’s 401(k) Plan in December 2014. The Company has retained the risks and rewards of ownership of these assets; therefore, the assets held in the suspense account are included in the Company’s condensed consolidated financial statements until they are allocated to participants. The Company expenses the fair value of the assets at the time the assets are allocated to participants, which is expected to be allocated up to the next two years. During both the six months ended June 30, 2019 and 2018, the Company recorded an expense of $1.1 million, for the fair value of the assets, less expenses that were allocated to participants. Any gain or loss on these assets is reflected in the Company’s condensed consolidated statements of income and was less than a $0.1 million loss for the three and six months ended June 30, 2019 and 2018. Refer to Note 5.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As of December 31, 2018, accounts receivable, net included $6.7 million of insurance proceeds receivable from the Company’s insurance carriers for property damage related to Hurricane Michael, which were received during the six months ended June 30, 2019. See Note 6. </w:t>
      </w:r>
      <w:r>
        <w:rPr>
          <w:rFonts w:ascii="Arial" w:cs="Arial" w:eastAsia="Arial" w:hAnsi="Arial"/>
          <w:sz w:val="18"/>
          <w:szCs w:val="18"/>
          <w:i w:val="1"/>
          <w:iCs w:val="1"/>
          <w:color w:val="auto"/>
        </w:rPr>
        <w:t>Hurricane Michael</w:t>
      </w:r>
      <w:r>
        <w:rPr>
          <w:rFonts w:ascii="Arial" w:cs="Arial" w:eastAsia="Arial" w:hAnsi="Arial"/>
          <w:sz w:val="18"/>
          <w:szCs w:val="18"/>
          <w:color w:val="auto"/>
        </w:rPr>
        <w:t xml:space="preserve">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Homesite Sales Receivable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Homesite sales receivable from contracts with customers include estimated homesite residuals and certain estimated fees that are recognized as revenue at the time of sale to homebuilders, subject to constraints. Any change in circumstances from the estimated amounts will be updated at each reporting period. The receivable will be collected as the homebuilders build the homes and sell to retail consumers, which can occur over multiple years. The following table presents the changes in homesite sales receivable: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Increases Due To</w:t>
            </w: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Decreases Due to</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Recognized</w:t>
            </w: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Amounts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r>
      <w:tr>
        <w:trPr>
          <w:trHeight w:val="201"/>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 1, 2019</w:t>
            </w:r>
          </w:p>
        </w:tc>
        <w:tc>
          <w:tcPr>
            <w:tcW w:w="16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for Homesites Sold</w:t>
            </w:r>
          </w:p>
        </w:tc>
        <w:tc>
          <w:tcPr>
            <w:tcW w:w="20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Received/Transferred</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2019</w:t>
            </w:r>
          </w:p>
        </w:tc>
      </w:tr>
      <w:tr>
        <w:trPr>
          <w:trHeight w:val="412"/>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Homesite sales receivable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Increases Due To</w:t>
            </w:r>
          </w:p>
        </w:tc>
        <w:tc>
          <w:tcPr>
            <w:tcW w:w="20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Decreases Due to</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Revenue Recognized</w:t>
            </w: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Amounts</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r>
      <w:tr>
        <w:trPr>
          <w:trHeight w:val="201"/>
        </w:trPr>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 1, 2018</w:t>
            </w:r>
          </w:p>
        </w:tc>
        <w:tc>
          <w:tcPr>
            <w:tcW w:w="16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for Homesites Sold</w:t>
            </w:r>
          </w:p>
        </w:tc>
        <w:tc>
          <w:tcPr>
            <w:tcW w:w="20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Received/Transferred</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2018</w:t>
            </w:r>
          </w:p>
        </w:tc>
      </w:tr>
      <w:tr>
        <w:trPr>
          <w:trHeight w:val="412"/>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Homesite sales receivable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 Settlement Receivable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settlement amount of $2.7 million related to the Deepwater Horizon oil spill is due in October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Notes receivable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r>
      <w:tr>
        <w:trPr>
          <w:trHeight w:val="182"/>
        </w:trPr>
        <w:tc>
          <w:tcPr>
            <w:tcW w:w="7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Interest bearing homebuilder note, secured by the real estate sold — 5.5% interest rate, due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June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w w:val="94"/>
              </w:rPr>
              <w:t>Pier Park Community Development District notes, non-interest bearing, due September 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Interest bearing note with a JV partner, secured by the partner's membership interest in the JV -</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8.0% interest rate, due May 2039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5"/>
              </w:rPr>
              <w:t>Interest bearing homebuilder note, secured by the real estate sold — 5.5% interest rate, due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September 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02"/>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Interest bearing homebuilder note, secured by the real estate sold — 5.5% interest rate, due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June 2020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02"/>
        </w:trPr>
        <w:tc>
          <w:tcPr>
            <w:tcW w:w="7000" w:type="dxa"/>
            <w:vAlign w:val="bottom"/>
          </w:tcPr>
          <w:p>
            <w:pPr>
              <w:spacing w:after="0" w:line="201" w:lineRule="exact"/>
              <w:rPr>
                <w:sz w:val="20"/>
                <w:szCs w:val="20"/>
                <w:color w:val="auto"/>
              </w:rPr>
            </w:pPr>
            <w:r>
              <w:rPr>
                <w:rFonts w:ascii="Arial" w:cs="Arial" w:eastAsia="Arial" w:hAnsi="Arial"/>
                <w:sz w:val="18"/>
                <w:szCs w:val="18"/>
                <w:color w:val="auto"/>
                <w:w w:val="95"/>
              </w:rPr>
              <w:t>Interest bearing homebuilder note, secured by the real estate sold — 6.3% interest rate, due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March 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9"/>
              </w:rPr>
              <w:t>Various mortgage notes, secured by certain real estate, bearing interest at various rates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7"/>
        </w:trPr>
        <w:tc>
          <w:tcPr>
            <w:tcW w:w="7000" w:type="dxa"/>
            <w:vAlign w:val="bottom"/>
          </w:tcPr>
          <w:p>
            <w:pPr>
              <w:ind w:left="120"/>
              <w:spacing w:after="0"/>
              <w:rPr>
                <w:sz w:val="20"/>
                <w:szCs w:val="20"/>
                <w:color w:val="auto"/>
              </w:rPr>
            </w:pPr>
            <w:r>
              <w:rPr>
                <w:rFonts w:ascii="Arial" w:cs="Arial" w:eastAsia="Arial" w:hAnsi="Arial"/>
                <w:sz w:val="18"/>
                <w:szCs w:val="18"/>
                <w:b w:val="1"/>
                <w:bCs w:val="1"/>
                <w:color w:val="auto"/>
              </w:rPr>
              <w:t>Total notes receivable</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w:t>
            </w:r>
          </w:p>
        </w:tc>
      </w:tr>
    </w:tbl>
    <w:p>
      <w:pPr>
        <w:spacing w:after="0" w:line="202"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Company evaluates the carrying value of the notes receivable and the need for an allowance for doubtful notes receivable at each reporting date. As of June 30, 2019 and December 31, 2018, there was no allowance for doubtful notes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Interest Investments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has a beneficial interest in certain bankruptcy-remote qualified SPEs used in the installment sale monetization of certain sales of timberlands in 2007 and 2008. The SPEs’ assets are not available to satisfy the Company’s liabilities or obligations and the liabilities of the SPEs are not the Company’s liabilities or obligations. Therefore, the SPEs’ assets and liabilities are not consolidated in the Company’s condensed consolidated financial statements as of June 30, 2019 and December 31, 2018. The Company’s continuing involvement with the SPEs is the receipt of the net interest payments and the remaining principal of approximately $16.7 million to be received at the end of the installment notes’ fifteen year maturity period, in 2022 through 2024. The Company has a beneficial or retained interest investment related to these SPEs of $11.9 million and $11.5 million as of June 30, 2019 and December 31, 2018, respectively, recorded in other assets on the Company’s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Real Estate Joint Ventures</w:t>
      </w:r>
    </w:p>
    <w:p>
      <w:pPr>
        <w:spacing w:after="0" w:line="22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Company enters into real estate JVs, from time to time, for the purpose of developing real estate in which the Company may or may not have a controlling financial interest. GAAP requires consolidation of VIEs in which an enterprise has a controlling financial interest and is the primary beneficiary. A controlling financial interest will have both of the following characteristics: (a) the power to direct the VIE activities that most significantly impact economic performance and</w:t>
      </w:r>
    </w:p>
    <w:p>
      <w:pPr>
        <w:spacing w:after="0" w:line="2" w:lineRule="exact"/>
        <w:rPr>
          <w:sz w:val="20"/>
          <w:szCs w:val="20"/>
          <w:color w:val="auto"/>
        </w:rPr>
      </w:pPr>
    </w:p>
    <w:p>
      <w:pPr>
        <w:ind w:right="220" w:firstLine="3"/>
        <w:spacing w:after="0" w:line="290"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obligation to absorb losses of the VIE that could potentially be significant to the VIE or the right to receive benefits from the VIE that could potentially be significant to the VIE. The Company examines specific criteria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uses judgment when determining whether the Company is the primary beneficiary and must consolidate a VIE. The Company continues to assess whether it is the primary beneficiary on an ongoing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Latitude Margaritaville Watersound JV</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LMWS, LLC (“Latitude Margaritaville Watersound JV”) was created in June 2019, when the Company entered into a JV agreement to develop a 55+ active adult residential community in Bay County, Florida. The JV parties are working together to develop the first phase of the community, which is anticipated to include 3,500 homes. The community will be located on land that will be contributed to the JV by the Company. As of June 30, 2019, the Company owned a 50.0% voting interest in the JV. Each JV member will initially contribute an equal amount of cash and the Company’s additional land contribution will be returned as each residential unit is sold by the JV until the cumulative distributions equal the land contribution value. The day-to-day activities of the JV will be managed through a board of managers, with each JV partner having equal voting rights. The Company has significant involvement in the design of the development and approves all major decisions, including project development, annual budgets and financing. As of June 30, 2019, Latitude Margaritaville Watersound JV did not have any activity and the Company is currently evaluating whether it is the VIE’s primary beneficiary.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Real Estate 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Watercrest JV</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Watercrest JV was created in May 2019, when the Company entered into a JV agreement to develop and operate a new assisted living and memory care community in Santa Rosa Beach, Florida. The JV parties are working together to develop and construct a 107 unit community. The community will be located on land that was contributed to the JV by the Company. As of June 30, 2019, the Company owned an 87.0% interest in the consolidated JV. The Company’s partner is responsible for the day-to-day activities of the JV. However, the Company has significant involvement in the design of the development and approves all major decisions, including project development, annual budgets and financing. The Company determined Watercrest JV is a VIE and that the Company is the VIE’s primary beneficiary as of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Origins Crossings JV</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Origins Crossings JV was created in January 2019, when the Company entered into a JV agreement to develop, manage and lease apartments in Watersound, Florida. The JV parties are working together to develop and construct a 217 unit apartment community. The community will be located on land near the entrance to the Watersound Origins community, which was contributed to the JV by the Company. As of June 30, 2019, the Company owned a 75.0% interest in the consolidated JV. The Company’s partner is responsible for the day-to-day activities of the JV. However, the Company has significant involvement in the design of the development and approves all major decisions, including project development, annual budgets and financing. The Company determined Origins Crossings JV is a VIE and that the Company is the VIE’s primary beneficiary as of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 Park Crossings JV</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April 2017, the Company entered into a JV agreement to develop, manage and lease apartments in Panama City Beach, Florida. The JV parties are working together to develop and construct a 240 unit apartment community. The community is located on land in the Pier Park area that was contributed to the JV by the Company. As of June 30, 2019 and December 31, 2018, the Company owned a 75.0% interest in the consolidated JV. The Company’s partner is responsible for the day-to-day activities of the JV. However, the Company has significant involvement in the design of the development and approves all major decisions, including project development, annual budgets and financing. The Company determined Pier Park Crossings JV is a VIE and that the Company is the VIE’s primary beneficiary as of June 30, 2019 and December 31, 2018.</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Windmark JV</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of June 30, 2019 and December 31, 2018, the Company owned a 49.0% interest in Windmark JV. A wholly owned subsidiary of the Company is the managing member of Windmark JV and runs its day-to-day operations. Windmark JV owns and its members make major decisions related to the management and development of the Windmark Beach project. The Company determined Windmark JV is a VIE and that the Company is the VIE’s primary beneficiary as of June 30, 2019 and December 31, 2018. On July 5, 2019, the Company repurchased the 51.0% equity interests in the Windmark JV from the two other members of the Windmark JV for a total consideration of $11.6 million and, as a result, the Company now owns 100.0% of the Windmark project.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 Park North JV</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2012, the Company entered into a JV agreement with a partner to develop a retail center at Pier Park North. As of June 30, 2019 and December 31, 2018, the Company owned a 60.0% interest in the consolidated JV. The Company’s partner is responsible for the day-to-day activities of the JV. However, the Company has significant involvement in the design of the development and approves all major decisions, including project development, annual budgets and financing. The Company determined the Pier Park North JV is a VIE and that the Company is the VIE’s primary beneficiary as of June 30, 2019 and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 Park TPS, LLC</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 xml:space="preserve">Pier Park TPS, LLC (“Pier Park TPS JV”) was created in April 2018, when the Company entered into a JV agreement to develop and operate a 124 room hotel in Panama City Beach, Florida. The hotel will be located on land in the Pier Park area that the Company contributed to the JV on January 14, 2019 with a fair value of $1.7 million. In addition, during the six months ended June 30, 2019, the Company contributed cash of $0.2 million and mitigation bank credits of $0.1 million. As of December 31, 2018, the Company had an investment in the JV project of $1.1 million that was contributed to the JV during the first quarter of 2019. As of June 30, 2019 and December 31, 2018, the investment in the unconsolidated JV was $3.1 million and $1.1 million, respectively, which is included in other assets on the condensed consolidated balance sheets. The hotel is currently under construction and the Company did not recognize any income or loss on this investment for the three and six months ended June 30, 2019. As of June 30, 2019 and December 31, 2018, the Company owned a 50.0% interest in the JV. The Company’s partner is responsible for the day-to-day activities of the JV. The Company has determined that Pier Park TPS JV is a VIE, but that the Company is not the primary beneficiary since it does not have the power to direct the activities that most significantly impact the economic performance of the JV. The Company’s investment in Pier Park TPS JV is accounted for using the equity method. See Note 18.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information related to debt guaranteed by the Company.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financial information for Pier Park TPS JV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Investment in real estate</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7,589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assets</w:t>
            </w:r>
          </w:p>
        </w:tc>
        <w:tc>
          <w:tcPr>
            <w:tcW w:w="3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Arial" w:cs="Arial" w:eastAsia="Arial" w:hAnsi="Arial"/>
                <w:sz w:val="18"/>
                <w:szCs w:val="18"/>
                <w:b w:val="1"/>
                <w:bCs w:val="1"/>
                <w:color w:val="auto"/>
              </w:rPr>
              <w:t>Total liabilities and equity</w:t>
            </w:r>
          </w:p>
        </w:tc>
        <w:tc>
          <w:tcPr>
            <w:tcW w:w="38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860" w:type="dxa"/>
            <w:vAlign w:val="bottom"/>
          </w:tcPr>
          <w:p>
            <w:pPr>
              <w:jc w:val="right"/>
              <w:ind w:right="24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Net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consists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Unamortized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Unamortized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Discount and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Discount and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Debt Issuance</w:t>
            </w:r>
          </w:p>
        </w:tc>
        <w:tc>
          <w:tcPr>
            <w:tcW w:w="160" w:type="dxa"/>
            <w:vAlign w:val="bottom"/>
          </w:tcPr>
          <w:p>
            <w:pPr>
              <w:spacing w:after="0"/>
              <w:rPr>
                <w:sz w:val="12"/>
                <w:szCs w:val="12"/>
                <w:color w:val="auto"/>
              </w:rPr>
            </w:pPr>
          </w:p>
        </w:tc>
        <w:tc>
          <w:tcPr>
            <w:tcW w:w="7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PPN JV Loan, due November 2025, bearing</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at 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$ 45,973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$ 45,560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$ 46,423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$ 45,977</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w w:val="97"/>
              </w:rPr>
              <w:t>Pier Park Crossings JV Loan, insured by HUD,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due June 2060, bearing interest at 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24,636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15,399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Community Development District debt, secured</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by certain real estate or other collateral, due May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2"/>
              </w:rPr>
              <w:t>2023 through May 2039, bearing interest at 3.6%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 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Pier Park Outparcel Construction Loan, due</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March 2027, bearing interest at LIBOR plus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w w:val="98"/>
              </w:rPr>
              <w:t>1.7% (effective rate of 4.1% at June 30,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1,547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WaterColor Crossings Construction Loan, due</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8"/>
              </w:rPr>
              <w:t>February 2029, bearing interest at LIBOR plus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8"/>
              </w:rPr>
              <w:t>1.7% (effective rate of 4.1% at June 30, 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Beach Homes Loan, due May 2029, bearing</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at LIBOR plus 1.7% (effective rate of</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4.1% at June 30,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$ 81,818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$ 80,244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$ 70,976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$ 69,374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October 2015, the Pier Park North JV entered into a $48.2 million loan (the “PPN JV Loan”), secured by a first lien on, and security interest in, a majority of the Pier Park North JV’s property. In connection with the PPN JV Loan, the Company entered into a limited guarantee in favor of the lender, based on its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w:t>
      </w:r>
    </w:p>
    <w:p>
      <w:pPr>
        <w:spacing w:after="0" w:line="16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May 2018, the Pier Park Crossings JV entered into a $36.6 million loan, insured by the U.S. Department of Housing and Urban Development (“HUD”), to finance the construction of apartments in Panama City Beach, Florida (the “PPC JV Loan”). The PPC JV Loan provides for interest only payments during the first twenty-four months and monthly principal and interest payments thereafter through maturity in June 2060. The PPC JV Loan may not be prepaid prior to July 1, 2020. From July 1, 2020 through June 30, 2030, a prepayment premium is due to the lender of 1.0% - 10.0% of any prepaid principal. The PPC JV Loan is secured by the Pier Park Crossings JV’s real property and the assignment of rents and leases.</w:t>
      </w:r>
    </w:p>
    <w:p>
      <w:pPr>
        <w:spacing w:after="0" w:line="16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Community Development District (“CDD”) bonds financed the construction of infrastructure improvements at some of the Company’s communities. The principal and interest payments on the bonds are paid by assessments on the properties benefited by the improvements financed by the bonds. The Company has recorded a liability for CDD debt that is associated with platted property, which is the point at which it becomes fixed or determinable. Additionally, the Company has recorded a liability for the portion of the CDD debt that is associated with unplatted property if it is probable and reasonably estimable that the Company will ultimately be responsible for repayment. The Company’s total CDD debt assigned to property it owns was $18.9 million and $19.9 million as of June 30, 2019 and December 31, 2018, respectively. The Company pays interest on this total outstanding CDD debt.</w:t>
      </w:r>
    </w:p>
    <w:p>
      <w:pPr>
        <w:spacing w:after="0" w:line="19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In March 2017, a wholly owned subsidiary of the Company entered into a $1.6 million construction loan to finance the construction of a commercial leasing property located in Panama City Beach, Florida (the “Pier Park Outparcel</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Construction Loan”). The Pier Park Outparcel Construction Loan provides for monthly principal and interest payments with a final balloon payment at maturity. The Pier Park Outparcel Construction Loan is secured by the real property, assignment of rents and the security interest in the rents and personal property.</w:t>
      </w:r>
    </w:p>
    <w:p>
      <w:pPr>
        <w:spacing w:after="0" w:line="18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In February 2018, a wholly owned subsidiary of the Company entered into a $1.9 million construction loan to finance the construction of a commercial leasing property located in Santa Rosa Beach, Florida (the “WaterColor Crossings Construction Loan”). The WaterColor Crossings Construction Loan provides for monthly principal and interest payments with a final balloon payment at maturity. The WaterColor Crossings Construction Loan is secured by the real property, assignment of rents and the security interest in the rents and personal property. In connection with the WaterColor Crossings Construction Loan, the Company executed a guarantee in favor of the lender to guarantee the payment and performance of the borrower under the WaterColor Crossings Construction Loan.</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May 2018, a wholly owned subsidiary of the Company entered into a $1.7 million construction loan to finance the construction of two beach homes located in Panama City Beach, Florida (the “Beach Homes Loan”). The Beach Homes Loan provides for monthly principal and interest payments with a final balloon payment at maturity. The Beach Homes Loan is secured by the real property, assignment of rents and the security interest in the rents and personal property. In connection with the Beach Homes Loan, the Company executed a guarantee in favor of the lender to guarantee the payment and performance of the borrower under the Beach Homes Loan.</w:t>
      </w:r>
    </w:p>
    <w:p>
      <w:pPr>
        <w:spacing w:after="0" w:line="193"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May 2019, the Origins Crossings JV entered into a $37.9 million loan the (“Origins Crossings JV Loan”) to finance the construction of apartments in Watersound, Florida. The Origins Crossings JV Loan provides for interest only payments for the first thirty months and principal and interest payments thereafter through maturity in May 2024. The Origins Crossings JV Loan is secured by the real property, assignment of rents and the security interest in the rents and personal property. In connection with the Origins Crossings JV Loan, the Company executed a guarantee in favor of the lender to guarantee the payment and performance of the borrower under the Origins Crossings JV Loan. The Company is the sole guarantor and will receive a fee related to the guarantee from its JV partner based on the JV partner’s ownership percentage. As of June 30, 2019, there was no principal balance and the JV incurred $0.5 million of loan costs related to the Origins Crossings JV Loan.</w:t>
      </w:r>
    </w:p>
    <w:p>
      <w:pPr>
        <w:spacing w:after="0" w:line="18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June 2019, the Watercrest JV entered into a $22.5 million loan the (“Watercrest JV Loan”) to finance the construction of a senior living facility in Santa Rosa Beach, Florida. The Watercrest JV Loan provides for interest only payments for the first thirty-six months and principal and interest payments thereafter through maturity in June 2047. The Watercrest JV Loan is secured by the real property, assignment of rents, leases and deposits and the security interest in the rents and personal property. In connection with the Watercrest JV Loan, the Company executed a guarantee in favor of the lender to guarantee the payment and performance of the borrower under the Watercrest JV Loan. The Company is the sole guarantor and will receive a fee related to the guarantee from its JV partner based on the JV partner’s ownership percentage. The Company entered into an interest rate swap to hedge cash flows tied to changes in the underlying floating interest rate tied to LIBOR. The interest rate swap is effective June 1, 2021 and matures on June 1, 2024 and fixed the variable rate debt on the notional amount of related debt of $20.0 million to a rate of 4.37%. As of June 30, 2019, there was no principal balance and the JV incurred $0.3 million of loan costs related to the Watercrest JV Loan.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aggregate maturities of debt subsequent to June 30, 2019, for the years ending December 31 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2020</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2022</w:t>
            </w:r>
          </w:p>
        </w:tc>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72,645</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81,818</w:t>
            </w:r>
          </w:p>
        </w:tc>
        <w:tc>
          <w:tcPr>
            <w:tcW w:w="900" w:type="dxa"/>
            <w:vAlign w:val="bottom"/>
          </w:tcPr>
          <w:p>
            <w:pPr>
              <w:spacing w:after="0"/>
              <w:rPr>
                <w:sz w:val="19"/>
                <w:szCs w:val="19"/>
                <w:color w:val="auto"/>
              </w:rPr>
            </w:pPr>
          </w:p>
        </w:tc>
      </w:tr>
      <w:tr>
        <w:trPr>
          <w:trHeight w:val="865"/>
        </w:trPr>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160" w:type="dxa"/>
            <w:vAlign w:val="bottom"/>
          </w:tcPr>
          <w:p>
            <w:pPr>
              <w:jc w:val="right"/>
              <w:ind w:right="251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Liabilities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liabilities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Finance lease liability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17,478</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Club initiation fees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Club membership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16"/>
        </w:trPr>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interest expense for Senior Notes held by SPE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r>
      <w:tr>
        <w:trPr>
          <w:trHeight w:val="21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other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58,758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47,387</w:t>
            </w:r>
          </w:p>
        </w:tc>
      </w:tr>
    </w:tbl>
    <w:p>
      <w:pPr>
        <w:spacing w:after="0" w:line="20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Other accrued liabilities include $2.3 million of accrued property taxes as of June 30, 2019, which are generally paid annually in November. As of December 31, 2018 the Company had no accrued property taxes.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Deferred revenue as of June 30, 2019 and December 31, 2018 includes $12.5 million related to a 2006 agreement pursuant to which the Company agreed to sell land to the Florida Department of Transportation. Revenue is recognized when title to a specific parcel is legally transferred.</w:t>
      </w:r>
    </w:p>
    <w:p>
      <w:pPr>
        <w:spacing w:after="0" w:line="18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Club initiation fees are recognized as revenue over the estimated average duration of membership, which is evaluated periodically. The following table presents the changes in club initiation fees related to contracts with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6"/>
                <w:szCs w:val="16"/>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Increases Due To</w:t>
            </w:r>
          </w:p>
        </w:tc>
        <w:tc>
          <w:tcPr>
            <w:tcW w:w="18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Decreases Due to</w:t>
            </w:r>
          </w:p>
        </w:tc>
        <w:tc>
          <w:tcPr>
            <w:tcW w:w="2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1"/>
        </w:trPr>
        <w:tc>
          <w:tcPr>
            <w:tcW w:w="290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January 1, 2019</w:t>
            </w:r>
          </w:p>
        </w:tc>
        <w:tc>
          <w:tcPr>
            <w:tcW w:w="2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Cash Received</w:t>
            </w:r>
          </w:p>
        </w:tc>
        <w:tc>
          <w:tcPr>
            <w:tcW w:w="1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 Recognized</w:t>
            </w:r>
          </w:p>
        </w:tc>
        <w:tc>
          <w:tcPr>
            <w:tcW w:w="2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Club initiation fees</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677"/>
        </w:trPr>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Increases Due To</w:t>
            </w:r>
          </w:p>
        </w:tc>
        <w:tc>
          <w:tcPr>
            <w:tcW w:w="18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Decreases Due to</w:t>
            </w:r>
          </w:p>
        </w:tc>
        <w:tc>
          <w:tcPr>
            <w:tcW w:w="2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01"/>
        </w:trPr>
        <w:tc>
          <w:tcPr>
            <w:tcW w:w="2900" w:type="dxa"/>
            <w:vAlign w:val="bottom"/>
            <w:vMerge w:val="restart"/>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January 1, 2018</w:t>
            </w:r>
          </w:p>
        </w:tc>
        <w:tc>
          <w:tcPr>
            <w:tcW w:w="2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Cash Received</w:t>
            </w:r>
          </w:p>
        </w:tc>
        <w:tc>
          <w:tcPr>
            <w:tcW w:w="1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 Recognized</w:t>
            </w:r>
          </w:p>
        </w:tc>
        <w:tc>
          <w:tcPr>
            <w:tcW w:w="2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96"/>
        </w:trPr>
        <w:tc>
          <w:tcPr>
            <w:tcW w:w="290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Club initiation fees</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Advance deposits consist of deposits received on hotel rooms and lodging rentals. Advance deposits are recorded as other liabilities in the condensed consolidated balance sheets without regard to whether they are refundable and are recognized as income at the time the service is provided for the related deposit.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Income tax expense benefit attributable to income from operations differed from the amount computed by applying the statutory federal income tax rate of 21% as of June 30, 2019 and 2018 to pre-tax income as a result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2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at the federal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2017 qualified timber gains at the federal statutory rate of 23.8%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Decrease in valuation allowance</w:t>
            </w: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(1,418)</w:t>
            </w: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(1,451)</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7"/>
        </w:trPr>
        <w:tc>
          <w:tcPr>
            <w:tcW w:w="57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6,298</w:t>
            </w:r>
          </w:p>
        </w:tc>
      </w:tr>
      <w:tr>
        <w:trPr>
          <w:trHeight w:val="108"/>
        </w:trPr>
        <w:tc>
          <w:tcPr>
            <w:tcW w:w="228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98" w:lineRule="exact"/>
        <w:rPr>
          <w:sz w:val="20"/>
          <w:szCs w:val="20"/>
          <w:color w:val="auto"/>
        </w:rPr>
      </w:pPr>
    </w:p>
    <w:p>
      <w:pPr>
        <w:ind w:left="320" w:right="80" w:hanging="317"/>
        <w:spacing w:after="0" w:line="305" w:lineRule="auto"/>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Bipartisan Budget Act of 2018 was signed into law on February 9, 2018 (the “2018 Act”). The 2018 Act retroactively re-established the preferential 23.8% tax rate on C Corporation Qualified Timber Gains, extending its applicability from 2016 to include the 2017 tax year. The benefit of this retroactive tax rate reduction is included in 2018 income from continuing operations.</w:t>
      </w:r>
    </w:p>
    <w:p>
      <w:pPr>
        <w:spacing w:after="0" w:line="17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Significant judgment is required in evaluating the Company's uncertain tax positions and determining its provision for income taxes. The Company regularly assesses the likelihood of adverse outcomes resulting from potential examinations to determine the adequacy of its provision for income taxes and applies a “more-likely-than-not” in determining the financial statement recognition and measurement of a tax position taken or expected to be taken in a tax return. The Company has not identified any unrecognized tax benefits as of either June 30, 2019 or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Following is a summary of the changes in the balances of accumulated other comprehensive loss, which is presented net of tax: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Unrealized Gain</w:t>
            </w:r>
          </w:p>
        </w:tc>
      </w:tr>
      <w:tr>
        <w:trPr>
          <w:trHeight w:val="149"/>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on Available-for-</w:t>
            </w:r>
          </w:p>
        </w:tc>
      </w:tr>
      <w:tr>
        <w:trPr>
          <w:trHeight w:val="17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Sale Securities</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 at December 31, 2018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r>
      <w:tr>
        <w:trPr>
          <w:trHeight w:val="210"/>
        </w:trPr>
        <w:tc>
          <w:tcPr>
            <w:tcW w:w="6000" w:type="dxa"/>
            <w:vAlign w:val="bottom"/>
          </w:tcPr>
          <w:p>
            <w:pPr>
              <w:ind w:left="12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r>
      <w:tr>
        <w:trPr>
          <w:trHeight w:val="23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 at June 30, 2019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r>
      <w:tr>
        <w:trPr>
          <w:trHeight w:val="419"/>
        </w:trPr>
        <w:tc>
          <w:tcPr>
            <w:tcW w:w="6940" w:type="dxa"/>
            <w:vAlign w:val="bottom"/>
            <w:gridSpan w:val="4"/>
          </w:tcPr>
          <w:p>
            <w:pPr>
              <w:ind w:left="320"/>
              <w:spacing w:after="0"/>
              <w:rPr>
                <w:sz w:val="20"/>
                <w:szCs w:val="20"/>
                <w:color w:val="auto"/>
              </w:rPr>
            </w:pPr>
            <w:r>
              <w:rPr>
                <w:rFonts w:ascii="Arial" w:cs="Arial" w:eastAsia="Arial" w:hAnsi="Arial"/>
                <w:sz w:val="18"/>
                <w:szCs w:val="18"/>
                <w:color w:val="auto"/>
                <w:w w:val="92"/>
              </w:rPr>
              <w:t>Following is a summary of the tax effects allocated to other comprehensive (loss) income: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3"/>
              </w:rPr>
              <w:t>Three Months Ended June 30, 2019</w:t>
            </w:r>
          </w:p>
        </w:tc>
      </w:tr>
      <w:tr>
        <w:trPr>
          <w:trHeight w:val="119"/>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Before-</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Tax Benefit or</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Net-of-</w:t>
            </w:r>
          </w:p>
        </w:tc>
        <w:tc>
          <w:tcPr>
            <w:tcW w:w="20" w:type="dxa"/>
            <w:vAlign w:val="bottom"/>
          </w:tcPr>
          <w:p>
            <w:pPr>
              <w:spacing w:after="0"/>
              <w:rPr>
                <w:sz w:val="10"/>
                <w:szCs w:val="10"/>
                <w:color w:val="auto"/>
              </w:rPr>
            </w:pPr>
          </w:p>
        </w:tc>
      </w:tr>
      <w:tr>
        <w:trPr>
          <w:trHeight w:val="17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Tax Amount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58"/>
              <w:spacing w:after="0"/>
              <w:rPr>
                <w:sz w:val="20"/>
                <w:szCs w:val="20"/>
                <w:color w:val="auto"/>
              </w:rPr>
            </w:pPr>
            <w:r>
              <w:rPr>
                <w:rFonts w:ascii="Arial" w:cs="Arial" w:eastAsia="Arial" w:hAnsi="Arial"/>
                <w:sz w:val="14"/>
                <w:szCs w:val="14"/>
                <w:b w:val="1"/>
                <w:bCs w:val="1"/>
                <w:color w:val="auto"/>
                <w:w w:val="89"/>
              </w:rPr>
              <w:t>(Expense)</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Tax Amount</w:t>
            </w: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Unrealized (loss) gain on investments - debt securities and restricted investments: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Unrealized loss on available-for-sale investments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restricted investments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unrealized loss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3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635"/>
        </w:trPr>
        <w:tc>
          <w:tcPr>
            <w:tcW w:w="6000" w:type="dxa"/>
            <w:vAlign w:val="bottom"/>
          </w:tcPr>
          <w:p>
            <w:pPr>
              <w:ind w:left="44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6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13"/>
          </w:tcPr>
          <w:p>
            <w:pPr>
              <w:jc w:val="center"/>
              <w:ind w:right="160"/>
              <w:spacing w:after="0"/>
              <w:rPr>
                <w:sz w:val="20"/>
                <w:szCs w:val="20"/>
                <w:color w:val="auto"/>
              </w:rPr>
            </w:pPr>
            <w:r>
              <w:rPr>
                <w:rFonts w:ascii="Arial" w:cs="Arial" w:eastAsia="Arial" w:hAnsi="Arial"/>
                <w:sz w:val="14"/>
                <w:szCs w:val="14"/>
                <w:b w:val="1"/>
                <w:bCs w:val="1"/>
                <w:color w:val="auto"/>
                <w:w w:val="93"/>
              </w:rPr>
              <w:t>Three Months Ended June 30, 2018</w:t>
            </w:r>
          </w:p>
        </w:tc>
      </w:tr>
      <w:tr>
        <w:trPr>
          <w:trHeight w:val="119"/>
        </w:trPr>
        <w:tc>
          <w:tcPr>
            <w:tcW w:w="22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Before-</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Tax (Expense) or</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rPr>
              <w:t>Net-of-</w:t>
            </w:r>
          </w:p>
        </w:tc>
        <w:tc>
          <w:tcPr>
            <w:tcW w:w="20" w:type="dxa"/>
            <w:vAlign w:val="bottom"/>
          </w:tcPr>
          <w:p>
            <w:pPr>
              <w:spacing w:after="0"/>
              <w:rPr>
                <w:sz w:val="10"/>
                <w:szCs w:val="10"/>
                <w:color w:val="auto"/>
              </w:rPr>
            </w:pPr>
          </w:p>
        </w:tc>
      </w:tr>
      <w:tr>
        <w:trPr>
          <w:trHeight w:val="171"/>
        </w:trPr>
        <w:tc>
          <w:tcPr>
            <w:tcW w:w="2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Tax 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Tax Amount</w:t>
            </w:r>
          </w:p>
        </w:tc>
      </w:tr>
      <w:tr>
        <w:trPr>
          <w:trHeight w:val="210"/>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gain on investments: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Unrealized gain on available-for-sale investments</w:t>
            </w:r>
          </w:p>
        </w:tc>
        <w:tc>
          <w:tcPr>
            <w:tcW w:w="26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adjustment for net gain included in earnings</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10"/>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unrealized gain</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r>
      <w:tr>
        <w:trPr>
          <w:trHeight w:val="594"/>
        </w:trPr>
        <w:tc>
          <w:tcPr>
            <w:tcW w:w="2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3"/>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2019</w:t>
            </w:r>
          </w:p>
        </w:tc>
      </w:tr>
      <w:tr>
        <w:trPr>
          <w:trHeight w:val="119"/>
        </w:trPr>
        <w:tc>
          <w:tcPr>
            <w:tcW w:w="22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Before-</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Tax</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rPr>
              <w:t>Net-of-</w:t>
            </w:r>
          </w:p>
        </w:tc>
        <w:tc>
          <w:tcPr>
            <w:tcW w:w="20" w:type="dxa"/>
            <w:vAlign w:val="bottom"/>
          </w:tcPr>
          <w:p>
            <w:pPr>
              <w:spacing w:after="0"/>
              <w:rPr>
                <w:sz w:val="10"/>
                <w:szCs w:val="10"/>
                <w:color w:val="auto"/>
              </w:rPr>
            </w:pPr>
          </w:p>
        </w:tc>
      </w:tr>
      <w:tr>
        <w:trPr>
          <w:trHeight w:val="171"/>
        </w:trPr>
        <w:tc>
          <w:tcPr>
            <w:tcW w:w="2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Tax 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Tax Amount</w:t>
            </w:r>
          </w:p>
        </w:tc>
      </w:tr>
      <w:tr>
        <w:trPr>
          <w:trHeight w:val="210"/>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Unrealized gain on investments - debt securities and restricted investments: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Unrealized gain on available-for-sale investments</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Unrealized gain on restricted investments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Reclassification adjustment for net loss included in earnings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0"/>
        </w:trPr>
        <w:tc>
          <w:tcPr>
            <w:tcW w:w="59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unrealized gain</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r>
      <w:tr>
        <w:trPr>
          <w:trHeight w:val="217"/>
        </w:trPr>
        <w:tc>
          <w:tcPr>
            <w:tcW w:w="59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r>
      <w:tr>
        <w:trPr>
          <w:trHeight w:val="581"/>
        </w:trPr>
        <w:tc>
          <w:tcPr>
            <w:tcW w:w="2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13"/>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2018</w:t>
            </w:r>
          </w:p>
        </w:tc>
      </w:tr>
      <w:tr>
        <w:trPr>
          <w:trHeight w:val="119"/>
        </w:trPr>
        <w:tc>
          <w:tcPr>
            <w:tcW w:w="22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Before-</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Tax Benefit or</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rPr>
              <w:t>Net-of-</w:t>
            </w:r>
          </w:p>
        </w:tc>
        <w:tc>
          <w:tcPr>
            <w:tcW w:w="20" w:type="dxa"/>
            <w:vAlign w:val="bottom"/>
          </w:tcPr>
          <w:p>
            <w:pPr>
              <w:spacing w:after="0"/>
              <w:rPr>
                <w:sz w:val="10"/>
                <w:szCs w:val="10"/>
                <w:color w:val="auto"/>
              </w:rPr>
            </w:pPr>
          </w:p>
        </w:tc>
      </w:tr>
      <w:tr>
        <w:trPr>
          <w:trHeight w:val="171"/>
        </w:trPr>
        <w:tc>
          <w:tcPr>
            <w:tcW w:w="2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Tax 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(Expense)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Tax Amount</w:t>
            </w:r>
          </w:p>
        </w:tc>
      </w:tr>
      <w:tr>
        <w:trPr>
          <w:trHeight w:val="210"/>
        </w:trPr>
        <w:tc>
          <w:tcPr>
            <w:tcW w:w="5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Unrealized loss on investments - debt securities and restricted investments:</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Unrealized loss on available-for-sale investments</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(482)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Unrealized loss on restricted investments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Reclassification adjustment for net loss included in earnings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18"/>
                <w:szCs w:val="18"/>
                <w:color w:val="auto"/>
              </w:rPr>
            </w:pPr>
          </w:p>
        </w:tc>
      </w:tr>
      <w:tr>
        <w:trPr>
          <w:trHeight w:val="202"/>
        </w:trPr>
        <w:tc>
          <w:tcPr>
            <w:tcW w:w="5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Reclassification adjustment for other-than-temporary impairment loss included in</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 xml:space="preserve">Reclassification into retained earnings for the adoption of ASU 2016-01 </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Reclassification into retained earnings for the adoption of ASU 2018-02 </w:t>
            </w:r>
            <w:r>
              <w:rPr>
                <w:rFonts w:ascii="Arial" w:cs="Arial" w:eastAsia="Arial" w:hAnsi="Arial"/>
                <w:sz w:val="8"/>
                <w:szCs w:val="8"/>
                <w:color w:val="auto"/>
              </w:rPr>
              <w:t>(2)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r>
      <w:tr>
        <w:trPr>
          <w:trHeight w:val="210"/>
        </w:trPr>
        <w:tc>
          <w:tcPr>
            <w:tcW w:w="5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unrealized gain</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98" w:lineRule="exact"/>
        <w:rPr>
          <w:sz w:val="20"/>
          <w:szCs w:val="20"/>
          <w:color w:val="auto"/>
        </w:rPr>
      </w:pPr>
    </w:p>
    <w:p>
      <w:pPr>
        <w:jc w:val="both"/>
        <w:ind w:left="320" w:right="100" w:hanging="317"/>
        <w:spacing w:after="0" w:line="204" w:lineRule="exact"/>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reclassification into retained earnings relates to the adoption of ASU 2016</w:t>
      </w:r>
      <w:r>
        <w:rPr>
          <w:rFonts w:ascii="MS PGothic" w:cs="MS PGothic" w:eastAsia="MS PGothic" w:hAnsi="MS PGothic"/>
          <w:sz w:val="16"/>
          <w:szCs w:val="16"/>
          <w:color w:val="auto"/>
        </w:rPr>
        <w:t>‑</w:t>
      </w:r>
      <w:r>
        <w:rPr>
          <w:rFonts w:ascii="Arial" w:cs="Arial" w:eastAsia="Arial" w:hAnsi="Arial"/>
          <w:sz w:val="16"/>
          <w:szCs w:val="16"/>
          <w:color w:val="auto"/>
        </w:rPr>
        <w:t>01. The new guidance was effective January 1, 2018, and required equity investments to be measured at fair value with changes in fair value recognized in results of operations rather than the condensed consolidated statements of comprehensive income.</w:t>
      </w:r>
    </w:p>
    <w:p>
      <w:pPr>
        <w:spacing w:after="0" w:line="2" w:lineRule="exact"/>
        <w:rPr>
          <w:rFonts w:ascii="Arial" w:cs="Arial" w:eastAsia="Arial" w:hAnsi="Arial"/>
          <w:sz w:val="16"/>
          <w:szCs w:val="16"/>
          <w:color w:val="auto"/>
        </w:rPr>
      </w:pPr>
    </w:p>
    <w:p>
      <w:pPr>
        <w:jc w:val="both"/>
        <w:ind w:left="320" w:right="100" w:hanging="317"/>
        <w:spacing w:after="0" w:line="203" w:lineRule="exact"/>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reclassification into retained earnings relates to the adoption of ASU 2018</w:t>
      </w:r>
      <w:r>
        <w:rPr>
          <w:rFonts w:ascii="MS PGothic" w:cs="MS PGothic" w:eastAsia="MS PGothic" w:hAnsi="MS PGothic"/>
          <w:sz w:val="16"/>
          <w:szCs w:val="16"/>
          <w:color w:val="auto"/>
        </w:rPr>
        <w:t>‑</w:t>
      </w:r>
      <w:r>
        <w:rPr>
          <w:rFonts w:ascii="Arial" w:cs="Arial" w:eastAsia="Arial" w:hAnsi="Arial"/>
          <w:sz w:val="16"/>
          <w:szCs w:val="16"/>
          <w:color w:val="auto"/>
        </w:rPr>
        <w:t>02. The new guidance was effective January 1, 2018, and allowed a reclassification from accumulated other comprehensive loss to retained earnings for stranded tax effects resulting from the Tax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Company’s Board has approved a stock repurchase program (the “Stock Repurchase Program”) pursuant to which the Company is authorized to repurchase shares of its common stock. The Stock Repurchase Program has no expiration date.</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During the six months ended June 30, 2019 and 2018, the Company repurchased 471,500 and 4,065,160 shares, respectively, of its common stock at an average purchase price of $15.00 and $17.82, per share, respectively, for an aggregate purchase price of $7.1 million and $72.5 million, respectively, pursuant to its Stock Repurchase Program. No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shares were repurchased during the three months ended June 30, 2019. As of June 30, 2019, the Company had a total authority of $35.8 million available for purchase of shares of its common stock pursuant to its Stock Repurchase Program. The Company may repurchase its common stock in open market purchases from time to time, in privately negotiated transactions or otherwise, pursuant to Rule 10b</w:t>
      </w:r>
      <w:r>
        <w:rPr>
          <w:rFonts w:ascii="MS PGothic" w:cs="MS PGothic" w:eastAsia="MS PGothic" w:hAnsi="MS PGothic"/>
          <w:sz w:val="17"/>
          <w:szCs w:val="17"/>
          <w:color w:val="auto"/>
        </w:rPr>
        <w:t>‑</w:t>
      </w:r>
      <w:r>
        <w:rPr>
          <w:rFonts w:ascii="Arial" w:cs="Arial" w:eastAsia="Arial" w:hAnsi="Arial"/>
          <w:sz w:val="17"/>
          <w:szCs w:val="17"/>
          <w:color w:val="auto"/>
        </w:rPr>
        <w:t>18 under the Securities Exchange Act of 1934, as amended (the “Exchange Act”). The timing and amount of any additional shares to be repurchased will depend upon a variety of factors, including market and business conditions. Repurchases may be commenced or suspended at any time or from time to time without prior notice. The Stock Repurchase Program will continue until otherwise modified or terminated by the Company’s Board at any time in its sole discretion.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Director’s Fees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May 20, 2019, the Company’s Board approved granting to each non-employee director an equity grant with an aggregate fair market value of $50,000 or, at the director’s election, its cash equivalent. On July 1, 2019, 5,708 shares of restricted stock were granted to two of the Company’s directors pursuant to the Board’s May 20, 2019 approval and the Company’s 2015 Performance and Equity Incentive Plan (the “2015 Plan”). This restricted stock will vest on the date of the Company’s 2020 Annual Meeting of Shareholders. Two non-employee directors elected to receive cash in lieu of the stock, which was paid in July 2019.</w:t>
      </w:r>
    </w:p>
    <w:p>
      <w:pPr>
        <w:spacing w:after="0" w:line="193"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On May 23, 2018, the Company’s Board approved granting to each non-employee director an equity grant with an aggregate fair market value of $50,000 or, at the director’s election, its cash equivalent. On July 2, 2018, 2,778 shares of restricted stock were granted to one of the Company’s directors pursuant to the Board’s May 23, 2018 approval and the Company’s 2015 Plan. This restricted stock vested on May 20, 2019, the date of the Company’s 2019 Annual Meeting of Shareholders. Three non-employee directors elected to receive cash in lieu of the stock.</w:t>
      </w:r>
    </w:p>
    <w:p>
      <w:pPr>
        <w:spacing w:after="0" w:line="173" w:lineRule="exact"/>
        <w:rPr>
          <w:sz w:val="20"/>
          <w:szCs w:val="20"/>
          <w:color w:val="auto"/>
        </w:rPr>
      </w:pPr>
    </w:p>
    <w:p>
      <w:pPr>
        <w:ind w:right="320" w:firstLine="324"/>
        <w:spacing w:after="0" w:line="276" w:lineRule="auto"/>
        <w:rPr>
          <w:sz w:val="20"/>
          <w:szCs w:val="20"/>
          <w:color w:val="auto"/>
        </w:rPr>
      </w:pPr>
      <w:r>
        <w:rPr>
          <w:rFonts w:ascii="Arial" w:cs="Arial" w:eastAsia="Arial" w:hAnsi="Arial"/>
          <w:sz w:val="17"/>
          <w:szCs w:val="17"/>
          <w:color w:val="auto"/>
        </w:rPr>
        <w:t>On May 25, 2017, the Company’s Board approved granting to each non-employee director an equity grant with an aggregate fair market value of $50,000 or, at the director’s election, its cash equivalent. On July 3, 2017, 5,334 shares of restricted stock were granted to two of the Company’s directors pursuant to the Board’s May 25, 2017 approval and the Company’s 2015 Plan. This restricted stock vested on May 23, 2018, the date of the Company’s 2018 Annual Meeting of Shareholders. Four non-employee directors elected to receive cash in lieu of the stock.</w:t>
      </w:r>
    </w:p>
    <w:p>
      <w:pPr>
        <w:spacing w:after="0" w:line="17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each of the three and six months ended June 30, 2019 and 2018, the Company recorded expense of less than $0.1 million, related to restricted stock awards to the Company’s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Officer Compensation</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Pursuant to the Company’s 2015 Plan, the Company’s named executive officers (“NEOs”) were provided with the opportunity to elect to receive up to 50% of their discretionary cash incentive award for 2017 performance in shares of Company stock and four of the Company’s NEOs elected to do so. On March 15, 2018, 9,956 shares, net of shares withheld for taxes, of restricted stock were granted to four of the Company’s NEOs. The restricted stock vested immediately. For the six months ended June 30, 2018, the Company recorded expense of $0.2 million related to restricted stock awards to the Company’s NEOs.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Revenue Recognition</w:t>
      </w:r>
    </w:p>
    <w:p>
      <w:pPr>
        <w:spacing w:after="0" w:line="229"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Revenue consists primarily of real estate sales, hospitality operations, leasing operations, and timber sales. Taxes collected from customers and remitted to governmental authorities (e.g., sales tax) are excluded from revenue, costs and expenses. The following represents revenue disaggregated by segment, good or service and timing: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5"/>
              </w:rPr>
              <w:t>Three Months Ended June 30, 2019</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Leasing</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Sales</w:t>
            </w:r>
          </w:p>
        </w:tc>
        <w:tc>
          <w:tcPr>
            <w:tcW w:w="18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Forestry</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 by Major Good/Service: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Real estate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Leasing revenue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Timing of Revenue Recognition: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Recognized over time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Over lease term</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5"/>
              </w:rPr>
              <w:t>Three Months Ended June 30, 2018</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Leasing</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Sales</w:t>
            </w:r>
          </w:p>
        </w:tc>
        <w:tc>
          <w:tcPr>
            <w:tcW w:w="18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Forestry</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 by Major Good/Service: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 xml:space="preserve">Real estate revenue </w:t>
            </w:r>
            <w:r>
              <w:rPr>
                <w:rFonts w:ascii="Arial" w:cs="Arial" w:eastAsia="Arial" w:hAnsi="Arial"/>
                <w:sz w:val="8"/>
                <w:szCs w:val="8"/>
                <w:color w:val="auto"/>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28,724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Leasing revenue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Timing of Revenue Recognition: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Recognized over time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Over lease term</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320" w:hanging="317"/>
        <w:spacing w:after="0" w:line="274"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7"/>
          <w:szCs w:val="17"/>
          <w:color w:val="auto"/>
        </w:rPr>
        <w:t>Residential real estate includes revenue of $23.1 million for the three months ended June 30, 2018 for a one-time receipt of RiverTown impact fees related to the 2014 RiverTown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Leasing</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Sales</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Forestry</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 by Major Good/Service: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Real estate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Leasing revenue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Timing of Revenue Recognition: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Recognized over time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Over lease term</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51,570</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Six Months Ended June 30, 2018</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Leasing</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Hospitality</w:t>
            </w:r>
          </w:p>
        </w:tc>
        <w:tc>
          <w:tcPr>
            <w:tcW w:w="16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 Sales</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Forestry</w:t>
            </w:r>
          </w:p>
        </w:tc>
        <w:tc>
          <w:tcPr>
            <w:tcW w:w="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 by Major Good/Service: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 xml:space="preserve">Real estate revenue </w:t>
            </w:r>
            <w:r>
              <w:rPr>
                <w:rFonts w:ascii="Arial" w:cs="Arial" w:eastAsia="Arial" w:hAnsi="Arial"/>
                <w:sz w:val="8"/>
                <w:szCs w:val="8"/>
                <w:color w:val="auto"/>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35,682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Leasing revenue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Timing of Revenue Recognition: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Recognized at a point in time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00"/>
              <w:spacing w:after="0"/>
              <w:rPr>
                <w:sz w:val="20"/>
                <w:szCs w:val="20"/>
                <w:color w:val="auto"/>
              </w:rPr>
            </w:pPr>
            <w:r>
              <w:rPr>
                <w:rFonts w:ascii="Arial" w:cs="Arial" w:eastAsia="Arial" w:hAnsi="Arial"/>
                <w:sz w:val="18"/>
                <w:szCs w:val="18"/>
                <w:color w:val="auto"/>
              </w:rPr>
              <w:t>Recognized over time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Over lease term</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460" w:hanging="317"/>
        <w:spacing w:after="0" w:line="274"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7"/>
          <w:szCs w:val="17"/>
          <w:color w:val="auto"/>
        </w:rPr>
        <w:t>Residential real estate includes revenue of $23.1 million for the six months ended June 30, 2018 for a one-time receipt of RiverTown impact fees related to the 2014 RiverTown transaction.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Income (Expense)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(expense)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Interest and dividend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2,342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4,115</w:t>
            </w:r>
          </w:p>
        </w:tc>
        <w:tc>
          <w:tcPr>
            <w:tcW w:w="8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5,222</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Accretion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Net realized loss on the sale of investments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(1,086)</w:t>
            </w: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Other-than-temporary impairment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Unrealized (loss) gain on investments, net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(1,915)</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from investments in SPEs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accrued on notes receivable and other interest</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CCEEFF"/>
            </w:tcBorders>
          </w:tcPr>
          <w:p>
            <w:pPr>
              <w:spacing w:after="0"/>
              <w:rPr>
                <w:sz w:val="18"/>
                <w:szCs w:val="18"/>
                <w:color w:val="auto"/>
              </w:rPr>
            </w:pPr>
          </w:p>
        </w:tc>
      </w:tr>
      <w:tr>
        <w:trPr>
          <w:trHeight w:val="210"/>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 income, net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4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Interest expense and amortization of discount and issuance costs for Senior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issued by SPE</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(4,399)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(4,393)</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Other interest expense</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(1,586)</w:t>
            </w:r>
          </w:p>
        </w:tc>
      </w:tr>
      <w:tr>
        <w:trPr>
          <w:trHeight w:val="210"/>
        </w:trPr>
        <w:tc>
          <w:tcPr>
            <w:tcW w:w="57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(5,966)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land contribution to equity method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Accretion income from retained interest investments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proceeds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Hurricane expense</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(805)</w:t>
            </w:r>
          </w:p>
        </w:tc>
        <w:tc>
          <w:tcPr>
            <w:tcW w:w="1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0"/>
        </w:trPr>
        <w:tc>
          <w:tcPr>
            <w:tcW w:w="5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40" w:type="dxa"/>
            <w:vAlign w:val="bottom"/>
            <w:tcBorders>
              <w:bottom w:val="single" w:sz="8" w:color="CCEEFF"/>
            </w:tcBorders>
          </w:tcPr>
          <w:p>
            <w:pPr>
              <w:spacing w:after="0"/>
              <w:rPr>
                <w:sz w:val="18"/>
                <w:szCs w:val="18"/>
                <w:color w:val="auto"/>
              </w:rPr>
            </w:pPr>
          </w:p>
        </w:tc>
      </w:tr>
      <w:tr>
        <w:trPr>
          <w:trHeight w:val="217"/>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other income,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4,187</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Interest and dividend income includes interest income accrued or received on the Company’s corporate debt securities, commercial paper and money market funds, and dividend income received from the Company’s investment in preferred stock. Accretion income includes the amortization of the premium or accretion of discount related to the Company’s available-for-sale securities, which is amortized based on an effective interest rate method over the term of the available-for-sale securities. Net realized loss on the sale of investments include the gains or losses recognized on the sale of available-for-sale securities prior to maturity. Other-than-temporary impairment loss includes impairments related to the Company’s corporate debt securities for the six months ended June 30, 2018. Unrealized (loss) gain on investments, net includes unrealized gains or losses on investments - equity securities.</w:t>
      </w:r>
    </w:p>
    <w:p>
      <w:pPr>
        <w:spacing w:after="0" w:line="17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income from investments in SPEs primarily includes interest earned on the investments held by Panama City Timber Finance Company, LLC, which is used to pay the interest expense for Senior Notes held by Northwest Florida Timber Finance,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Interest expense includes interest incurred related to the Company’s CDD debt, Senior Notes issued by Northwest Florida Timber Finance, LLC, project financing and finance leases. Borrowing costs, including the discount and issuance costs for the Senior Notes issued by Northwest Florida Timber Finance, LLC, are amortized based on the effective interest method at an effective rate of 4.9%.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859" w:firstLine="324"/>
        <w:spacing w:after="0" w:line="291" w:lineRule="auto"/>
        <w:rPr>
          <w:sz w:val="20"/>
          <w:szCs w:val="20"/>
          <w:color w:val="auto"/>
        </w:rPr>
      </w:pPr>
      <w:r>
        <w:rPr>
          <w:rFonts w:ascii="Arial" w:cs="Arial" w:eastAsia="Arial" w:hAnsi="Arial"/>
          <w:sz w:val="16"/>
          <w:szCs w:val="16"/>
          <w:color w:val="auto"/>
        </w:rPr>
        <w:t>Other income, net primarily includes gain on land contribution, income from the Company’s retained interest investments, insurance proceeds, hurricane expenses and other income and expense items. The six months ended</w:t>
      </w:r>
    </w:p>
    <w:p>
      <w:pPr>
        <w:ind w:right="79"/>
        <w:spacing w:after="0" w:line="271" w:lineRule="auto"/>
        <w:rPr>
          <w:sz w:val="20"/>
          <w:szCs w:val="20"/>
          <w:color w:val="auto"/>
        </w:rPr>
      </w:pPr>
      <w:r>
        <w:rPr>
          <w:rFonts w:ascii="Arial" w:cs="Arial" w:eastAsia="Arial" w:hAnsi="Arial"/>
          <w:sz w:val="17"/>
          <w:szCs w:val="17"/>
          <w:color w:val="auto"/>
        </w:rPr>
        <w:t xml:space="preserve">June 30, 2019, include a gain of $1.5 million on land contributed to our unconsolidated Pier Park TPS JV. See Note 9, </w:t>
      </w:r>
      <w:r>
        <w:rPr>
          <w:rFonts w:ascii="Arial" w:cs="Arial" w:eastAsia="Arial" w:hAnsi="Arial"/>
          <w:sz w:val="17"/>
          <w:szCs w:val="17"/>
          <w:i w:val="1"/>
          <w:iCs w:val="1"/>
          <w:color w:val="auto"/>
        </w:rPr>
        <w:t>Real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Estate Joint Ventures </w:t>
      </w:r>
      <w:r>
        <w:rPr>
          <w:rFonts w:ascii="Arial" w:cs="Arial" w:eastAsia="Arial" w:hAnsi="Arial"/>
          <w:sz w:val="17"/>
          <w:szCs w:val="17"/>
          <w:color w:val="auto"/>
        </w:rPr>
        <w:t>for additional information. During the three and six months ended June 30, 2019,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received $3.8 million and $4.1 million, respectively, of insurance proceeds and incurred $0.8 million and $1.1 million, respectively, of hurricane expenses related to Hurricane Michael. See Note 6. </w:t>
      </w:r>
      <w:r>
        <w:rPr>
          <w:rFonts w:ascii="Arial" w:cs="Arial" w:eastAsia="Arial" w:hAnsi="Arial"/>
          <w:sz w:val="17"/>
          <w:szCs w:val="17"/>
          <w:i w:val="1"/>
          <w:iCs w:val="1"/>
          <w:color w:val="auto"/>
        </w:rPr>
        <w:t>Hurricane Michael</w:t>
      </w:r>
      <w:r>
        <w:rPr>
          <w:rFonts w:ascii="Arial" w:cs="Arial" w:eastAsia="Arial" w:hAnsi="Arial"/>
          <w:sz w:val="17"/>
          <w:szCs w:val="17"/>
          <w:color w:val="auto"/>
        </w:rPr>
        <w:t xml:space="preserve"> for additional information. These amounts were included in other income, net in the condensed consolidated statements of income.</w:t>
      </w:r>
    </w:p>
    <w:p>
      <w:pPr>
        <w:spacing w:after="0" w:line="179" w:lineRule="exact"/>
        <w:rPr>
          <w:sz w:val="20"/>
          <w:szCs w:val="20"/>
          <w:color w:val="auto"/>
        </w:rPr>
      </w:pPr>
    </w:p>
    <w:p>
      <w:pPr>
        <w:ind w:right="519" w:firstLine="324"/>
        <w:spacing w:after="0" w:line="277" w:lineRule="auto"/>
        <w:rPr>
          <w:sz w:val="20"/>
          <w:szCs w:val="20"/>
          <w:color w:val="auto"/>
        </w:rPr>
      </w:pPr>
      <w:r>
        <w:rPr>
          <w:rFonts w:ascii="Arial" w:cs="Arial" w:eastAsia="Arial" w:hAnsi="Arial"/>
          <w:sz w:val="18"/>
          <w:szCs w:val="18"/>
          <w:color w:val="auto"/>
        </w:rPr>
        <w:t>The Company records the accretion of investment income from its retained interest investment over the life of the retained interest using the effective yield method with rates ranging from 3.7% to 11.7%.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ind w:right="99" w:firstLine="324"/>
        <w:spacing w:after="0" w:line="277" w:lineRule="auto"/>
        <w:rPr>
          <w:sz w:val="20"/>
          <w:szCs w:val="20"/>
          <w:color w:val="auto"/>
        </w:rPr>
      </w:pPr>
      <w:r>
        <w:rPr>
          <w:rFonts w:ascii="Arial" w:cs="Arial" w:eastAsia="Arial" w:hAnsi="Arial"/>
          <w:sz w:val="18"/>
          <w:szCs w:val="18"/>
          <w:color w:val="auto"/>
        </w:rPr>
        <w:t>The Company conducts primarily all of its business in the following four operating segments: (1) residential real estate, (2) hospitality, (3) commercial leasing and sales and (4) forestry.</w:t>
      </w:r>
    </w:p>
    <w:p>
      <w:pPr>
        <w:spacing w:after="0" w:line="170" w:lineRule="exact"/>
        <w:rPr>
          <w:sz w:val="20"/>
          <w:szCs w:val="20"/>
          <w:color w:val="auto"/>
        </w:rPr>
      </w:pPr>
    </w:p>
    <w:p>
      <w:pPr>
        <w:ind w:right="39" w:firstLine="324"/>
        <w:spacing w:after="0" w:line="264"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each managed separately and decisions about allocations of resources are determined by management based on these strategic business units.</w:t>
      </w:r>
    </w:p>
    <w:p>
      <w:pPr>
        <w:spacing w:after="0" w:line="181" w:lineRule="exact"/>
        <w:rPr>
          <w:sz w:val="20"/>
          <w:szCs w:val="20"/>
          <w:color w:val="auto"/>
        </w:rPr>
      </w:pPr>
    </w:p>
    <w:p>
      <w:pPr>
        <w:ind w:right="59" w:firstLine="324"/>
        <w:spacing w:after="0" w:line="264" w:lineRule="auto"/>
        <w:rPr>
          <w:sz w:val="20"/>
          <w:szCs w:val="20"/>
          <w:color w:val="auto"/>
        </w:rPr>
      </w:pPr>
      <w:r>
        <w:rPr>
          <w:rFonts w:ascii="Arial" w:cs="Arial" w:eastAsia="Arial" w:hAnsi="Arial"/>
          <w:sz w:val="18"/>
          <w:szCs w:val="18"/>
          <w:color w:val="auto"/>
        </w:rPr>
        <w:t>The Company uses income before income taxes and non-controlling interest and other measures for purposes of making decisions about allocating resources to each segment and assessing each segment’s performance, which the Company believes represents current performance measures.</w:t>
      </w:r>
    </w:p>
    <w:p>
      <w:pPr>
        <w:spacing w:after="0" w:line="181" w:lineRule="exact"/>
        <w:rPr>
          <w:sz w:val="20"/>
          <w:szCs w:val="20"/>
          <w:color w:val="auto"/>
        </w:rPr>
      </w:pPr>
    </w:p>
    <w:p>
      <w:pPr>
        <w:ind w:right="159" w:firstLine="324"/>
        <w:spacing w:after="0" w:line="218" w:lineRule="exact"/>
        <w:rPr>
          <w:sz w:val="20"/>
          <w:szCs w:val="20"/>
          <w:color w:val="auto"/>
        </w:rPr>
      </w:pPr>
      <w:r>
        <w:rPr>
          <w:rFonts w:ascii="Arial" w:cs="Arial" w:eastAsia="Arial" w:hAnsi="Arial"/>
          <w:sz w:val="16"/>
          <w:szCs w:val="16"/>
          <w:color w:val="auto"/>
        </w:rPr>
        <w:t>The accounting policies of the segments are set forth in Note 2 to the Company’s consolidated financial statements contained in Item 15 of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Total revenue represents sales to unaffiliated customers, as reported in the Company’s condensed consolidated statements of income. All significant intercompany transactions have been eliminated in consolidation. The caption entitled “Other” under operating revenue consists of mitigation credit and title fee revenue. The caption entitled “Other” under income (loss) before income taxes consists of corporate operating expenses, net of corporate other income.</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by business segment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4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4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 xml:space="preserve">Residential real estate </w:t>
            </w:r>
            <w:r>
              <w:rPr>
                <w:rFonts w:ascii="Arial" w:cs="Arial" w:eastAsia="Arial" w:hAnsi="Arial"/>
                <w:sz w:val="8"/>
                <w:szCs w:val="8"/>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13,825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$ 28,755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17,187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$ 35,790</w:t>
            </w: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15,598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20,719</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Commercial leasing and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6,495</w:t>
            </w: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Forestry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8"/>
                <w:szCs w:val="8"/>
                <w:color w:val="auto"/>
              </w:rPr>
              <w:t>(b)</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2,505</w:t>
            </w:r>
          </w:p>
        </w:tc>
      </w:tr>
      <w:tr>
        <w:trPr>
          <w:trHeight w:val="217"/>
        </w:trPr>
        <w:tc>
          <w:tcPr>
            <w:tcW w:w="5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operating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35,546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$ 70,298</w:t>
            </w: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 xml:space="preserve">Residential real estate </w:t>
            </w:r>
            <w:r>
              <w:rPr>
                <w:rFonts w:ascii="Arial" w:cs="Arial" w:eastAsia="Arial" w:hAnsi="Arial"/>
                <w:sz w:val="8"/>
                <w:szCs w:val="8"/>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5,553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$ 24,957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$ 26,417</w:t>
            </w: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Commercial leasing and sales</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Forestry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1,228</w:t>
            </w:r>
          </w:p>
        </w:tc>
      </w:tr>
      <w:tr>
        <w:trPr>
          <w:trHeight w:val="217"/>
        </w:trPr>
        <w:tc>
          <w:tcPr>
            <w:tcW w:w="5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Consolidated income before income taxes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$ 32,614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$ 32,990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20" w:hanging="317"/>
        <w:spacing w:after="0" w:line="257"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7"/>
          <w:szCs w:val="17"/>
          <w:color w:val="auto"/>
        </w:rPr>
        <w:t>Includes revenue of $23.1 million for the three and six months ended June 30, 2018 for a one-time receipt of RiverTown impact fees related to the 2014 RiverTown transaction.</w:t>
      </w:r>
    </w:p>
    <w:p>
      <w:pPr>
        <w:ind w:left="320" w:right="120" w:hanging="317"/>
        <w:spacing w:after="0" w:line="257"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7"/>
          <w:szCs w:val="17"/>
          <w:color w:val="auto"/>
        </w:rPr>
        <w:t>Includes revenue of $2.2 million for the three and six months ended June 30, 2018 related to a specific sale of mitigation bank credits.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64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Residential real estate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137,530</w:t>
            </w: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125,642</w:t>
            </w: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70,746</w:t>
            </w:r>
          </w:p>
        </w:tc>
      </w:tr>
      <w:tr>
        <w:trPr>
          <w:trHeight w:val="216"/>
        </w:trPr>
        <w:tc>
          <w:tcPr>
            <w:tcW w:w="4640" w:type="dxa"/>
            <w:vAlign w:val="bottom"/>
          </w:tcPr>
          <w:p>
            <w:pPr>
              <w:ind w:left="120"/>
              <w:spacing w:after="0"/>
              <w:rPr>
                <w:sz w:val="20"/>
                <w:szCs w:val="20"/>
                <w:color w:val="auto"/>
              </w:rPr>
            </w:pPr>
            <w:r>
              <w:rPr>
                <w:rFonts w:ascii="Arial" w:cs="Arial" w:eastAsia="Arial" w:hAnsi="Arial"/>
                <w:sz w:val="18"/>
                <w:szCs w:val="18"/>
                <w:color w:val="auto"/>
              </w:rPr>
              <w:t>Commercial leasing and sales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205,238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182,658</w:t>
            </w:r>
          </w:p>
        </w:tc>
      </w:tr>
      <w:tr>
        <w:trPr>
          <w:trHeight w:val="216"/>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Forestry</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w:t>
            </w:r>
          </w:p>
        </w:tc>
      </w:tr>
      <w:tr>
        <w:trPr>
          <w:trHeight w:val="216"/>
        </w:trPr>
        <w:tc>
          <w:tcPr>
            <w:tcW w:w="4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458,639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471,727</w:t>
            </w:r>
          </w:p>
        </w:tc>
      </w:tr>
      <w:tr>
        <w:trPr>
          <w:trHeight w:val="21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2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870,962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establishes an accrued liability when it believes it is both probable that a material loss has been incurred and the amount of the loss can be reasonably estimated. The Company will evaluate the range of reasonably estimated losses and record an accrued liability based on what it believes to be the minimum amount in the range, unless it believes an amount within the range is a better estimate than any other amount. In such cases, there may be an exposure to loss in excess of the amounts accrued. The Company evaluates quarterly whether further developments could affect the amount of the accrued liability previously established or would make a loss contingency both probable and reasonably estimable.</w:t>
      </w:r>
    </w:p>
    <w:p>
      <w:pPr>
        <w:spacing w:after="0" w:line="16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also provides disclosure when it believes it is reasonably possible that a material loss will be incurred or when it believes it is reasonably possible that the amount of a loss will exceed the recorded liability. The Company reviews loss contingencies at least quarterly to determine whether the likelihood of loss has changed and to assess whether a reasonable estimate of the loss or range of loss can be made. This estimated range of possible losses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Company is subject to a variety of litigation, claims, other disputes and governmental proceedings that arise from time to time in the ordinary course of its business, including litigation related to its prior homebuilding and development activities. The Company cannot make assurances that it will be successful in defending these matters. Based on current knowledge, the Company does not believe that loss contingencies arising from pending litigation, claims, other disputes and governmental proceedings, including those described herein, will have a material adverse effect on the consolidated financial position or liquidity of the Company. However, in light of the inherent uncertainties involved in these matters, an adverse outcome in one or more of these matters could be material to the Company’s results of operations or cash flows for any particular reporting period.</w:t>
      </w:r>
    </w:p>
    <w:p>
      <w:pPr>
        <w:spacing w:after="0" w:line="19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is subject to costs arising out of environmental laws and regulations, which include obligations to remove or limit the effects on the environment of the disposal or release of certain wastes or substances at various sites, including sites which have been previously sold. It is the Company’s policy to accrue and charge against earnings environmental cleanup costs when it is probable that a liability has been incurred and a range of loss can be reasonably estimated. As assessments and cleanups proceed, these accruals are reviewed and adjusted, if necessary, as additional information becomes available. The Company is in the process of assessing certain properties in regard to the effects, if any, on the environment from the disposal or release of wastes or substances. Management is unable to quantify future rehabilitation costs above present accruals at this time or provide a reasonably estimated range of loss.</w:t>
      </w:r>
    </w:p>
    <w:p>
      <w:pPr>
        <w:spacing w:after="0" w:line="17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Other litigation, claims, disputes and governmental proceedings, including environmental matters, are pending against the Company. Accrued aggregate liabilities related to the matters described above and other litigation matters were $1.2 million as of each June 30, 2019 and December 31, 2018, respectively. Significant judgment is required in both the determination of probability and the determination as to whether the amount of an exposure is reasonably estimable. Due to uncertainties related to these matters, accruals are based only on the information available at the time. As additional information becomes available, management reassesses potential liabilities related to pending claims and litigation and may revise its previous estimates, which could materially affect the Company’s results of operations for any particular reporting period.</w:t>
      </w:r>
    </w:p>
    <w:p>
      <w:pPr>
        <w:spacing w:after="0" w:line="19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Company has retained certain self-insurance risks with respect to losses for third party liability and property damage, including its timber assets.</w:t>
      </w:r>
    </w:p>
    <w:p>
      <w:pPr>
        <w:spacing w:after="0" w:line="170"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At both June 30, 2019 and December 31, 2018, the Company was required to provide surety bonds that guarantee completion of certain infrastructure in certain development projects and mitigation banks of $9.4 million, which may potentially result in liability to the Company if certain obligations of the Company are not met.</w:t>
      </w:r>
    </w:p>
    <w:p>
      <w:pPr>
        <w:spacing w:after="0" w:line="16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As of June 30, 2019, the Company had a total of $96.9 million in construction and development related contractual obligations, of which a portion will be funded through committed financing arrangements.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January 2019, the Company’s unconsolidated Pier Park TPS JV, entered into a $14.4 million loan, maturing in January 2026 (the “Pier Park TPS JV Loan”). The Pier Park TPS JV Loan is secured by the real property, assignment of rents and the security interest in the rents and personal property. In connection with the Pier Park TPS JV Loan, the Company and a wholly owned subsidiary of the Company (the “Guarantor”) entered into a joint and several guarantee in favor of the lender, to guarantee the payment and performance of the borrower. The Guarantors’ liability under the Pier Park TPS JV Loan will be automatically reduced to 50.0%, or a further 25.0% of the outstanding principal balance upon reaching and maintaining certain debt service coverage. In addition, the guarantee can become full recourse in the case of the failure of Guarantor to abide by or perform any of the covenants or warranties to be performed on the part of such Guarantor; any sale, conveyance or transfer of the property; upon the filing or commencement of voluntary bankruptcy or insolvency proceedings; the entry of monetary judgement or assessment or the filing of any tax lien against either the borrower or Guarantor; and the dissolution of the borrower or Guarantor. As of June 30, 2019, there was no principal balance outstanding related to the Pier Park TPS JV Loan.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The statements in this discussion regarding industry outlook, our expectations regarding our future performance, liquidity and capital resources and other non-historical statements in this discussion are forward-looking statements. These forward-looking statements are subject to risks and uncertainties, including the risks and uncertainties described in “Forward-Looking Statements” below and “Risk Factors” on page 9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Our actual results may differ materially from those contained in or implied by any forward-looking statements. We assume no obligation to revise or publicly release any revision to any forward-looking statements contained in this quarterly report on Form 10-Q, unless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St. Joe is a real estate development, asset management and operating company with real estate assets and operations concentrated in Northwest Florida, which we predominantly use, or intend to use, for or in connection with, our various residential real estate developments, hospitality operations, commercial developments and leasing operations and our forestry operations.</w:t>
      </w:r>
    </w:p>
    <w:p>
      <w:pPr>
        <w:spacing w:after="0" w:line="18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have significant residential and commercial land-use entitlements in hand or in process. We actively seek higher and better uses for our real estate assets through a range of activities from strategic land planning and development, infrastructure improvements and promoting economic development in Northwest Florida. We may explore the sale of such assets opportunistically or when we believe that we or others can better deploy those resources.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a real estate development company, we seek to enhance the value of our real estate assets by undertaking targeted types of residential and commercial real estate development opportunities. These targeted opportunities are intended to meet market demand where historically we sold land for other developers to meet that market demand. As an operating company, we operate some of the finest hospitality assets that Northwest Florida has to offer. As an asset management company, we actively manage leasing operations and forestry operations to capture and enhance the value of our real estate assets. Approximately 90% of our real estate land holdings are located within fifteen miles of the Gulf of Mexico.</w:t>
      </w:r>
    </w:p>
    <w:p>
      <w:pPr>
        <w:spacing w:after="0" w:line="16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to use our land holdings, our cash and cash equivalents and investments to increase recurring revenue, while creating long-term value for our shareholders. We believe that our present liquidity position and our land holdings provide us with numerous opportunities to increase recurring revenue and create long-term value for our shareholders by allowing us to focus on our core business activity of real estate development and asset management.</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seek opportunities to invest our funds in ways that could increase our returns. These investments may include longer term commercial or residential real estate or real estate related investments (in which we may play an active or passive role), investments in real estate investment trusts and other investments in liquid or illiquid securities where we believe we can increase our returns.</w:t>
      </w:r>
    </w:p>
    <w:p>
      <w:pPr>
        <w:spacing w:after="0" w:line="18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Our real estate investment strategy focuses on projects that meet our investment return criteria. The time frame for these expenditures and investments will vary based on the type of project. However, our practice is to only incur such expenditures when our analysis indicates that a project will generate a return equal to or greater than the threshold return over its life.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conduct primarily all of our business in the following four reportable operating segments: (1) residential real estate,</w:t>
      </w:r>
    </w:p>
    <w:p>
      <w:pPr>
        <w:spacing w:after="0" w:line="46" w:lineRule="exact"/>
        <w:rPr>
          <w:sz w:val="20"/>
          <w:szCs w:val="20"/>
          <w:color w:val="auto"/>
        </w:rPr>
      </w:pPr>
    </w:p>
    <w:p>
      <w:pPr>
        <w:ind w:right="140" w:firstLine="3"/>
        <w:spacing w:after="0" w:line="290"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hospitality, (3) commercial leasing and sales and (4) forestry. Commencing in the fourth quarter of 2018, our previously titled “resorts and leisure” segment was retitled “hospitality,” with no effect on the condensed consolidated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balance sheets, statements of income, statements of comprehensive income or statements of cash flows for the periods presented.</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table sets forth the relative contribution of these operating segments to our consolidated operating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96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5"/>
              </w:rPr>
              <w:t>Three Months Ended</w:t>
            </w:r>
          </w:p>
        </w:tc>
        <w:tc>
          <w:tcPr>
            <w:tcW w:w="202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Revenue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 xml:space="preserve">Residential real estate </w:t>
            </w:r>
            <w:r>
              <w:rPr>
                <w:rFonts w:ascii="Arial" w:cs="Arial" w:eastAsia="Arial" w:hAnsi="Arial"/>
                <w:sz w:val="8"/>
                <w:szCs w:val="8"/>
                <w:color w:val="auto"/>
              </w:rPr>
              <w:t>(a)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38.9 %</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57.0 %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18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50.9 %</w:t>
            </w: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Hospitality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26.3 %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29.5 %</w:t>
            </w: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Commercial leasing and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6.6 %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8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9.2 %</w:t>
            </w:r>
          </w:p>
        </w:tc>
      </w:tr>
      <w:tr>
        <w:trPr>
          <w:trHeight w:val="216"/>
        </w:trPr>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Forestry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6.8 %</w:t>
            </w:r>
          </w:p>
        </w:tc>
      </w:tr>
      <w:tr>
        <w:trPr>
          <w:trHeight w:val="216"/>
        </w:trPr>
        <w:tc>
          <w:tcPr>
            <w:tcW w:w="5120" w:type="dxa"/>
            <w:vAlign w:val="bottom"/>
            <w:gridSpan w:val="2"/>
          </w:tcPr>
          <w:p>
            <w:pPr>
              <w:ind w:left="1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8"/>
                <w:szCs w:val="8"/>
                <w:color w:val="auto"/>
              </w:rPr>
              <w:t>(b)</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18"/>
                <w:szCs w:val="18"/>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4.5 %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3.6 %</w:t>
            </w:r>
          </w:p>
        </w:tc>
      </w:tr>
      <w:tr>
        <w:trPr>
          <w:trHeight w:val="217"/>
        </w:trPr>
        <w:tc>
          <w:tcPr>
            <w:tcW w:w="5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operating revenue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108"/>
        </w:trPr>
        <w:tc>
          <w:tcPr>
            <w:tcW w:w="228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90" w:lineRule="exact"/>
        <w:rPr>
          <w:sz w:val="20"/>
          <w:szCs w:val="20"/>
          <w:color w:val="auto"/>
        </w:rPr>
      </w:pPr>
    </w:p>
    <w:p>
      <w:pPr>
        <w:ind w:left="320" w:right="40" w:hanging="317"/>
        <w:spacing w:after="0" w:line="257"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7"/>
          <w:szCs w:val="17"/>
          <w:color w:val="auto"/>
        </w:rPr>
        <w:t>Includes revenue of $23.1 million for the three and six months ended June 30, 2018 for a one-time receipt of RiverTown impact fees related to the 2014 RiverTown transaction.</w:t>
      </w:r>
    </w:p>
    <w:p>
      <w:pPr>
        <w:ind w:left="320" w:right="500" w:hanging="317"/>
        <w:spacing w:after="0" w:line="257"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7"/>
          <w:szCs w:val="17"/>
          <w:color w:val="auto"/>
        </w:rPr>
        <w:t>Other includes mitigation bank credit sales and title fee revenue. For the three and six months ended June 30, 2018, other includes revenue of $2.2 million related to a specific sale of mitigation bank credits.</w:t>
      </w:r>
    </w:p>
    <w:p>
      <w:pPr>
        <w:spacing w:after="0" w:line="192"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 xml:space="preserve">For more information regarding our operating segments, see Note 17.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of our condensed consolidated financial statements included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Real Estate</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residential real estate segment typically plans and develops residential communities of various sizes across a wide range of price points and sells homesites to builders or retail consumers. From time to time, our residential real estate segment also evaluates opportunities to sell some of our hospitality properties.</w:t>
      </w:r>
    </w:p>
    <w:p>
      <w:pPr>
        <w:spacing w:after="0" w:line="18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Below is a description of some of our major residential development communities in Northwest Florida that we are in the process of planning or developing. As is true with all of our projects, the parcels of residential real estate which will actually be developed, including the number of homesites that will ultimately be approved for development in any residential development community, will depend on our development strategy, the extent to which the anticipated returns of the project meet our investment return criteria and the availability of capital resources to fund the development.</w:t>
      </w:r>
    </w:p>
    <w:p>
      <w:pPr>
        <w:spacing w:after="0" w:line="15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The Watersound Origins community </w:t>
      </w:r>
      <w:r>
        <w:rPr>
          <w:rFonts w:ascii="Arial" w:cs="Arial" w:eastAsia="Arial" w:hAnsi="Arial"/>
          <w:sz w:val="18"/>
          <w:szCs w:val="18"/>
          <w:color w:val="auto"/>
        </w:rPr>
        <w:t>is a large scale, mixed use community in South Walton County, Florida with direct</w:t>
      </w:r>
      <w:r>
        <w:rPr>
          <w:rFonts w:ascii="Arial" w:cs="Arial" w:eastAsia="Arial" w:hAnsi="Arial"/>
          <w:sz w:val="18"/>
          <w:szCs w:val="18"/>
          <w:i w:val="1"/>
          <w:iCs w:val="1"/>
          <w:color w:val="auto"/>
        </w:rPr>
        <w:t xml:space="preserve"> </w:t>
      </w:r>
      <w:r>
        <w:rPr>
          <w:rFonts w:ascii="Arial" w:cs="Arial" w:eastAsia="Arial" w:hAnsi="Arial"/>
          <w:sz w:val="18"/>
          <w:szCs w:val="18"/>
          <w:color w:val="auto"/>
        </w:rPr>
        <w:t>access to Lake Powell. As of June 30, 2019, 562 homesites are fully developed, of which 412 have sold. Currently 580 homesites are under site development, which will be completed in phases. As of June 30, 2019, we had 624 homesites under contract.</w:t>
      </w:r>
    </w:p>
    <w:p>
      <w:pPr>
        <w:spacing w:after="0" w:line="18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i w:val="1"/>
          <w:iCs w:val="1"/>
          <w:color w:val="auto"/>
        </w:rPr>
        <w:t xml:space="preserve">The Breakfast Point community </w:t>
      </w:r>
      <w:r>
        <w:rPr>
          <w:rFonts w:ascii="Arial" w:cs="Arial" w:eastAsia="Arial" w:hAnsi="Arial"/>
          <w:sz w:val="18"/>
          <w:szCs w:val="18"/>
          <w:color w:val="auto"/>
        </w:rPr>
        <w:t>is a residential community in Panama City Beach, Florida. The community has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approval for 369 single family homesites. As of June 30, 2019, 369 homesites are fully developed, of which 330 have sold. As of June 30, 2019, we had 39 homesites under contract with builders. Planning is currently in process to expand the Breakfast Point community to include an additional future phase.</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i w:val="1"/>
          <w:iCs w:val="1"/>
          <w:color w:val="auto"/>
        </w:rPr>
        <w:t xml:space="preserve">The Breakfast Point East community </w:t>
      </w:r>
      <w:r>
        <w:rPr>
          <w:rFonts w:ascii="Arial" w:cs="Arial" w:eastAsia="Arial" w:hAnsi="Arial"/>
          <w:sz w:val="17"/>
          <w:szCs w:val="17"/>
          <w:color w:val="auto"/>
        </w:rPr>
        <w:t>is a proposed residential community in Bay County, Florida adjacent to and east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Breakfast Point community. The community has received government approval for 1,760 single family homesites and 440 multi-family units. Engineering is currently in process for Phase 1 of Breakfast Point East.</w:t>
      </w:r>
    </w:p>
    <w:p>
      <w:pPr>
        <w:spacing w:after="0" w:line="1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The SouthWood community </w:t>
      </w:r>
      <w:r>
        <w:rPr>
          <w:rFonts w:ascii="Arial" w:cs="Arial" w:eastAsia="Arial" w:hAnsi="Arial"/>
          <w:sz w:val="18"/>
          <w:szCs w:val="18"/>
          <w:color w:val="auto"/>
        </w:rPr>
        <w:t>is a large scale, mixed use community located in Tallahassee, Florida. The community has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government approval for 4,770 residential homesites, which includes 2,074 single family and 2,696 multi-family. To date, 2,746 homesites are sold. Engineering is currently in process for 70 homesites. As of June 30, 2019, we had 70 homesites under contract with two builders.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i w:val="1"/>
          <w:iCs w:val="1"/>
          <w:color w:val="auto"/>
        </w:rPr>
        <w:t xml:space="preserve">The WindMark Beach community </w:t>
      </w:r>
      <w:r>
        <w:rPr>
          <w:rFonts w:ascii="Arial" w:cs="Arial" w:eastAsia="Arial" w:hAnsi="Arial"/>
          <w:sz w:val="18"/>
          <w:szCs w:val="18"/>
          <w:color w:val="auto"/>
        </w:rPr>
        <w:t>is a residential community in Port St. Joe, Florida. The community has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approval for 1,516 residential homesites. To date, 224 homesites are fully developed and sold. Currently, 94 homesites are under site development, all of which are under contract with a builder.</w:t>
      </w:r>
    </w:p>
    <w:p>
      <w:pPr>
        <w:spacing w:after="0" w:line="181"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i w:val="1"/>
          <w:iCs w:val="1"/>
          <w:color w:val="auto"/>
        </w:rPr>
        <w:t xml:space="preserve">The Latitude Margaritaville Watersound community </w:t>
      </w:r>
      <w:r>
        <w:rPr>
          <w:rFonts w:ascii="Arial" w:cs="Arial" w:eastAsia="Arial" w:hAnsi="Arial"/>
          <w:sz w:val="16"/>
          <w:szCs w:val="16"/>
          <w:color w:val="auto"/>
        </w:rPr>
        <w:t>is a planned 55+ active adult residential community in Bay County,</w:t>
      </w:r>
      <w:r>
        <w:rPr>
          <w:rFonts w:ascii="Arial" w:cs="Arial" w:eastAsia="Arial" w:hAnsi="Arial"/>
          <w:sz w:val="16"/>
          <w:szCs w:val="16"/>
          <w:i w:val="1"/>
          <w:iCs w:val="1"/>
          <w:color w:val="auto"/>
        </w:rPr>
        <w:t xml:space="preserve"> </w:t>
      </w:r>
      <w:r>
        <w:rPr>
          <w:rFonts w:ascii="Arial" w:cs="Arial" w:eastAsia="Arial" w:hAnsi="Arial"/>
          <w:sz w:val="16"/>
          <w:szCs w:val="16"/>
          <w:color w:val="auto"/>
        </w:rPr>
        <w:t>Florida with access to the Gulf Intracoastal Waterway. The community will be developed as a JV with our JV partner Minto Communities USA, a homebuilder and community developer. Planning, engineering, and permitting approvals are in process for the sales center and first phase, which is estimated to include approximately 3,500 residential homesites.</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The Titus Park community </w:t>
      </w:r>
      <w:r>
        <w:rPr>
          <w:rFonts w:ascii="Arial" w:cs="Arial" w:eastAsia="Arial" w:hAnsi="Arial"/>
          <w:sz w:val="18"/>
          <w:szCs w:val="18"/>
          <w:color w:val="auto"/>
        </w:rPr>
        <w:t>is a new residential community located in east Bay County, Florida. The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is proposed to be developed in multiple phases. Currently clearing is in process for 154 homesites. As of July 11, 2019, the 154 homesites were under contract with a builder.</w:t>
      </w:r>
    </w:p>
    <w:p>
      <w:pPr>
        <w:spacing w:after="0" w:line="18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i w:val="1"/>
          <w:iCs w:val="1"/>
          <w:color w:val="auto"/>
        </w:rPr>
        <w:t xml:space="preserve">The College Station community </w:t>
      </w:r>
      <w:r>
        <w:rPr>
          <w:rFonts w:ascii="Arial" w:cs="Arial" w:eastAsia="Arial" w:hAnsi="Arial"/>
          <w:sz w:val="18"/>
          <w:szCs w:val="18"/>
          <w:color w:val="auto"/>
        </w:rPr>
        <w:t>is a new residential community located in east Bay County, Florida. The residential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is proposed to be developed in multiple phases. Currently clearing is in process for 126 homesites. As of June 30, 2019, we had 33 homesites under contract with a builder.</w:t>
      </w:r>
    </w:p>
    <w:p>
      <w:pPr>
        <w:spacing w:after="0" w:line="181"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i w:val="1"/>
          <w:iCs w:val="1"/>
          <w:color w:val="auto"/>
        </w:rPr>
        <w:t xml:space="preserve">The Park Place community </w:t>
      </w:r>
      <w:r>
        <w:rPr>
          <w:rFonts w:ascii="Arial" w:cs="Arial" w:eastAsia="Arial" w:hAnsi="Arial"/>
          <w:sz w:val="16"/>
          <w:szCs w:val="16"/>
          <w:color w:val="auto"/>
        </w:rPr>
        <w:t>is a proposed residential community located in the City of Callaway in east Bay County,</w:t>
      </w:r>
      <w:r>
        <w:rPr>
          <w:rFonts w:ascii="Arial" w:cs="Arial" w:eastAsia="Arial" w:hAnsi="Arial"/>
          <w:sz w:val="16"/>
          <w:szCs w:val="16"/>
          <w:i w:val="1"/>
          <w:iCs w:val="1"/>
          <w:color w:val="auto"/>
        </w:rPr>
        <w:t xml:space="preserve"> </w:t>
      </w:r>
      <w:r>
        <w:rPr>
          <w:rFonts w:ascii="Arial" w:cs="Arial" w:eastAsia="Arial" w:hAnsi="Arial"/>
          <w:sz w:val="16"/>
          <w:szCs w:val="16"/>
          <w:color w:val="auto"/>
        </w:rPr>
        <w:t>Florida. This residential community is proposed to be developed in multiple phases. Planning and design are currently in process for Phase 1 of the Park Place community. As of June 30, 2019, we had 51 homesites under contract with a builder.</w:t>
      </w:r>
    </w:p>
    <w:p>
      <w:pPr>
        <w:spacing w:after="0" w:line="147"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i w:val="1"/>
          <w:iCs w:val="1"/>
          <w:color w:val="auto"/>
        </w:rPr>
        <w:t xml:space="preserve">The Mexico Beach Village residential community </w:t>
      </w:r>
      <w:r>
        <w:rPr>
          <w:rFonts w:ascii="Arial" w:cs="Arial" w:eastAsia="Arial" w:hAnsi="Arial"/>
          <w:sz w:val="18"/>
          <w:szCs w:val="18"/>
          <w:color w:val="auto"/>
        </w:rPr>
        <w:t>is a proposed mixed use community located in the City of Mexico</w:t>
      </w:r>
      <w:r>
        <w:rPr>
          <w:rFonts w:ascii="Arial" w:cs="Arial" w:eastAsia="Arial" w:hAnsi="Arial"/>
          <w:sz w:val="18"/>
          <w:szCs w:val="18"/>
          <w:i w:val="1"/>
          <w:iCs w:val="1"/>
          <w:color w:val="auto"/>
        </w:rPr>
        <w:t xml:space="preserve"> </w:t>
      </w:r>
      <w:r>
        <w:rPr>
          <w:rFonts w:ascii="Arial" w:cs="Arial" w:eastAsia="Arial" w:hAnsi="Arial"/>
          <w:sz w:val="18"/>
          <w:szCs w:val="18"/>
          <w:color w:val="auto"/>
        </w:rPr>
        <w:t>Beach in east Bay County, Florida. The residential component of this community is proposed to be developed in multiple phases. Planning and design are currently in process for this community.</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The WaterColor community </w:t>
      </w:r>
      <w:r>
        <w:rPr>
          <w:rFonts w:ascii="Arial" w:cs="Arial" w:eastAsia="Arial" w:hAnsi="Arial"/>
          <w:sz w:val="18"/>
          <w:szCs w:val="18"/>
          <w:color w:val="auto"/>
        </w:rPr>
        <w:t>is a residential community located in South Walton County, Florida. Engineering is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in process for a new residential phase of this community.</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i w:val="1"/>
          <w:iCs w:val="1"/>
          <w:color w:val="auto"/>
        </w:rPr>
        <w:t xml:space="preserve">The Camp Creek community </w:t>
      </w:r>
      <w:r>
        <w:rPr>
          <w:rFonts w:ascii="Arial" w:cs="Arial" w:eastAsia="Arial" w:hAnsi="Arial"/>
          <w:sz w:val="17"/>
          <w:szCs w:val="17"/>
          <w:color w:val="auto"/>
        </w:rPr>
        <w:t>is a proposed residential community located in South Walton County, Florida.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community is adjacent to the Camp Creek Golf Club and is proposed to be developed in multiple phases. Engineering and permitting approvals are currently in process for Phase 1 of the Camp Creek residential community.</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other residential communities, such as the SummerCamp Beach and RiverCamps communities that have homesites available for sale or future development. In addition, we have residential communities, such as WaterSound Beach, WaterSound West Beach and Wild Heron that are substantially developed, with homesites in these communities available for sale.</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revenue resulting from our residential real estate operations may vary from period to period depending on the communities where homesites are sold, as prices vary significantly by community. In addition, the majority of our sales are to homebuilders, who generally buy more homesites in a single transaction but tend to buy on a more sporadic basis. As a result, we may experience volatility in the consistency and pace of our residential real estate sales.</w:t>
      </w:r>
    </w:p>
    <w:p>
      <w:pPr>
        <w:spacing w:after="0" w:line="17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Bay-Walton Sector Plan is a long term master plan that includes entitlements, or legal rights, to develop over 170,000 residential homesites and over 22 million square feet of retail, commercial, and industrial space on approximately 110,500 acres of our land holdings. We anticipate a wide range of residential and commercial uses on these land holdings. Development of the Bay-Walton Sector Plan is underway with the commencement of engineering for the Latitude Margaritaville Watersound community, engineering of the Camp Creek residential community and ongoing development of the Watersound Origins community.</w:t>
      </w:r>
    </w:p>
    <w:p>
      <w:pPr>
        <w:spacing w:after="0" w:line="193"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had 914 residential homesites under contract as of June 30, 2019, which are expected to result in revenue of approximately $89.5 million at closing of the homesites, which are expected over the next several years. As of June 30, 2018 we had 644 residential homesites under contract, which are expected to result in revenue of approximately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$65.5 million ($5.6 million has been realized through June 30, 2019). The increase is due to the development of additional homesites and increased builder contracts for residential homesites. The number of homesites under contract are subject to change based on final platting of each community.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Hospitality</w:t>
      </w:r>
    </w:p>
    <w:p>
      <w:pPr>
        <w:spacing w:after="0" w:line="229"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hospitality segment features hotel operations, lodging, restaurants, golf courses, beach clubs, marinas and other resort assets. Our hospitality segment operations are managed for us by a third party management company.</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Resorts, Lodging and Other Management Services - </w:t>
      </w:r>
      <w:r>
        <w:rPr>
          <w:rFonts w:ascii="Arial" w:cs="Arial" w:eastAsia="Arial" w:hAnsi="Arial"/>
          <w:sz w:val="18"/>
          <w:szCs w:val="18"/>
          <w:color w:val="auto"/>
        </w:rPr>
        <w:t>We own and operate the award-winning WaterColor Inn,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Fish Out of Water (“FOOW”) restaurant and the WaterSound Inn. We own and operate retail and commercial outlets near our hospitality facilities, including the WaterColor Store. We also operate the award-winning The Pearl Hotel and Havana Beach Bar &amp; Grille restaurant.</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Clubs </w:t>
      </w:r>
      <w:r>
        <w:rPr>
          <w:rFonts w:ascii="Arial" w:cs="Arial" w:eastAsia="Arial" w:hAnsi="Arial"/>
          <w:sz w:val="17"/>
          <w:szCs w:val="17"/>
          <w:color w:val="auto"/>
        </w:rPr>
        <w:t>– Our private membership club (“The Clubs by Joe”) provides members and guests in our hotels access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resort facilities, which include the Camp Creek Golf Club, Shark’s Tooth Golf Club, and the WaterSound Beach Club. The Clubs by Joe is focused on creating a world class membership experience combined with the luxurious aspects of a four star/four diamond resort. Below is a description of some of our club properties, which are located in Northwest Florida. As is true with all of our projects, the parcels of real estate which will actually be developed will depend on our development strategy, the extent to which the anticipated returns of the project meet our investment return criteria, and the availability of capital resources to fund the development.</w:t>
      </w:r>
    </w:p>
    <w:p>
      <w:pPr>
        <w:spacing w:after="0" w:line="17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own and operate the WaterSound Beach Club which includes two pools, private beach access, two restaurants, three bars, a kid’s room and a recreation area.</w:t>
      </w:r>
    </w:p>
    <w:p>
      <w:pPr>
        <w:spacing w:after="0" w:line="170" w:lineRule="exact"/>
        <w:rPr>
          <w:sz w:val="20"/>
          <w:szCs w:val="20"/>
          <w:color w:val="auto"/>
        </w:rPr>
      </w:pPr>
    </w:p>
    <w:p>
      <w:pPr>
        <w:jc w:val="both"/>
        <w:ind w:right="260" w:firstLine="324"/>
        <w:spacing w:after="0" w:line="279" w:lineRule="auto"/>
        <w:rPr>
          <w:sz w:val="20"/>
          <w:szCs w:val="20"/>
          <w:color w:val="auto"/>
        </w:rPr>
      </w:pPr>
      <w:r>
        <w:rPr>
          <w:rFonts w:ascii="Arial" w:cs="Arial" w:eastAsia="Arial" w:hAnsi="Arial"/>
          <w:sz w:val="17"/>
          <w:szCs w:val="17"/>
          <w:color w:val="auto"/>
        </w:rPr>
        <w:t>We currently own and operate three golf courses. The Shark’s Tooth Golf Club includes an 18-hole golf course, a full club house, featuring men’s and women’s locker rooms, a pro shop, two restaurants and a tennis center located in the Wild Heron community. The Camp Creek Golf Club includes an 18-hole golf course, a pro shop and a snack bar. The Origins Golf Club includes a six-hole golf course and a café located in the Watersound Origins community.</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During 2018, we sold the SouthWood Golf Club, as well as the SouthWood House and cottages. Prior to the sale these assets were owned and operated by our hospitality segment.</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Camp Creek Lifestyle Village is a proposed club membership amenity center that is planned to feature a health and wellness facility, adult pool and spa, leisure family pool, casual restaurant, tennis and pickle ball center, teen room, kid’s playground and sport fields. The Camp Creek Lifestyle Village is also planned to feature a 75 room boutique inn, restaurant and bar, men’s and women’s locker room and outfitter shop.</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 xml:space="preserve">Marinas </w:t>
      </w:r>
      <w:r>
        <w:rPr>
          <w:rFonts w:ascii="Arial" w:cs="Arial" w:eastAsia="Arial" w:hAnsi="Arial"/>
          <w:sz w:val="17"/>
          <w:szCs w:val="17"/>
          <w:color w:val="auto"/>
        </w:rPr>
        <w:t>- We own and operate two marinas in Northwest Florida, Bay Point Marina and Port St. Joe Marina.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landfall of Hurricane Michael on October 10, 2018, the marinas remain closed due to significant damage requiring long-term restoration, which is currently underway. We maintain property and business interruption insurance on the impacted marina assets. See Note 6. </w:t>
      </w:r>
      <w:r>
        <w:rPr>
          <w:rFonts w:ascii="Arial" w:cs="Arial" w:eastAsia="Arial" w:hAnsi="Arial"/>
          <w:sz w:val="17"/>
          <w:szCs w:val="17"/>
          <w:i w:val="1"/>
          <w:iCs w:val="1"/>
          <w:color w:val="auto"/>
        </w:rPr>
        <w:t>Hurricane Michael</w:t>
      </w:r>
      <w:r>
        <w:rPr>
          <w:rFonts w:ascii="Arial" w:cs="Arial" w:eastAsia="Arial" w:hAnsi="Arial"/>
          <w:sz w:val="17"/>
          <w:szCs w:val="17"/>
          <w:color w:val="auto"/>
        </w:rPr>
        <w:t xml:space="preserve"> for additional information.</w:t>
      </w:r>
    </w:p>
    <w:p>
      <w:pPr>
        <w:spacing w:after="0" w:line="17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From time to time, we may explore the sale of certain hospitality properties, as well as the development of new hospitality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Leasing and Sales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commercial leasing and sales segment includes leasing multi-family, retail, office and commercial property, cell towers and other assets as well as planning, development, entitlement, management and sale of our commercial land holdings for a variety of uses. These uses include a broad range of retail, office, hotel, assisted-living, multi-family and industrial properties. From time to time, our commercial leasing and sales segment also evaluates opportunities to sell some of our hospitality properties.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Below is a listing of some of our commercial leasing and sales properties. As is true with all of our projects, the parcels of real estate which will actually be developed will depend on our development strategy, the extent to which the anticipated returns of the project meet our investment return criteria, and the availability of capital resources to fund the development.</w:t>
      </w:r>
    </w:p>
    <w:p>
      <w:pPr>
        <w:spacing w:after="0" w:line="14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Pier Park North</w:t>
      </w:r>
      <w:r>
        <w:rPr>
          <w:rFonts w:ascii="Arial" w:cs="Arial" w:eastAsia="Arial" w:hAnsi="Arial"/>
          <w:sz w:val="18"/>
          <w:szCs w:val="18"/>
          <w:color w:val="auto"/>
        </w:rPr>
        <w:t>. Our Pier Park North JV owns a retail center of approximately 330,000 square feet in Panama City</w:t>
      </w:r>
      <w:r>
        <w:rPr>
          <w:rFonts w:ascii="Arial" w:cs="Arial" w:eastAsia="Arial" w:hAnsi="Arial"/>
          <w:sz w:val="18"/>
          <w:szCs w:val="18"/>
          <w:i w:val="1"/>
          <w:iCs w:val="1"/>
          <w:color w:val="auto"/>
        </w:rPr>
        <w:t xml:space="preserve"> </w:t>
      </w:r>
      <w:r>
        <w:rPr>
          <w:rFonts w:ascii="Arial" w:cs="Arial" w:eastAsia="Arial" w:hAnsi="Arial"/>
          <w:sz w:val="18"/>
          <w:szCs w:val="18"/>
          <w:color w:val="auto"/>
        </w:rPr>
        <w:t>Beach, Florida, of which approximately 10,000 square feet remains to be constructed. As of June 30, 2019, Pier Park North JV had 320,310 net leasable square feet, of which 96.3% were under lease.</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VentureCrossings</w:t>
      </w:r>
      <w:r>
        <w:rPr>
          <w:rFonts w:ascii="Arial" w:cs="Arial" w:eastAsia="Arial" w:hAnsi="Arial"/>
          <w:sz w:val="18"/>
          <w:szCs w:val="18"/>
          <w:color w:val="auto"/>
        </w:rPr>
        <w:t>. VentureCrossings is a commercial and industrial development adjacent to the Northwest Florida</w:t>
      </w:r>
      <w:r>
        <w:rPr>
          <w:rFonts w:ascii="Arial" w:cs="Arial" w:eastAsia="Arial" w:hAnsi="Arial"/>
          <w:sz w:val="18"/>
          <w:szCs w:val="18"/>
          <w:i w:val="1"/>
          <w:iCs w:val="1"/>
          <w:color w:val="auto"/>
        </w:rPr>
        <w:t xml:space="preserve"> </w:t>
      </w:r>
      <w:r>
        <w:rPr>
          <w:rFonts w:ascii="Arial" w:cs="Arial" w:eastAsia="Arial" w:hAnsi="Arial"/>
          <w:sz w:val="18"/>
          <w:szCs w:val="18"/>
          <w:color w:val="auto"/>
        </w:rPr>
        <w:t>Beaches International Airport. We are soliciting global office, retail and industrial users for this prime development location. We built and own 243,605 square feet of manufacturing and office space, which are currently under long-term leases. Additionally, we are constructing an approximately 60,000 square foot flex space building that we plan to complete during the third quarter of 2019.</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Beckrich Office Park. </w:t>
      </w:r>
      <w:r>
        <w:rPr>
          <w:rFonts w:ascii="Arial" w:cs="Arial" w:eastAsia="Arial" w:hAnsi="Arial"/>
          <w:sz w:val="18"/>
          <w:szCs w:val="18"/>
          <w:color w:val="auto"/>
        </w:rPr>
        <w:t>Beckrich Office Park includes two office buildings located in Panama City Beach, Florida, with</w:t>
      </w:r>
      <w:r>
        <w:rPr>
          <w:rFonts w:ascii="Arial" w:cs="Arial" w:eastAsia="Arial" w:hAnsi="Arial"/>
          <w:sz w:val="18"/>
          <w:szCs w:val="18"/>
          <w:i w:val="1"/>
          <w:iCs w:val="1"/>
          <w:color w:val="auto"/>
        </w:rPr>
        <w:t xml:space="preserve"> </w:t>
      </w:r>
      <w:r>
        <w:rPr>
          <w:rFonts w:ascii="Arial" w:cs="Arial" w:eastAsia="Arial" w:hAnsi="Arial"/>
          <w:sz w:val="18"/>
          <w:szCs w:val="18"/>
          <w:color w:val="auto"/>
        </w:rPr>
        <w:t>over 67,000 net leasable square feet, of which 91.2% were under lease as of June 30, 2019. Additionally, we are constructing a third office building and a new Starbucks building at Beckrich Office Park.</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Pier Park Crossings. </w:t>
      </w:r>
      <w:r>
        <w:rPr>
          <w:rFonts w:ascii="Arial" w:cs="Arial" w:eastAsia="Arial" w:hAnsi="Arial"/>
          <w:sz w:val="18"/>
          <w:szCs w:val="18"/>
          <w:color w:val="auto"/>
        </w:rPr>
        <w:t>In April 2017, we formed the Pier Park Crossings JV to develop, manage and lease apartments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Panama City Beach, Florida. The 240 unit apartment community is currently under construction. As of June 30, 2019, we had completed 96 units, of which 87 were under lease.</w:t>
      </w:r>
    </w:p>
    <w:p>
      <w:pPr>
        <w:spacing w:after="0" w:line="18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i w:val="1"/>
          <w:iCs w:val="1"/>
          <w:color w:val="auto"/>
        </w:rPr>
        <w:t xml:space="preserve">Origins Town Center. </w:t>
      </w:r>
      <w:r>
        <w:rPr>
          <w:rFonts w:ascii="Arial" w:cs="Arial" w:eastAsia="Arial" w:hAnsi="Arial"/>
          <w:sz w:val="16"/>
          <w:szCs w:val="16"/>
          <w:color w:val="auto"/>
        </w:rPr>
        <w:t>The Origins Town Center is entitled for approximately 330,000 square feet of retail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entertainment space, as well as approximately 127,000 square feet of office space. In August 2018, we entered into a lease with Sacred Heart Health Systems to construct an approximately 6,500 square foot healthcare facility in the Origins Town Center. The facility is currently under construction. Additionally, we are designing a new multi-tenant commercial building.</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Origins Crossings</w:t>
      </w:r>
      <w:r>
        <w:rPr>
          <w:rFonts w:ascii="Arial" w:cs="Arial" w:eastAsia="Arial" w:hAnsi="Arial"/>
          <w:sz w:val="18"/>
          <w:szCs w:val="18"/>
          <w:color w:val="auto"/>
        </w:rPr>
        <w:t>. In May 2019, we formed the Origins Crossings JV to develop, manage and lease apartments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Watersound, Florida, which will be located adjacent to the Origins Town Center. The parties are working together to develop a 217 unit apartment community, which is currently under construction.</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Pier Park Northwest. </w:t>
      </w:r>
      <w:r>
        <w:rPr>
          <w:rFonts w:ascii="Arial" w:cs="Arial" w:eastAsia="Arial" w:hAnsi="Arial"/>
          <w:sz w:val="18"/>
          <w:szCs w:val="18"/>
          <w:color w:val="auto"/>
        </w:rPr>
        <w:t>Pier Park Northwest is entitled for hospitality and commercial uses. In the fall of 2017, we</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a JV with InterMountain Management, LLC, to construct and manage a TownePlace Suites by Marriott. Construction began in the fourth quarter of 2018 on the 124 room TownePlace Suites. This JV is unconsolidated and is accounted for under the equity method of accounting. Additionally, we are designing a new multi-tenant commercial building to be constructed on a portion of this site.</w:t>
      </w:r>
    </w:p>
    <w:p>
      <w:pPr>
        <w:spacing w:after="0" w:line="18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i w:val="1"/>
          <w:iCs w:val="1"/>
          <w:color w:val="auto"/>
        </w:rPr>
        <w:t>Topsail West</w:t>
      </w:r>
      <w:r>
        <w:rPr>
          <w:rFonts w:ascii="Arial" w:cs="Arial" w:eastAsia="Arial" w:hAnsi="Arial"/>
          <w:sz w:val="18"/>
          <w:szCs w:val="18"/>
          <w:color w:val="auto"/>
        </w:rPr>
        <w:t>. Topsail West is entitled for approximately 61,000 square feet of retail and entertainment space in Santa</w:t>
      </w:r>
      <w:r>
        <w:rPr>
          <w:rFonts w:ascii="Arial" w:cs="Arial" w:eastAsia="Arial" w:hAnsi="Arial"/>
          <w:sz w:val="18"/>
          <w:szCs w:val="18"/>
          <w:i w:val="1"/>
          <w:iCs w:val="1"/>
          <w:color w:val="auto"/>
        </w:rPr>
        <w:t xml:space="preserve"> </w:t>
      </w:r>
      <w:r>
        <w:rPr>
          <w:rFonts w:ascii="Arial" w:cs="Arial" w:eastAsia="Arial" w:hAnsi="Arial"/>
          <w:sz w:val="18"/>
          <w:szCs w:val="18"/>
          <w:color w:val="auto"/>
        </w:rPr>
        <w:t>Rosa Beach, Florida. In April 2019, we entered into a lease on a build-to-suit restaurant for First Watch: The Daytime Café. The restaurant is currently under construction.</w:t>
      </w:r>
    </w:p>
    <w:p>
      <w:pPr>
        <w:spacing w:after="0" w:line="181"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i w:val="1"/>
          <w:iCs w:val="1"/>
          <w:color w:val="auto"/>
        </w:rPr>
        <w:t>Watercrest</w:t>
      </w:r>
      <w:r>
        <w:rPr>
          <w:rFonts w:ascii="Arial" w:cs="Arial" w:eastAsia="Arial" w:hAnsi="Arial"/>
          <w:sz w:val="18"/>
          <w:szCs w:val="18"/>
          <w:color w:val="auto"/>
        </w:rPr>
        <w:t>. In May 2019, we formed the Watercrest JV to develop and operate a new assisted living and memory care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in Santa Rosa Beach, Florida, which will be located near Topsail West. The JV parties are working together to develop the 107 unit community, which is currently under construction.</w:t>
      </w:r>
    </w:p>
    <w:p>
      <w:pPr>
        <w:spacing w:after="0" w:line="181"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North Glades/Breakfast Point Bank Building</w:t>
      </w:r>
      <w:r>
        <w:rPr>
          <w:rFonts w:ascii="Arial" w:cs="Arial" w:eastAsia="Arial" w:hAnsi="Arial"/>
          <w:sz w:val="16"/>
          <w:szCs w:val="16"/>
          <w:color w:val="auto"/>
        </w:rPr>
        <w:t>. In April 2019, we entered into a lease with Capital City Bank to construct</w:t>
      </w:r>
      <w:r>
        <w:rPr>
          <w:rFonts w:ascii="Arial" w:cs="Arial" w:eastAsia="Arial" w:hAnsi="Arial"/>
          <w:sz w:val="16"/>
          <w:szCs w:val="16"/>
          <w:i w:val="1"/>
          <w:iCs w:val="1"/>
          <w:color w:val="auto"/>
        </w:rPr>
        <w:t xml:space="preserve"> </w:t>
      </w:r>
      <w:r>
        <w:rPr>
          <w:rFonts w:ascii="Arial" w:cs="Arial" w:eastAsia="Arial" w:hAnsi="Arial"/>
          <w:sz w:val="16"/>
          <w:szCs w:val="16"/>
          <w:color w:val="auto"/>
        </w:rPr>
        <w:t>a full-service banking location in Panama City Beach, Florida. The bank building is currently under construction.</w:t>
      </w:r>
    </w:p>
    <w:p>
      <w:pPr>
        <w:spacing w:after="0" w:line="12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addition to the properties listed above, a flex space building of approximately 20,000 square feet is under construction at Cedar Grove Commerce Park in Panama City, Florida and in July 2019 we formed a JV to develop and operate a Busy Bee branded fuel station and convenience store in Panama City Beach, Florida that is currently 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19"/>
        <w:spacing w:after="0" w:line="277" w:lineRule="auto"/>
        <w:rPr>
          <w:sz w:val="20"/>
          <w:szCs w:val="20"/>
          <w:color w:val="auto"/>
        </w:rPr>
      </w:pPr>
      <w:r>
        <w:rPr>
          <w:rFonts w:ascii="Arial" w:cs="Arial" w:eastAsia="Arial" w:hAnsi="Arial"/>
          <w:sz w:val="18"/>
          <w:szCs w:val="18"/>
          <w:color w:val="auto"/>
        </w:rPr>
        <w:t>construction. We also have a number of projects in various stages of planning, including additional industrial flex space buildings, apartments and assisted living/ memory care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Forestry</w:t>
      </w:r>
    </w:p>
    <w:p>
      <w:pPr>
        <w:spacing w:after="0" w:line="229" w:lineRule="exact"/>
        <w:rPr>
          <w:sz w:val="20"/>
          <w:szCs w:val="20"/>
          <w:color w:val="auto"/>
        </w:rPr>
      </w:pPr>
    </w:p>
    <w:p>
      <w:pPr>
        <w:ind w:right="299" w:firstLine="324"/>
        <w:spacing w:after="0" w:line="264" w:lineRule="auto"/>
        <w:rPr>
          <w:sz w:val="20"/>
          <w:szCs w:val="20"/>
          <w:color w:val="auto"/>
        </w:rPr>
      </w:pPr>
      <w:r>
        <w:rPr>
          <w:rFonts w:ascii="Arial" w:cs="Arial" w:eastAsia="Arial" w:hAnsi="Arial"/>
          <w:sz w:val="18"/>
          <w:szCs w:val="18"/>
          <w:color w:val="auto"/>
        </w:rPr>
        <w:t>Our forestry segment focuses on the management of our timber holdings in Northwest Florida and generates revenue primarily from open market sales of timber on site without the associated delivery costs. We grow and sell pulpwood, sawtimber and other forest products.</w:t>
      </w:r>
    </w:p>
    <w:p>
      <w:pPr>
        <w:spacing w:after="0" w:line="181"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We may sell our timber holdings, undeveloped land or land with limited development and easements. Some parcels include the benefits of limited development activity including improved roads, ponds and fencing. We have traditionally sold parcels of varying sizes ranging from less than one acre to thousands of acres. The pricing of these parcels varies significantly based on size, location, terrain, timber quality and other local factors. Costs incurred as part of a sale of these lands may include the cost of timber, land, minimal development costs and selling costs. We also lease land within the forestry segment for hunting and other uses.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79" w:firstLine="324"/>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condensed consolidated financial statements, which have been prepared in accordance with GAAP. The preparation of these financial statements requires us to make estimates and judgments that affect the reported amounts of assets, liabilities, revenue and expenses and related disclosures of contingent assets and liabilities. We base these estimates on historical experience, available current market information and on various other assumptions that management believes are reasonable under the circumstances. Additionally, we evaluate the results of these estimates on an on-going basis. Management’s estimates form the basis for making judgments about the carrying values of assets and liabilities that are not readily apparent from other sources. Actual results may differ from these estimates under different assumptions or conditions, and our accounting estimates are subject to change.</w:t>
      </w:r>
    </w:p>
    <w:p>
      <w:pPr>
        <w:spacing w:after="0" w:line="182" w:lineRule="exact"/>
        <w:rPr>
          <w:sz w:val="20"/>
          <w:szCs w:val="20"/>
          <w:color w:val="auto"/>
        </w:rPr>
      </w:pPr>
    </w:p>
    <w:p>
      <w:pPr>
        <w:ind w:right="79" w:firstLine="324"/>
        <w:spacing w:after="0" w:line="220" w:lineRule="exact"/>
        <w:rPr>
          <w:sz w:val="20"/>
          <w:szCs w:val="20"/>
          <w:color w:val="auto"/>
        </w:rPr>
      </w:pPr>
      <w:r>
        <w:rPr>
          <w:rFonts w:ascii="Arial" w:cs="Arial" w:eastAsia="Arial" w:hAnsi="Arial"/>
          <w:sz w:val="17"/>
          <w:szCs w:val="17"/>
          <w:color w:val="auto"/>
        </w:rPr>
        <w:t>Critical accounting policies that we believe reflect our more significant judgments and estimates used in the preparation of our condensed consolidated financial statements are set forth in Item 7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There have been no significant changes in these policies during the first six months of 2019, however we cannot assure you that these policies will not change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229" w:lineRule="exact"/>
        <w:rPr>
          <w:sz w:val="20"/>
          <w:szCs w:val="20"/>
          <w:color w:val="auto"/>
        </w:rPr>
      </w:pPr>
    </w:p>
    <w:p>
      <w:pPr>
        <w:ind w:right="99" w:firstLine="324"/>
        <w:spacing w:after="0" w:line="264"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condensed consolidated financial statements included in this report for recently issued or adopted accounting standards, including the date of adoption and effect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579" w:firstLine="324"/>
        <w:spacing w:after="0" w:line="264" w:lineRule="auto"/>
        <w:rPr>
          <w:sz w:val="20"/>
          <w:szCs w:val="20"/>
          <w:color w:val="auto"/>
        </w:rPr>
      </w:pPr>
      <w:r>
        <w:rPr>
          <w:rFonts w:ascii="Arial" w:cs="Arial" w:eastAsia="Arial" w:hAnsi="Arial"/>
          <w:sz w:val="18"/>
          <w:szCs w:val="18"/>
          <w:color w:val="auto"/>
        </w:rPr>
        <w:t>Our business may be affected by seasonal fluctuations. For example, revenue from our hospitality operations are typically higher in the second and third quarters, but can vary depending on the timing of holidays and school breaks, including spring break.</w:t>
      </w:r>
    </w:p>
    <w:p>
      <w:pPr>
        <w:spacing w:after="0" w:line="181" w:lineRule="exact"/>
        <w:rPr>
          <w:sz w:val="20"/>
          <w:szCs w:val="20"/>
          <w:color w:val="auto"/>
        </w:rPr>
      </w:pPr>
    </w:p>
    <w:p>
      <w:pPr>
        <w:ind w:right="79" w:firstLine="324"/>
        <w:spacing w:after="0" w:line="255" w:lineRule="auto"/>
        <w:rPr>
          <w:sz w:val="20"/>
          <w:szCs w:val="20"/>
          <w:color w:val="auto"/>
        </w:rPr>
      </w:pPr>
      <w:r>
        <w:rPr>
          <w:rFonts w:ascii="Arial" w:cs="Arial" w:eastAsia="Arial" w:hAnsi="Arial"/>
          <w:sz w:val="18"/>
          <w:szCs w:val="18"/>
          <w:color w:val="auto"/>
        </w:rPr>
        <w:t>In addition to the seasonality effect of our hospitality operations, our residential real estate business is predominantly composed of sales to homebuilders, who tend to buy multiple homesites in sporadic transactions, which impacts the variability in our results of operations. In addition, the revenue resulting from our residential real estate operations may vary from period to period depending on the communities where homesites are sold, as prices vary significantly by community. Our commercial real estate projects are likewise subject to one-off sales and the development of specific projects depending on demand. These variables have caused, and may continue to cause, our operating results to vary significantly from period to period.</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comparison of the results of our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392"/>
              <w:spacing w:after="0" w:line="142" w:lineRule="exact"/>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Real estate revenue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Hospitality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Leasing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Timber revenue</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Cost of real estate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hospitality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Cost of leasing revenue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timber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Other operating and corporate expenses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depletion and amortization</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expenses</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Other income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 net</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net</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85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60" w:type="dxa"/>
            <w:vAlign w:val="bottom"/>
          </w:tcPr>
          <w:p>
            <w:pPr>
              <w:jc w:val="right"/>
              <w:ind w:right="9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Revenue and Gross Profit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a comparison of our total real estate revenue and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10"/>
          </w:tcPr>
          <w:p>
            <w:pPr>
              <w:jc w:val="right"/>
              <w:ind w:right="65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620" w:type="dxa"/>
            <w:vAlign w:val="bottom"/>
            <w:gridSpan w:val="11"/>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b w:val="1"/>
                <w:bCs w:val="1"/>
                <w:color w:val="auto"/>
              </w:rPr>
              <w:t xml:space="preserve"> (1)</w:t>
            </w: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bottom w:val="single" w:sz="8" w:color="auto"/>
            </w:tcBorders>
            <w:gridSpan w:val="2"/>
          </w:tcPr>
          <w:p>
            <w:pPr>
              <w:jc w:val="right"/>
              <w:ind w:right="16"/>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b w:val="1"/>
                <w:bCs w:val="1"/>
                <w:color w:val="auto"/>
              </w:rPr>
              <w:t xml:space="preserve"> (1)</w:t>
            </w: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6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b w:val="1"/>
                <w:bCs w:val="1"/>
                <w:color w:val="auto"/>
              </w:rPr>
              <w:t xml:space="preserve"> (1)</w:t>
            </w: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6"/>
                <w:szCs w:val="6"/>
                <w:b w:val="1"/>
                <w:bCs w:val="1"/>
                <w:color w:val="auto"/>
              </w:rPr>
              <w:t xml:space="preserve"> (1)</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right"/>
              <w:ind w:right="13"/>
              <w:spacing w:after="0" w:line="142" w:lineRule="exact"/>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Residential real estate revenue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13.8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8"/>
                <w:szCs w:val="18"/>
                <w:color w:val="auto"/>
              </w:rPr>
              <w:t>RiverTown impact fees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1000" w:type="dxa"/>
            <w:vAlign w:val="bottom"/>
            <w:gridSpan w:val="3"/>
          </w:tcPr>
          <w:p>
            <w:pPr>
              <w:jc w:val="right"/>
              <w:ind w:right="150"/>
              <w:spacing w:after="0"/>
              <w:rPr>
                <w:sz w:val="20"/>
                <w:szCs w:val="20"/>
                <w:color w:val="auto"/>
              </w:rPr>
            </w:pPr>
            <w:r>
              <w:rPr>
                <w:rFonts w:ascii="Arial" w:cs="Arial" w:eastAsia="Arial" w:hAnsi="Arial"/>
                <w:sz w:val="18"/>
                <w:szCs w:val="18"/>
                <w:color w:val="auto"/>
              </w:rPr>
              <w:t>72.0 %</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23.1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57.9 %</w:t>
            </w:r>
          </w:p>
        </w:tc>
        <w:tc>
          <w:tcPr>
            <w:tcW w:w="40" w:type="dxa"/>
            <w:vAlign w:val="bottom"/>
          </w:tcPr>
          <w:p>
            <w:pPr>
              <w:spacing w:after="0"/>
              <w:rPr>
                <w:sz w:val="18"/>
                <w:szCs w:val="18"/>
                <w:color w:val="auto"/>
              </w:rPr>
            </w:pPr>
          </w:p>
        </w:tc>
      </w:tr>
      <w:tr>
        <w:trPr>
          <w:trHeight w:val="210"/>
        </w:trPr>
        <w:tc>
          <w:tcPr>
            <w:tcW w:w="34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residential real estate revenue</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13.8</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28.7</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17.2</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35.7</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Commercial real estate revenue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0.7 %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000" w:type="dxa"/>
            <w:vAlign w:val="bottom"/>
            <w:gridSpan w:val="3"/>
          </w:tcPr>
          <w:p>
            <w:pPr>
              <w:jc w:val="right"/>
              <w:ind w:right="15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Rural land and other revenue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9.4 %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40" w:type="dxa"/>
            <w:vAlign w:val="bottom"/>
            <w:shd w:val="clear" w:color="auto" w:fill="CCEEFF"/>
          </w:tcPr>
          <w:p>
            <w:pPr>
              <w:spacing w:after="0"/>
              <w:rPr>
                <w:sz w:val="18"/>
                <w:szCs w:val="18"/>
                <w:color w:val="auto"/>
              </w:rPr>
            </w:pPr>
          </w:p>
        </w:tc>
      </w:tr>
      <w:tr>
        <w:trPr>
          <w:trHeight w:val="217"/>
        </w:trPr>
        <w:tc>
          <w:tcPr>
            <w:tcW w:w="3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Real estate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15.5</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32.1</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40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20.1</w:t>
            </w:r>
          </w:p>
        </w:tc>
        <w:tc>
          <w:tcPr>
            <w:tcW w:w="1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39.9</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Residential real estate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8"/>
                <w:szCs w:val="18"/>
                <w:color w:val="auto"/>
              </w:rPr>
              <w:t>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51.4 %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3"/>
          </w:tcPr>
          <w:p>
            <w:pPr>
              <w:jc w:val="right"/>
              <w:ind w:right="150"/>
              <w:spacing w:after="0"/>
              <w:rPr>
                <w:sz w:val="20"/>
                <w:szCs w:val="20"/>
                <w:color w:val="auto"/>
              </w:rPr>
            </w:pPr>
            <w:r>
              <w:rPr>
                <w:rFonts w:ascii="Arial" w:cs="Arial" w:eastAsia="Arial" w:hAnsi="Arial"/>
                <w:sz w:val="18"/>
                <w:szCs w:val="18"/>
                <w:color w:val="auto"/>
              </w:rPr>
              <w:t>57.1 %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50.6 %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48.4 %</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RiverTown impact fees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40" w:type="dxa"/>
            <w:vAlign w:val="bottom"/>
            <w:gridSpan w:val="8"/>
            <w:shd w:val="clear" w:color="auto" w:fill="CCEEFF"/>
          </w:tcPr>
          <w:p>
            <w:pPr>
              <w:jc w:val="right"/>
              <w:ind w:right="150"/>
              <w:spacing w:after="0"/>
              <w:rPr>
                <w:sz w:val="20"/>
                <w:szCs w:val="20"/>
                <w:color w:val="auto"/>
              </w:rPr>
            </w:pPr>
            <w:r>
              <w:rPr>
                <w:rFonts w:ascii="Arial" w:cs="Arial" w:eastAsia="Arial" w:hAnsi="Arial"/>
                <w:sz w:val="18"/>
                <w:szCs w:val="18"/>
                <w:color w:val="auto"/>
              </w:rPr>
              <w:t>— %   23.1  100.0 %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40" w:type="dxa"/>
            <w:vAlign w:val="bottom"/>
            <w:gridSpan w:val="9"/>
            <w:shd w:val="clear" w:color="auto" w:fill="CCEEFF"/>
          </w:tcPr>
          <w:p>
            <w:pPr>
              <w:jc w:val="right"/>
              <w:ind w:right="60"/>
              <w:spacing w:after="0"/>
              <w:rPr>
                <w:sz w:val="20"/>
                <w:szCs w:val="20"/>
                <w:color w:val="auto"/>
              </w:rPr>
            </w:pPr>
            <w:r>
              <w:rPr>
                <w:rFonts w:ascii="Arial" w:cs="Arial" w:eastAsia="Arial" w:hAnsi="Arial"/>
                <w:sz w:val="18"/>
                <w:szCs w:val="18"/>
                <w:color w:val="auto"/>
              </w:rPr>
              <w:t>— %   23.1  100.0 %</w:t>
            </w:r>
          </w:p>
        </w:tc>
      </w:tr>
      <w:tr>
        <w:trPr>
          <w:trHeight w:val="210"/>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Total residential real estate</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51.4 %</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26.3</w:t>
            </w:r>
          </w:p>
        </w:tc>
        <w:tc>
          <w:tcPr>
            <w:tcW w:w="1000" w:type="dxa"/>
            <w:vAlign w:val="bottom"/>
            <w:gridSpan w:val="3"/>
          </w:tcPr>
          <w:p>
            <w:pPr>
              <w:jc w:val="right"/>
              <w:ind w:right="150"/>
              <w:spacing w:after="0"/>
              <w:rPr>
                <w:sz w:val="20"/>
                <w:szCs w:val="20"/>
                <w:color w:val="auto"/>
              </w:rPr>
            </w:pPr>
            <w:r>
              <w:rPr>
                <w:rFonts w:ascii="Arial" w:cs="Arial" w:eastAsia="Arial" w:hAnsi="Arial"/>
                <w:sz w:val="18"/>
                <w:szCs w:val="18"/>
                <w:color w:val="auto"/>
              </w:rPr>
              <w:t>91.6 %</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50.6 %</w:t>
            </w: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29.2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81.8 %</w:t>
            </w:r>
          </w:p>
        </w:tc>
        <w:tc>
          <w:tcPr>
            <w:tcW w:w="4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62.5 %</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Rural land and other</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93.8 %</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0" w:type="dxa"/>
            <w:vAlign w:val="bottom"/>
            <w:tcBorders>
              <w:bottom w:val="single" w:sz="8" w:color="CCEEFF"/>
            </w:tcBorders>
            <w:gridSpan w:val="3"/>
          </w:tcPr>
          <w:p>
            <w:pPr>
              <w:jc w:val="right"/>
              <w:ind w:right="150"/>
              <w:spacing w:after="0"/>
              <w:rPr>
                <w:sz w:val="20"/>
                <w:szCs w:val="20"/>
                <w:color w:val="auto"/>
              </w:rPr>
            </w:pPr>
            <w:r>
              <w:rPr>
                <w:rFonts w:ascii="Arial" w:cs="Arial" w:eastAsia="Arial" w:hAnsi="Arial"/>
                <w:sz w:val="18"/>
                <w:szCs w:val="18"/>
                <w:color w:val="auto"/>
              </w:rPr>
              <w:t>86.7 %</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89.5 %</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8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91.2 %</w:t>
            </w:r>
          </w:p>
        </w:tc>
        <w:tc>
          <w:tcPr>
            <w:tcW w:w="40" w:type="dxa"/>
            <w:vAlign w:val="bottom"/>
            <w:tcBorders>
              <w:bottom w:val="single" w:sz="8" w:color="CCEEFF"/>
            </w:tcBorders>
          </w:tcPr>
          <w:p>
            <w:pPr>
              <w:spacing w:after="0"/>
              <w:rPr>
                <w:sz w:val="18"/>
                <w:szCs w:val="18"/>
                <w:color w:val="auto"/>
              </w:rPr>
            </w:pPr>
          </w:p>
        </w:tc>
      </w:tr>
      <w:tr>
        <w:trPr>
          <w:trHeight w:val="217"/>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56.1 %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29.1</w:t>
            </w:r>
          </w:p>
        </w:tc>
        <w:tc>
          <w:tcPr>
            <w:tcW w:w="10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90.7 %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11.4</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56.7 %</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32.8</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82.2 %</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0" w:lineRule="exact"/>
        <w:rPr>
          <w:sz w:val="20"/>
          <w:szCs w:val="20"/>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7"/>
          <w:szCs w:val="17"/>
          <w:color w:val="auto"/>
        </w:rPr>
        <w:t>Calculated percentage of total real estate revenue and the respective gross margin percentage.</w:t>
      </w:r>
    </w:p>
    <w:p>
      <w:pPr>
        <w:spacing w:after="0" w:line="26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Residential Real Estate Revenue and Gross Profit</w:t>
      </w:r>
      <w:r>
        <w:rPr>
          <w:rFonts w:ascii="Arial" w:cs="Arial" w:eastAsia="Arial" w:hAnsi="Arial"/>
          <w:sz w:val="17"/>
          <w:szCs w:val="17"/>
          <w:color w:val="auto"/>
        </w:rPr>
        <w:t>. During the three months ended June 30, 2019, total residential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revenue decreased $14.9 million, or 51.9% to $13.8 million, as compared to $28.7 million during the same period in 2018, and total residential real estate gross profit decreased $19.2 million, to $7.1 million (or gross margin of 51.4%), as compared to $26.3 million, (or gross margin of 91.6%) during the same period in 2018. Included in total residential real estate revenue for the three months ended June 30, 2018 is $23.1 million for a one-time receipt of RiverTown impact fees related to the 2014 RiverTown transaction, resulting in a gross profit margin of 100.0%. During the three months ended June 30, 2019, excluding the one-time receipt of the RiverTown impact fees, residential real estate revenue increased $8.2 million, or 146.4% to $13.8 million, as compared to $5.6 million during the same period in 2018, and residential real estate gross profit increased $3.9 million, or 121.9%, to $7.1 million, (or gross margin of 51.4%), as compared to $3.2 million, (or gross margin of 57.1%), during the same period in 2018. During the three months ended June 30, 2019, we sold 151 homesites compared to 37 homesites during the same period in 2018.</w:t>
      </w:r>
    </w:p>
    <w:p>
      <w:pPr>
        <w:spacing w:after="0" w:line="183" w:lineRule="exact"/>
        <w:rPr>
          <w:sz w:val="20"/>
          <w:szCs w:val="20"/>
          <w:color w:val="auto"/>
        </w:rPr>
      </w:pPr>
    </w:p>
    <w:p>
      <w:pPr>
        <w:ind w:right="320" w:firstLine="324"/>
        <w:spacing w:after="0" w:line="288" w:lineRule="auto"/>
        <w:rPr>
          <w:sz w:val="20"/>
          <w:szCs w:val="20"/>
          <w:color w:val="auto"/>
        </w:rPr>
      </w:pPr>
      <w:r>
        <w:rPr>
          <w:rFonts w:ascii="Arial" w:cs="Arial" w:eastAsia="Arial" w:hAnsi="Arial"/>
          <w:sz w:val="16"/>
          <w:szCs w:val="16"/>
          <w:color w:val="auto"/>
        </w:rPr>
        <w:t>During the six months ended June 30, 2019, total residential real estate revenue decreased $18.5 million, or 51.8% to $17.2 million, as compared to $35.7 million during the same period in 2018 and total residential real estate gross profit decreased $20.5 million, to $8.7 million (or gross margin of 50.6%), as compared to $29.2 million, (or gross margin of</w:t>
      </w:r>
    </w:p>
    <w:p>
      <w:pPr>
        <w:spacing w:after="0"/>
        <w:rPr>
          <w:sz w:val="20"/>
          <w:szCs w:val="20"/>
          <w:color w:val="auto"/>
        </w:rPr>
      </w:pPr>
      <w:r>
        <w:rPr>
          <w:rFonts w:ascii="Arial" w:cs="Arial" w:eastAsia="Arial" w:hAnsi="Arial"/>
          <w:sz w:val="16"/>
          <w:szCs w:val="16"/>
          <w:color w:val="auto"/>
        </w:rPr>
        <w:t>81.8%) during the same period in 2018. Included in total residential real estate revenue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is $23.1 million for a one-time receipt of RiverTown impact fees related to the 2014 RiverTown transaction, resulting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gross profit margin of 100.0%. During the six months ended June 30, 2019, excluding the one-time receipt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RiverTown impact fees, residential real estate revenue increased $4.6 million, or 36.5% to $17.2 million, as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$12.6 million during the same period in 2018, and residential real estate gross profit increased $2.6 million, or 42.6%, to $8.7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(or gross margin of 50.6%), as compared to $6.1 million, (or gross margin of 48.4%), during the same period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2018. During the six months ended June 30, 2019, we sold 182 homesites compared to 143 homesites during the same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2018.</w:t>
      </w:r>
    </w:p>
    <w:p>
      <w:pPr>
        <w:spacing w:after="0" w:line="211"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number of homesites sold varied each period due to the timing of builder contractual closing obligations and the timing of development of completed homesites in our residential communities. The revenue and gross profit for each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period was impacted by the volume of sales within each of the communities, the difference in pricing among the communities and the difference in the cost of the homesite development.</w:t>
      </w:r>
    </w:p>
    <w:p>
      <w:pPr>
        <w:spacing w:after="0" w:line="170"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i w:val="1"/>
          <w:iCs w:val="1"/>
          <w:color w:val="auto"/>
        </w:rPr>
        <w:t>Commercial Real Estate Revenue and Gross Profit</w:t>
      </w:r>
      <w:r>
        <w:rPr>
          <w:rFonts w:ascii="Arial" w:cs="Arial" w:eastAsia="Arial" w:hAnsi="Arial"/>
          <w:sz w:val="16"/>
          <w:szCs w:val="16"/>
          <w:color w:val="auto"/>
        </w:rPr>
        <w:t>. During the three months ended June 30, 2019, there were no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land real estate sales. During the three months ended June 30, 2018, we had three commercial real estate sales totaling approximately 2 acres for $0.4 million, resulting in a gross profit margin of approximately 50.0%. During the six months ended June 30, 2019, we had two commercial real estate sales totaling approximately 51 acres for $1.0 million, with de minimis cost of revenue resulting in a gross profit margin of approximately 100.0%. During the six months ended</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June 30, 2018, we had four commercial real estate sale totaling approximately 5 acres for $0.8 million, resulting in a gross profit margin of approximately 62.5%. Revenue from commercial real estate can vary significantly from period to period depending on the proximity to developed areas and mix of commercial real estate sold in each period, with varying compositions of retail, office, industrial and other commercial uses.</w:t>
      </w:r>
    </w:p>
    <w:p>
      <w:pPr>
        <w:spacing w:after="0" w:line="19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Rural Land and Other Revenue and Gross Profit</w:t>
      </w:r>
      <w:r>
        <w:rPr>
          <w:rFonts w:ascii="Arial" w:cs="Arial" w:eastAsia="Arial" w:hAnsi="Arial"/>
          <w:sz w:val="17"/>
          <w:szCs w:val="17"/>
          <w:color w:val="auto"/>
        </w:rPr>
        <w:t>. During the three months ended June 30, 2019, we sold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34 acres of rural and timber land for $1.2 million and mitigation bank credits for $0.4 million, resulting in a gross profit margin of approximately 93.8%. During the three months ended June 30, 2018, we sold approximately 77 acres of rural and timber land for $0.7 million and mitigation bank credits for $2.3 million, resulting in a gross profit margin of approximately 86.7%. During the six months ended June 30, 2019, we sold approximately 54 acres of rural and timber land for $1.3 million and mitigation bank credits for $0.6 million, resulting in a gross profit margin of approximately 89.5%. During the six months ended June 30, 2018, we sold approximately 94 acres of rural and timber land for $0.9 million and mitigation bank credits for $2.5 million, resulting in a gross profit margin of approximately 91.2%. Revenue from rural land can vary significantly from period to period.</w:t>
      </w:r>
    </w:p>
    <w:p>
      <w:pPr>
        <w:spacing w:after="0" w:line="18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Our gross margin can vary significantly from period to period depending on the characteristics of property sold. Sales of rural and timber land typically have a lower cost basis than residential and commercial real estate sales. In addition, our cost basis in residential and commercial real estate can vary depending on the amount of development or other costs spent on the property.</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For additional information see the Segment Results sections for </w:t>
      </w:r>
      <w:r>
        <w:rPr>
          <w:rFonts w:ascii="Arial" w:cs="Arial" w:eastAsia="Arial" w:hAnsi="Arial"/>
          <w:sz w:val="18"/>
          <w:szCs w:val="18"/>
          <w:i w:val="1"/>
          <w:iCs w:val="1"/>
          <w:color w:val="auto"/>
        </w:rPr>
        <w:t>Residential Real Estate, Commercial Leasing and Sales</w:t>
      </w:r>
      <w:r>
        <w:rPr>
          <w:rFonts w:ascii="Arial" w:cs="Arial" w:eastAsia="Arial" w:hAnsi="Arial"/>
          <w:sz w:val="18"/>
          <w:szCs w:val="18"/>
          <w:color w:val="auto"/>
        </w:rPr>
        <w:t xml:space="preserve"> </w:t>
      </w:r>
      <w:r>
        <w:rPr>
          <w:rFonts w:ascii="Arial" w:cs="Arial" w:eastAsia="Arial" w:hAnsi="Arial"/>
          <w:sz w:val="18"/>
          <w:szCs w:val="18"/>
          <w:i w:val="1"/>
          <w:iCs w:val="1"/>
          <w:color w:val="auto"/>
        </w:rPr>
        <w:t>and Forestry</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Revenue and Gross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6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3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3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Hospitality revenue</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9"/>
              <w:spacing w:after="0"/>
              <w:rPr>
                <w:sz w:val="20"/>
                <w:szCs w:val="20"/>
                <w:color w:val="auto"/>
              </w:rPr>
            </w:pPr>
            <w:r>
              <w:rPr>
                <w:rFonts w:ascii="Arial" w:cs="Arial" w:eastAsia="Arial" w:hAnsi="Arial"/>
                <w:sz w:val="18"/>
                <w:szCs w:val="18"/>
                <w:color w:val="auto"/>
              </w:rPr>
              <w:t>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3.7</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27.1 %</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r>
    </w:tbl>
    <w:p>
      <w:pPr>
        <w:spacing w:after="0" w:line="20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Hospitality revenue increased $2.7 million, or 20.9%, during the three months ended June 30, 2019, as compared to the same period in 2018. During the three months ended June 30, 2019 the increase in hospitality revenue was due to the re-opening of the FOOW restaurant in late June 2018, the opening of the WaterColor Store in January 2019 and an increase in club membership revenue. These increases were partially offset by decreases related to the WaterColor Beach Club being closed during the current period for renovations, golf revenue primarily related to the sale of the SouthWood Golf Club in the third quarter of 2018 and the impact of Hurricane Michael on the marinas. Hospitality had a gross margin during the three months ended June 30, 2019 of 42.3% compared to 27.1% during the same period in 2018. The increase is primarily related to the increase in membership revenue and business interruption insurance proceeds received for the marinas related to Hurricane Michael. Excluding the business interruption proceeds received for the marinas during the current period, our hospitality gross margin was 34.0% during the three months ended June 30, 2019, as compared to 27.1% during the same period in 2018. The increase is primarily related to the increase in membership revenue.</w:t>
      </w:r>
    </w:p>
    <w:p>
      <w:pPr>
        <w:spacing w:after="0" w:line="173"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Hospitality revenue increased $3.1 million, or 15.6%, during the six months ended June 30, 2019, as compared to the same period in 2018. During the six months ended June 30, 2019 the increase in hospitality revenue was due to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re-opening of the FOOW restaurant in late June 2018, the opening of the WaterColor Store in January 2019 and an increase in club membership revenue. These increases were partially offset by decreases in room revenue for the WaterColor Inn from lower occupancy related to the WaterColor Beach Club being closed during the current period for renovations, golf revenue primarily related to the sale of the SouthWood Golf Club in the third quarter of 2018 and the impact of Hurricane Michael on the marinas. As of June 30, 2019 The Clubs by Joe had 1,198 members, compared with 1,078 members as of June 30, 2018. Hospitality had a gross margin during the six months ended June 30, 2019 of 29.6% compared to 18.6% during the same period in 2018. The increase is primarily related to the increase in membership revenue and business interruption insurance proceeds received for the marinas related to Hurricane Michael. Excluding the business interruption proceeds received for the marinas during the current period, our hospitality gross margin was 23.9% during the six months ended June 30, 2019, as compared to 18.6% during the same period in 2018. The increase is primarily related to the increase in membership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 and Gross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right"/>
              <w:ind w:right="40"/>
              <w:spacing w:after="0" w:line="142" w:lineRule="exact"/>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Gross profit</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9"/>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66.7 %</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Leasing revenue increased $0.2 million, or 5.7%, during the three months ended June 30, 2019, as compared to the same period in 2018. Leasing revenue increased $0.3 million, or 4.3%, during the six months ended June 30, 2019, as compared to the same period in 2018. This increase is primarily due to new leases at properties such as Beckrich Office Park, Pier Park Crossings and WaterColor Crossings. The increase is partially offset by a decrease in leasing revenue related to the marinas which, subsequent to the landfall of Hurricane Michael on October 10, 2018, remain closed. Cost of leasing revenue remained essentially flat for each of the three and six months ended June 30, 2019 and 2018, which resulted in an increase to gross margin for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Timber Revenue and Gross Profit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142"/>
        </w:trPr>
        <w:tc>
          <w:tcPr>
            <w:tcW w:w="3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right"/>
              <w:ind w:right="40"/>
              <w:spacing w:after="0" w:line="142" w:lineRule="exact"/>
              <w:rPr>
                <w:sz w:val="20"/>
                <w:szCs w:val="20"/>
                <w:color w:val="auto"/>
              </w:rPr>
            </w:pPr>
            <w:r>
              <w:rPr>
                <w:rFonts w:ascii="Arial" w:cs="Arial" w:eastAsia="Arial" w:hAnsi="Arial"/>
                <w:sz w:val="14"/>
                <w:szCs w:val="14"/>
                <w:i w:val="1"/>
                <w:iCs w:val="1"/>
                <w:color w:val="auto"/>
              </w:rPr>
              <w:t>In millions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Timber revenue</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9"/>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9"/>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88.9 %</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Timber revenue decreased $1.2 million, or 63.2%, during the three months ended June 30, 2019, as compared to the same period in 2018, due to a decrease in the amount of tons sold and product mix changes caused by Hurricane Michael’s significant market impact since landfall in October 2018. There were 31,000 tons sold during the three months ended June 30, 2019, as compared to 112,000 tons sold during the same period in 2018. Gross margin decreased during the three months ended June 30, 2019 to 71.4%, as compared to 89.5% during the same period in 2018, primarily due to decreases in volume and changes in product mix.</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Timber revenue decreased $2.3 million, or 63.9%, during the six months ended June 30, 2019, as compared to the same period in 2018, due to a decrease in the amount of tons sold, along with price decreases and product mix changes caused by Hurricane Michael’s significant market impact since landfall in October 2018. There were 61,000 tons sold during the six months ended June 30, 2019, as compared to 214,000 tons sold during the same period in 2018. Gross margin decreased during the six months ended June 30, 2019 to 76.9%, as compared to 88.9% during the same period in 2018, primarily due to decreases in sales price and volume.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and Corporate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5"/>
          </w:tcPr>
          <w:p>
            <w:pPr>
              <w:ind w:left="320"/>
              <w:spacing w:after="0" w:line="142"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Employee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401(k) contribution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and insurance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owner association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Occupancy, repairs and maintenance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7"/>
        </w:trPr>
        <w:tc>
          <w:tcPr>
            <w:tcW w:w="5620" w:type="dxa"/>
            <w:vAlign w:val="bottom"/>
          </w:tcPr>
          <w:p>
            <w:pPr>
              <w:ind w:left="120"/>
              <w:spacing w:after="0"/>
              <w:rPr>
                <w:sz w:val="20"/>
                <w:szCs w:val="20"/>
                <w:color w:val="auto"/>
              </w:rPr>
            </w:pPr>
            <w:r>
              <w:rPr>
                <w:rFonts w:ascii="Arial" w:cs="Arial" w:eastAsia="Arial" w:hAnsi="Arial"/>
                <w:sz w:val="18"/>
                <w:szCs w:val="18"/>
                <w:color w:val="auto"/>
              </w:rPr>
              <w:t>Total other operating and corporate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operating and corporate expenses for the three and six months ended June 30, 2019 and 2018 were comparable.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Depletion and Amortization</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Depreciation, depletion and amortization expense for the three and six months ended June 30, 2019 and 2018 were comparable.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225" w:lineRule="exact"/>
        <w:rPr>
          <w:sz w:val="20"/>
          <w:szCs w:val="20"/>
          <w:color w:val="auto"/>
        </w:rPr>
      </w:pPr>
    </w:p>
    <w:p>
      <w:pPr>
        <w:ind w:right="500" w:firstLine="324"/>
        <w:spacing w:after="0" w:line="291" w:lineRule="auto"/>
        <w:rPr>
          <w:sz w:val="20"/>
          <w:szCs w:val="20"/>
          <w:color w:val="auto"/>
        </w:rPr>
      </w:pPr>
      <w:r>
        <w:rPr>
          <w:rFonts w:ascii="Arial" w:cs="Arial" w:eastAsia="Arial" w:hAnsi="Arial"/>
          <w:sz w:val="16"/>
          <w:szCs w:val="16"/>
          <w:color w:val="auto"/>
        </w:rPr>
        <w:t>Investment income, net primarily includes (i) interest and dividends earned, (ii) accretion of the net discount, (iii) net realized gain or loss from the sale of our available for-sale-investments, less other-than-temporary impairment loss,</w:t>
      </w:r>
    </w:p>
    <w:p>
      <w:pPr>
        <w:ind w:right="160" w:firstLine="3"/>
        <w:spacing w:after="0" w:line="323"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net unrealized gain or loss related to investments - equity securities, (v) interest income earned on the time deposit held by SPE and (vi) interest earned on mortgage notes receivable and other receivables as detailed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5"/>
          </w:tcPr>
          <w:p>
            <w:pPr>
              <w:ind w:left="320"/>
              <w:spacing w:after="0" w:line="142"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income</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the sale of investments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Other-than-temporary impairment loss</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investments, net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income from investments in SPEs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accrued on notes receivable and other interest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17"/>
        </w:trPr>
        <w:tc>
          <w:tcPr>
            <w:tcW w:w="5620" w:type="dxa"/>
            <w:vAlign w:val="bottom"/>
          </w:tcPr>
          <w:p>
            <w:pPr>
              <w:ind w:left="120"/>
              <w:spacing w:after="0"/>
              <w:rPr>
                <w:sz w:val="20"/>
                <w:szCs w:val="20"/>
                <w:color w:val="auto"/>
              </w:rPr>
            </w:pPr>
            <w:r>
              <w:rPr>
                <w:rFonts w:ascii="Arial" w:cs="Arial" w:eastAsia="Arial" w:hAnsi="Arial"/>
                <w:sz w:val="18"/>
                <w:szCs w:val="18"/>
                <w:color w:val="auto"/>
              </w:rPr>
              <w:t>Total investment income,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Investment income, net decreased $3.5 million to $2.5 million for the three months ended June 30, 2019, as compared to $6.0 million for the three months ended June 30, 2018. Investment income, net decreased $1.0 million to $8.6 million for the six months ended June 30, 2019, as compared to $9.6 million for the six months ended June 30, 2018. Investment income, net for the three months ended June 30, 2019 includes unrealized losses related to preferred stock of $1.9 million. Investment income, net for the three months ended June 30, 2018 includes unrealized gains related to preferred stock of $1.3 million. The six months ended June 30, 2019 includes unrealized gains related to preferred stock of $0.1 million. The six months ended June 30, 2018 includes unrealized gains related to preferred stock of $0.7 million, offset by a realized loss on the sale of certain corporate debt securities and preferred stock of $1.1 million and an other-than-temporary impairment loss of $0.1 million related to corporate debt securities.</w:t>
      </w:r>
    </w:p>
    <w:p>
      <w:pPr>
        <w:spacing w:after="0" w:line="182"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The decrease in interest and dividend income for the six months ended June 30, 2019, as compared to the same period in 2018, is primarily due to a reduction in investments held during the period. The decrease in investments during the period is primarily related to the repurchase of common stock during 2018 under the Stock Repurchase Program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 xml:space="preserve">increased capital expenditures. See Note 14. </w:t>
      </w:r>
      <w:r>
        <w:rPr>
          <w:rFonts w:ascii="Arial" w:cs="Arial" w:eastAsia="Arial" w:hAnsi="Arial"/>
          <w:sz w:val="17"/>
          <w:szCs w:val="17"/>
          <w:i w:val="1"/>
          <w:iCs w:val="1"/>
          <w:color w:val="auto"/>
        </w:rPr>
        <w:t>Stockholders’ Equity</w:t>
      </w:r>
      <w:r>
        <w:rPr>
          <w:rFonts w:ascii="Arial" w:cs="Arial" w:eastAsia="Arial" w:hAnsi="Arial"/>
          <w:sz w:val="17"/>
          <w:szCs w:val="17"/>
          <w:color w:val="auto"/>
        </w:rPr>
        <w:t xml:space="preserve"> and Part II – Other Information of this quarterly report for additional information regarding common stock repurchases related to the Stock Repurchase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Interest expense primarily includes interest incurred on CDD debt, the Senior Notes issued by Northwest Florida Timber Finance, LLC, project financing and finance leases as detailed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7"/>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5"/>
          </w:tcPr>
          <w:p>
            <w:pPr>
              <w:ind w:left="320"/>
              <w:spacing w:after="0" w:line="142"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Interest expense and amortization of discount and issuance costs for Senior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Notes issued by SPE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20"/>
                <w:szCs w:val="20"/>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interest expense</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18"/>
                <w:szCs w:val="18"/>
                <w:color w:val="auto"/>
              </w:rPr>
            </w:pPr>
          </w:p>
        </w:tc>
      </w:tr>
      <w:tr>
        <w:trPr>
          <w:trHeight w:val="217"/>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Other income, net primarily includes gain on land contribution, income from our retained interest investments, insurance proceeds, hurricane expenses and other expense items as detailed in the table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10"/>
        </w:trPr>
        <w:tc>
          <w:tcPr>
            <w:tcW w:w="4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8"/>
                <w:szCs w:val="18"/>
                <w:color w:val="auto"/>
              </w:rPr>
            </w:pPr>
          </w:p>
        </w:tc>
      </w:tr>
      <w:tr>
        <w:trPr>
          <w:trHeight w:val="196"/>
        </w:trPr>
        <w:tc>
          <w:tcPr>
            <w:tcW w:w="4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Gain on land contribution</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Accretion income from retained interest investments</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Insurance proceeds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Hurricane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7"/>
        </w:trPr>
        <w:tc>
          <w:tcPr>
            <w:tcW w:w="44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Other income, net increased $3.1 million and $4.5 million during the three and six months ended June 30, 2019, respectively, as compared to the same periods in 2018. The increase is primarily due to $3.8 million and $4.1 million of insurance proceeds received related to Hurricane Michael during the three and six months ended June 30, 2019, respectively. The insurance proceeds were partially offset by hurricane expenses of $0.8 million and $1.1 million during the three and six months ended June 30, 2019, respectively. See Note 6. </w:t>
      </w:r>
      <w:r>
        <w:rPr>
          <w:rFonts w:ascii="Arial" w:cs="Arial" w:eastAsia="Arial" w:hAnsi="Arial"/>
          <w:sz w:val="17"/>
          <w:szCs w:val="17"/>
          <w:i w:val="1"/>
          <w:iCs w:val="1"/>
          <w:color w:val="auto"/>
        </w:rPr>
        <w:t>Hurricane Michael</w:t>
      </w:r>
      <w:r>
        <w:rPr>
          <w:rFonts w:ascii="Arial" w:cs="Arial" w:eastAsia="Arial" w:hAnsi="Arial"/>
          <w:sz w:val="17"/>
          <w:szCs w:val="17"/>
          <w:color w:val="auto"/>
        </w:rPr>
        <w:t xml:space="preserve"> for additional information. The six months ended June 30, 2019 also includes a gain of $1.5 million on land contributed to our unconsolidated Pier Park TPS JV. See Note 9, </w:t>
      </w:r>
      <w:r>
        <w:rPr>
          <w:rFonts w:ascii="Arial" w:cs="Arial" w:eastAsia="Arial" w:hAnsi="Arial"/>
          <w:sz w:val="17"/>
          <w:szCs w:val="17"/>
          <w:i w:val="1"/>
          <w:iCs w:val="1"/>
          <w:color w:val="auto"/>
        </w:rPr>
        <w:t xml:space="preserve">Real Estate Joint Ventures </w:t>
      </w:r>
      <w:r>
        <w:rPr>
          <w:rFonts w:ascii="Arial" w:cs="Arial" w:eastAsia="Arial" w:hAnsi="Arial"/>
          <w:sz w:val="17"/>
          <w:szCs w:val="17"/>
          <w:color w:val="auto"/>
        </w:rPr>
        <w:t>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We recorded income tax expense of $3.4 million during three months ended June 30, 2019, as compared to $6.5 million during the same period in 2018. Our effective tax rate was 24.9% for the three months ended June 30, 2019, as compared to 20.0% during the same period in 2018.</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recorded income tax expense of $4.1 million during the six months ended June 30, 2019, as compared to $6.3 million during the same period in 2018. Our effective tax rate was 25.0% for the six months ended June 30, 2019, as compared to 18.9% during the same period in 2018.</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effective rate for 2019 differed from the federal statutory rate of 21.0% primarily due to the impact of state taxes and other permanent differences. The effective tax rate for 2018 differed from the federal statutory rate of 21.0% primarily due to the 2018 renewal of the Qualified Timber Gain preferential rate retroactively applied to our tax year 2017, the impact of state taxes and changes in the valuation allowance. In future periods, we expect that our effective rate will be closer to the statutory rate adjusted for state taxes and other permanent differences.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Residential Real Estate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the results of operations of our residential real estate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Real estate 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8"/>
                <w:szCs w:val="18"/>
                <w:color w:val="auto"/>
              </w:rPr>
            </w:pPr>
          </w:p>
        </w:tc>
      </w:tr>
      <w:tr>
        <w:trPr>
          <w:trHeight w:val="210"/>
        </w:trPr>
        <w:tc>
          <w:tcPr>
            <w:tcW w:w="42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Cost of real estate and other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210"/>
        </w:trPr>
        <w:tc>
          <w:tcPr>
            <w:tcW w:w="4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Investment income,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r>
      <w:tr>
        <w:trPr>
          <w:trHeight w:val="210"/>
        </w:trPr>
        <w:tc>
          <w:tcPr>
            <w:tcW w:w="42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 net</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4220" w:type="dxa"/>
            <w:vAlign w:val="bottom"/>
          </w:tcPr>
          <w:p>
            <w:pPr>
              <w:ind w:left="320"/>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b w:val="1"/>
                <w:bCs w:val="1"/>
                <w:u w:val="single" w:color="auto"/>
                <w:color w:val="auto"/>
              </w:rPr>
              <w:t>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Real estate revenue includes sales of homesites, other residential land and certain homesite residuals from homebuilder sales that provide us a percentage of the sale price of the completed home if the home price exceeds a negotiated threshold. Other revenue includes tap and impact fee credits sold and marketing fees. Certain homesite residuals and other revenue related to homebuilder homesite sales are recognized in revenue at the point in time of the closing of the sale. Other revenue for the three and six months ended June 30, 2018 includes $23.1 million for a one-time receipt of RiverTown impact fees related to the 2014 RiverTown transaction. For the three months ended June 30, 2019 and 2018, real estate revenue includes estimated homesite residuals of $1.0 million and $0.2 million, respectively. For the three months ended June 30, 2019 and 2018, other revenue includes certain estimated fees related to homebuilder homesite sales of $0.9 million and $0.2 million, respectively. For the six months ended June 30, 2019 and 2018, real estate revenue includes estimated homesite residuals of $1.1 million and $0.6 million, respectively. For the six months ended June 30, 2019 and 2018, other revenue includes certain estimated fees related to homebuilder homesite sales of $0.9 million and $0.5 million, respectively. Cost of real estate revenue includes direct costs (e.g., development and construction costs), selling costs and other indirect costs (e.g., development overhead, capitalized interest and project administration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2019 Compared to the Three months ended June 30, 2018</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residential real estate revenue and cost of revenue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 2019</w:t>
            </w:r>
          </w:p>
        </w:tc>
        <w:tc>
          <w:tcPr>
            <w:tcW w:w="360" w:type="dxa"/>
            <w:vAlign w:val="bottom"/>
          </w:tcPr>
          <w:p>
            <w:pPr>
              <w:spacing w:after="0"/>
              <w:rPr>
                <w:sz w:val="14"/>
                <w:szCs w:val="14"/>
                <w:color w:val="auto"/>
              </w:rPr>
            </w:pPr>
          </w:p>
        </w:tc>
        <w:tc>
          <w:tcPr>
            <w:tcW w:w="27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 June 30, 2018</w:t>
            </w: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Unit</w:t>
            </w:r>
          </w:p>
        </w:tc>
        <w:tc>
          <w:tcPr>
            <w:tcW w:w="74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w w:val="99"/>
              </w:rPr>
              <w:t>Revenue</w:t>
            </w:r>
          </w:p>
        </w:tc>
        <w:tc>
          <w:tcPr>
            <w:tcW w:w="70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Cost of</w:t>
            </w:r>
          </w:p>
        </w:tc>
        <w:tc>
          <w:tcPr>
            <w:tcW w:w="62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ind w:left="25"/>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Units</w:t>
            </w:r>
          </w:p>
        </w:tc>
        <w:tc>
          <w:tcPr>
            <w:tcW w:w="74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w w:val="99"/>
              </w:rPr>
              <w:t>Revenue</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3"/>
              </w:rPr>
              <w:t>Cost of</w:t>
            </w:r>
          </w:p>
        </w:tc>
        <w:tc>
          <w:tcPr>
            <w:tcW w:w="58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Gross</w:t>
            </w:r>
          </w:p>
        </w:tc>
        <w:tc>
          <w:tcPr>
            <w:tcW w:w="560" w:type="dxa"/>
            <w:vAlign w:val="bottom"/>
            <w:tcBorders>
              <w:top w:val="single" w:sz="8" w:color="auto"/>
            </w:tcBorders>
          </w:tcPr>
          <w:p>
            <w:pPr>
              <w:jc w:val="center"/>
              <w:ind w:left="4"/>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4"/>
                <w:szCs w:val="14"/>
                <w:b w:val="1"/>
                <w:bCs w:val="1"/>
                <w:color w:val="auto"/>
                <w:w w:val="92"/>
              </w:rPr>
              <w:t>Sold</w:t>
            </w:r>
          </w:p>
        </w:tc>
        <w:tc>
          <w:tcPr>
            <w:tcW w:w="740" w:type="dxa"/>
            <w:vAlign w:val="bottom"/>
            <w:vMerge w:val="continue"/>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ind w:left="140"/>
              <w:spacing w:after="0"/>
              <w:rPr>
                <w:sz w:val="20"/>
                <w:szCs w:val="20"/>
                <w:color w:val="auto"/>
              </w:rPr>
            </w:pPr>
            <w:r>
              <w:rPr>
                <w:rFonts w:ascii="Arial" w:cs="Arial" w:eastAsia="Arial" w:hAnsi="Arial"/>
                <w:sz w:val="14"/>
                <w:szCs w:val="14"/>
                <w:b w:val="1"/>
                <w:bCs w:val="1"/>
                <w:color w:val="auto"/>
              </w:rPr>
              <w:t>Profit</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Margin</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2"/>
              </w:rPr>
              <w:t>Sold</w:t>
            </w:r>
          </w:p>
        </w:tc>
        <w:tc>
          <w:tcPr>
            <w:tcW w:w="74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Profit</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i w:val="1"/>
                <w:iCs w:val="1"/>
                <w:color w:val="auto"/>
              </w:rPr>
              <w:t>Dollars in millions</w:t>
            </w: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Homesites</w:t>
            </w:r>
          </w:p>
        </w:tc>
        <w:tc>
          <w:tcPr>
            <w:tcW w:w="1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$ 12.6</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6.3</w:t>
            </w: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  6.3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50.0 %</w:t>
            </w:r>
          </w:p>
        </w:tc>
        <w:tc>
          <w:tcPr>
            <w:tcW w:w="3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5.1</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  2.1</w:t>
            </w:r>
          </w:p>
        </w:tc>
        <w:tc>
          <w:tcPr>
            <w:tcW w:w="5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$ 3.0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i w:val="1"/>
          <w:iCs w:val="1"/>
          <w:color w:val="auto"/>
        </w:rPr>
        <w:t>Homesites</w:t>
      </w:r>
      <w:r>
        <w:rPr>
          <w:rFonts w:ascii="Arial" w:cs="Arial" w:eastAsia="Arial" w:hAnsi="Arial"/>
          <w:sz w:val="16"/>
          <w:szCs w:val="16"/>
          <w:color w:val="auto"/>
        </w:rPr>
        <w:t>. Revenue from homesite sales increased $7.5 million, or 147.1%,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2019, as compared to the same period in 2018, primarily due to the mix and number of homesites sold per community, the timing of builder contractual closing obligations and the timing of development of completed homesites in our residential communities such as Watersound Origins, Breakfast Point and SouthWood. During the three months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ended June 30, 2019 and 2018, the average revenue per homesite sold was approximately $73,000 and $125,000, respectively, due to the mix of sales from different communities, which included the sale of 49 undeveloped homesites within the SouthWood community during the three months ended June 30, 2019, with no comparable undeveloped homesite sales during the same period in 2018. Gross margin decreased to 50.0% during the three months ended June 30, 2019, as compared to 58.8% during the same period in 2018, primarily due to the mix and number of homesites sold during each respective period.</w:t>
      </w:r>
    </w:p>
    <w:p>
      <w:pPr>
        <w:spacing w:after="0" w:line="193" w:lineRule="exact"/>
        <w:rPr>
          <w:sz w:val="20"/>
          <w:szCs w:val="20"/>
          <w:color w:val="auto"/>
        </w:rPr>
      </w:pPr>
    </w:p>
    <w:p>
      <w:pPr>
        <w:ind w:right="1000" w:firstLine="324"/>
        <w:spacing w:after="0" w:line="342" w:lineRule="auto"/>
        <w:rPr>
          <w:sz w:val="20"/>
          <w:szCs w:val="20"/>
          <w:color w:val="auto"/>
        </w:rPr>
      </w:pPr>
      <w:r>
        <w:rPr>
          <w:rFonts w:ascii="Arial" w:cs="Arial" w:eastAsia="Arial" w:hAnsi="Arial"/>
          <w:sz w:val="16"/>
          <w:szCs w:val="16"/>
          <w:color w:val="auto"/>
        </w:rPr>
        <w:t>Other operating expenses include salaries and benefits, property taxes, marketing, professional fees, project administration, support personnel, owner association and CDD assessments and other administrative expenses.</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Investment income, net primarily consists of interest earned on our mortgage notes receivable. Interest expense consists of interest incurred on our portion of the total outstanding CDD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2019 Compared to the Six months ended June 30, 2018</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residential real estate revenue and cost of revenue activity: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Six Months Ended June 30, 2019</w:t>
            </w:r>
          </w:p>
        </w:tc>
        <w:tc>
          <w:tcPr>
            <w:tcW w:w="5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Six Months Ended June 30, 2018</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Units</w:t>
            </w: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Revenue</w:t>
            </w:r>
          </w:p>
        </w:tc>
        <w:tc>
          <w:tcPr>
            <w:tcW w:w="70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Cost of</w:t>
            </w:r>
          </w:p>
        </w:tc>
        <w:tc>
          <w:tcPr>
            <w:tcW w:w="7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Units</w:t>
            </w: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Revenue</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Cost of</w:t>
            </w:r>
          </w:p>
        </w:tc>
        <w:tc>
          <w:tcPr>
            <w:tcW w:w="6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2"/>
              </w:rPr>
              <w:t>Sold</w:t>
            </w:r>
          </w:p>
        </w:tc>
        <w:tc>
          <w:tcPr>
            <w:tcW w:w="700" w:type="dxa"/>
            <w:vAlign w:val="bottom"/>
            <w:vMerge w:val="continue"/>
          </w:tcPr>
          <w:p>
            <w:pPr>
              <w:spacing w:after="0"/>
              <w:rPr>
                <w:sz w:val="14"/>
                <w:szCs w:val="14"/>
                <w:color w:val="auto"/>
              </w:rPr>
            </w:pPr>
          </w:p>
        </w:tc>
        <w:tc>
          <w:tcPr>
            <w:tcW w:w="700" w:type="dxa"/>
            <w:vAlign w:val="bottom"/>
          </w:tcPr>
          <w:p>
            <w:pPr>
              <w:jc w:val="right"/>
              <w:ind w:right="4"/>
              <w:spacing w:after="0"/>
              <w:rPr>
                <w:sz w:val="20"/>
                <w:szCs w:val="20"/>
                <w:color w:val="auto"/>
              </w:rPr>
            </w:pPr>
            <w:r>
              <w:rPr>
                <w:rFonts w:ascii="Arial" w:cs="Arial" w:eastAsia="Arial" w:hAnsi="Arial"/>
                <w:sz w:val="14"/>
                <w:szCs w:val="14"/>
                <w:b w:val="1"/>
                <w:bCs w:val="1"/>
                <w:color w:val="auto"/>
              </w:rPr>
              <w:t>Revenue</w:t>
            </w: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Profit</w:t>
            </w: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Margin</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5"/>
              </w:rPr>
              <w:t>Sold</w:t>
            </w:r>
          </w:p>
        </w:tc>
        <w:tc>
          <w:tcPr>
            <w:tcW w:w="700" w:type="dxa"/>
            <w:vAlign w:val="bottom"/>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Profit</w:t>
            </w: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i w:val="1"/>
                <w:iCs w:val="1"/>
                <w:color w:val="auto"/>
              </w:rPr>
              <w:t>Dollars in millions</w:t>
            </w:r>
          </w:p>
        </w:tc>
        <w:tc>
          <w:tcPr>
            <w:tcW w:w="7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Homesites</w:t>
            </w:r>
          </w:p>
        </w:tc>
        <w:tc>
          <w:tcPr>
            <w:tcW w:w="420" w:type="dxa"/>
            <w:vAlign w:val="bottom"/>
            <w:shd w:val="clear" w:color="auto" w:fill="CCEEFF"/>
          </w:tcPr>
          <w:p>
            <w:pPr>
              <w:jc w:val="center"/>
              <w:ind w:right="24"/>
              <w:spacing w:after="0"/>
              <w:rPr>
                <w:sz w:val="20"/>
                <w:szCs w:val="20"/>
                <w:color w:val="auto"/>
              </w:rPr>
            </w:pPr>
            <w:r>
              <w:rPr>
                <w:rFonts w:ascii="Arial" w:cs="Arial" w:eastAsia="Arial" w:hAnsi="Arial"/>
                <w:sz w:val="18"/>
                <w:szCs w:val="18"/>
                <w:color w:val="auto"/>
                <w:w w:val="93"/>
              </w:rPr>
              <w:t>182</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$ 15.7</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  7.9</w:t>
            </w:r>
          </w:p>
        </w:tc>
        <w:tc>
          <w:tcPr>
            <w:tcW w:w="76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  7.8</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49.7 %</w:t>
            </w:r>
          </w:p>
        </w:tc>
        <w:tc>
          <w:tcPr>
            <w:tcW w:w="400" w:type="dxa"/>
            <w:vAlign w:val="bottom"/>
            <w:shd w:val="clear" w:color="auto" w:fill="CCEEFF"/>
          </w:tcPr>
          <w:p>
            <w:pPr>
              <w:jc w:val="center"/>
              <w:ind w:right="24"/>
              <w:spacing w:after="0"/>
              <w:rPr>
                <w:sz w:val="20"/>
                <w:szCs w:val="20"/>
                <w:color w:val="auto"/>
              </w:rPr>
            </w:pPr>
            <w:r>
              <w:rPr>
                <w:rFonts w:ascii="Arial" w:cs="Arial" w:eastAsia="Arial" w:hAnsi="Arial"/>
                <w:sz w:val="18"/>
                <w:szCs w:val="18"/>
                <w:color w:val="auto"/>
                <w:w w:val="86"/>
              </w:rPr>
              <w:t>143</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$ 11.5</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  6.1</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$ 5.4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Homesites</w:t>
      </w:r>
      <w:r>
        <w:rPr>
          <w:rFonts w:ascii="Arial" w:cs="Arial" w:eastAsia="Arial" w:hAnsi="Arial"/>
          <w:sz w:val="17"/>
          <w:szCs w:val="17"/>
          <w:color w:val="auto"/>
        </w:rPr>
        <w:t>. Revenue from homesite sales increased $4.2 million, or 36.5%, during the six months ended June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the same period in 2018, primarily due to the mix and number of homesites sold per community, the timing of builder contractual closing obligations and the timing of development of completed homesites in our residential communities such as Watersound Origins, Breakfast Point and SouthWood. During the six months ended June 30, 2019 and 2018, the average revenue per homesite sold was approximately $75,000 and $74,000, respectively. Gross margin increased to 49.7% during the six months ended June 30, 2019, as compared to 47.0% during the same period in 2018, primarily due to the mix and number of homesites sold during each respective period.</w:t>
      </w:r>
    </w:p>
    <w:p>
      <w:pPr>
        <w:spacing w:after="0" w:line="178" w:lineRule="exact"/>
        <w:rPr>
          <w:sz w:val="20"/>
          <w:szCs w:val="20"/>
          <w:color w:val="auto"/>
        </w:rPr>
      </w:pPr>
    </w:p>
    <w:p>
      <w:pPr>
        <w:ind w:right="1000" w:firstLine="324"/>
        <w:spacing w:after="0" w:line="342" w:lineRule="auto"/>
        <w:rPr>
          <w:sz w:val="20"/>
          <w:szCs w:val="20"/>
          <w:color w:val="auto"/>
        </w:rPr>
      </w:pPr>
      <w:r>
        <w:rPr>
          <w:rFonts w:ascii="Arial" w:cs="Arial" w:eastAsia="Arial" w:hAnsi="Arial"/>
          <w:sz w:val="16"/>
          <w:szCs w:val="16"/>
          <w:color w:val="auto"/>
        </w:rPr>
        <w:t>Other operating expenses include salaries and benefits, property taxes, marketing, professional fees, project administration, support personnel, owner association and CDD assessments and other administrative expenses.</w:t>
      </w:r>
    </w:p>
    <w:p>
      <w:pPr>
        <w:spacing w:after="0" w:line="12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Investment income, net primarily consists of interest earned on our mortgage notes receivable. Interest expense consists of interest incurred on our portion of the total outstanding CDD debt.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the results of operations of our hospitality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4"/>
          </w:tcPr>
          <w:p>
            <w:pPr>
              <w:jc w:val="right"/>
              <w:ind w:right="394"/>
              <w:spacing w:after="0" w:line="142" w:lineRule="exact"/>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Hospitality revenue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23.0</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revenue</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r>
      <w:tr>
        <w:trPr>
          <w:trHeight w:val="210"/>
        </w:trPr>
        <w:tc>
          <w:tcPr>
            <w:tcW w:w="40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Cost of hospitality revenue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leasing revenue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0"/>
        </w:trPr>
        <w:tc>
          <w:tcPr>
            <w:tcW w:w="404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r>
      <w:tr>
        <w:trPr>
          <w:trHeight w:val="216"/>
        </w:trPr>
        <w:tc>
          <w:tcPr>
            <w:tcW w:w="4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tcPr>
          <w:p>
            <w:pPr>
              <w:spacing w:after="0"/>
              <w:rPr>
                <w:sz w:val="18"/>
                <w:szCs w:val="18"/>
                <w:color w:val="auto"/>
              </w:rPr>
            </w:pPr>
          </w:p>
        </w:tc>
      </w:tr>
      <w:tr>
        <w:trPr>
          <w:trHeight w:val="217"/>
        </w:trPr>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Income before income taxes</w:t>
            </w: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2019 Compared to the Three months ended June 30, 2018</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details of our hospitality segment revenue and 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Three Months Ended June 30,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5"/>
              </w:rPr>
              <w:t>Three Months Ended June 30, 2018</w:t>
            </w: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Profit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Margin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Profit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Resorts, lodging and other management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Clubs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44.1 %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Marinas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42.3 %</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Revenue from resorts, lodging and other management services increased $1.6 million, or 22.2%, during the three months ended June 30, 2019, as compared to the same period in 2018. The increase in revenue is primarily due to the re-opening of the FOOW restaurant in late June 2018 and the opening of the WaterColor Store in January 2019. The increase in revenue was partially offset by a decrease related to the WaterColor Beach Club being closed during the three months ended June 30, 2019. Our gross margin decreased by 1.9% to 27.3% during the three months ended June 30, 2019, as compared to 29.2% during the same period in 2018. The decrease in gross margin was primarily due to a decrease in the average daily rate and lower occupancy at the WaterColor Inn in the current period.</w:t>
      </w:r>
    </w:p>
    <w:p>
      <w:pPr>
        <w:spacing w:after="0" w:line="178"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Revenue from our clubs increased $1.6 million or 30.8%, during the three months ended June 30, 2019 as compared to the same period in 2018, which included an increase related to an increase in the number of members and membership revenue, partially offset by a decrease in golf revenue primarily related to the sale of the SouthWood Golf Club in the third quarter of 2018. Our gross margin also increased to 44.1% during the three months ended June 30, 2019 compared to 23.1% during the same period in 2018. The increase in gross margin was primarily due to the increase in membership revenue.</w:t>
      </w:r>
    </w:p>
    <w:p>
      <w:pPr>
        <w:spacing w:after="0" w:line="15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Revenue from our marinas decreased $0.9 million, or 100.0% during the three months ended June 30, 2019, as compared to the same period in 2018, due to the impact of Hurricane Michael on the marinas. Gross profit during the three months ended June 30, 2019 includes $1.3 million related to business interruption insurance proceeds received during the period. Subsequent to the landfall of Hurricane Michael on October 10, 2018, the marinas remain closed. We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maintain property and business interruption insurance on the impacted marina assets. See Note 6. </w:t>
      </w:r>
      <w:r>
        <w:rPr>
          <w:rFonts w:ascii="Arial" w:cs="Arial" w:eastAsia="Arial" w:hAnsi="Arial"/>
          <w:sz w:val="18"/>
          <w:szCs w:val="18"/>
          <w:i w:val="1"/>
          <w:iCs w:val="1"/>
          <w:color w:val="auto"/>
        </w:rPr>
        <w:t>Hurricane Michael</w:t>
      </w:r>
      <w:r>
        <w:rPr>
          <w:rFonts w:ascii="Arial" w:cs="Arial" w:eastAsia="Arial" w:hAnsi="Arial"/>
          <w:sz w:val="18"/>
          <w:szCs w:val="18"/>
          <w:color w:val="auto"/>
        </w:rPr>
        <w:t xml:space="preserve"> for additional information.</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hospitality segment gross margin was 42.3% during the three months ended June 30, 2019, as compared to 26.3% during the same period in 2018. The increase is primarily related to the increase in membership revenue and business interruption insurance proceeds received related to Hurricane Michael. Excluding the $1.3 million of business interruption proceeds received for the marinas during the current period, our hospitality segment gross margin was 34.0% during the three months ended June 30, 2019, as compared to 26.3% during the same period in 2018. The increase is primarily related to the increase in membership revenue.</w:t>
      </w:r>
    </w:p>
    <w:p>
      <w:pPr>
        <w:spacing w:after="0" w:line="19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Other operating expenses include salaries and benefits, occupancy fees, professional fees and other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2019 Compared to the Six Months Ended June 30, 2018</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details of our hospitality segment revenue and 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 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Six Months Ended June 30, 2018</w:t>
            </w: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Gross</w:t>
            </w:r>
          </w:p>
        </w:tc>
        <w:tc>
          <w:tcPr>
            <w:tcW w:w="82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Profit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Margin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17"/>
              <w:spacing w:after="0"/>
              <w:rPr>
                <w:sz w:val="20"/>
                <w:szCs w:val="20"/>
                <w:color w:val="auto"/>
              </w:rPr>
            </w:pPr>
            <w:r>
              <w:rPr>
                <w:rFonts w:ascii="Arial" w:cs="Arial" w:eastAsia="Arial" w:hAnsi="Arial"/>
                <w:sz w:val="14"/>
                <w:szCs w:val="14"/>
                <w:b w:val="1"/>
                <w:bCs w:val="1"/>
                <w:color w:val="auto"/>
              </w:rPr>
              <w:t>Profit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Resorts, lodging and other management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Clubs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38.1 %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Marinas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17"/>
        </w:trPr>
        <w:tc>
          <w:tcPr>
            <w:tcW w:w="316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29.9 %</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Revenue from resorts, lodging and other management services increased $2.0 million, or 18.9%, during the six months ended June 30, 2019, as compared to the same period in 2018. The increase in revenue is primarily due to the re-opening of the FOOW restaurant in late June 2018 and the opening of the WaterColor Store in January 2019. The increase in revenue was partially offset by a decrease in room revenue for the WaterColor Inn from lower occupancy related to the WaterColor Beach Club being closed during the period. Our gross margin decreased by 0.9% to 15.1% during the six months ended June 30, 2019, as compared to 16.0% during the same period in 2018. The decrease in gross margin was primarily due to lower occupancy at the WaterColor Inn and the WaterColor Beach Club being closed during the six months ended June 30, 2019 for renovations.</w:t>
      </w:r>
    </w:p>
    <w:p>
      <w:pPr>
        <w:spacing w:after="0" w:line="17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Revenue from our clubs increased $1.8 million, or 20.7%, during the six months ended June 30, 2019 compared to the same period in 2018, which included an increase related to an increase in the number of members and membership revenue, partially offset by a decrease in golf revenue primarily related to the sale of the SouthWood Golf Club in the third quarter of 2018. As of June 30, 2019 we had 1,198 members, compared with 1,078 members as of June 30, 2018. Our gross margin also increased to 38.1% during the six months ended June 30, 2019 compared to 21.8% during the same period in 2018. The increase in gross margin was primarily due to the increase in membership revenue.</w:t>
      </w:r>
    </w:p>
    <w:p>
      <w:pPr>
        <w:spacing w:after="0" w:line="178"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Revenue from our marinas decreased $1.4 million, or 100.0% during the six months ended June 30, 2019, as compared to the same period in 2018, due to the impact of Hurricane Michael on the marinas. Gross profit during the six months ended June 30, 2019 includes $1.3 million related to business interruption insurance proceeds received during the period.</w:t>
      </w:r>
    </w:p>
    <w:p>
      <w:pPr>
        <w:ind w:right="120"/>
        <w:spacing w:after="0" w:line="323" w:lineRule="auto"/>
        <w:rPr>
          <w:sz w:val="20"/>
          <w:szCs w:val="20"/>
          <w:color w:val="auto"/>
        </w:rPr>
      </w:pPr>
      <w:r>
        <w:rPr>
          <w:rFonts w:ascii="Arial" w:cs="Arial" w:eastAsia="Arial" w:hAnsi="Arial"/>
          <w:sz w:val="16"/>
          <w:szCs w:val="16"/>
          <w:color w:val="auto"/>
        </w:rPr>
        <w:t xml:space="preserve">Subsequent to the landfall of Hurricane Michael on October 10, 2018, the marinas remain closed. We maintain property and business interruption insurance on the impacted marina assets. See Note 6. </w:t>
      </w:r>
      <w:r>
        <w:rPr>
          <w:rFonts w:ascii="Arial" w:cs="Arial" w:eastAsia="Arial" w:hAnsi="Arial"/>
          <w:sz w:val="16"/>
          <w:szCs w:val="16"/>
          <w:i w:val="1"/>
          <w:iCs w:val="1"/>
          <w:color w:val="auto"/>
        </w:rPr>
        <w:t>Hurricane Michael</w:t>
      </w:r>
      <w:r>
        <w:rPr>
          <w:rFonts w:ascii="Arial" w:cs="Arial" w:eastAsia="Arial" w:hAnsi="Arial"/>
          <w:sz w:val="16"/>
          <w:szCs w:val="16"/>
          <w:color w:val="auto"/>
        </w:rPr>
        <w:t xml:space="preserve"> for additional information.</w:t>
      </w:r>
    </w:p>
    <w:p>
      <w:pPr>
        <w:spacing w:after="0" w:line="139"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Our hospitality segment gross margin was 29.9% during the six months ended June 30, 2019, as compared to 18.8% during the same period in 2018. The increase is primarily related to the increase in membership revenue and business interruption insurance proceeds received related to Hurricane Michael. Excluding the $1.3 million of business interruption proceeds received for the marinas during the current period, our hospitality segment gross margin was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24.2% during the six months ended June 30, 2019, as compared to 18.8% during the same period in 2018. The increase is primarily related to the increase in membership revenue.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Other operating expenses include salaries and benefits, occupancy fees, professional fees and other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Leasing and Sales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the results of operations of our commercial leasing and sales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6"/>
          </w:tcPr>
          <w:p>
            <w:pPr>
              <w:ind w:left="300"/>
              <w:spacing w:after="0" w:line="142" w:lineRule="exact"/>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 revenue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5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Cost of leasing revenue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commercial real estate revenue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5560" w:type="dxa"/>
            <w:vAlign w:val="bottom"/>
          </w:tcPr>
          <w:p>
            <w:pPr>
              <w:ind w:left="22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5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7"/>
        </w:trPr>
        <w:tc>
          <w:tcPr>
            <w:tcW w:w="5560" w:type="dxa"/>
            <w:vAlign w:val="bottom"/>
          </w:tcPr>
          <w:p>
            <w:pPr>
              <w:ind w:left="320"/>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and Six Months Ended June 30, 2019 Compared to the Three and Six Months Ended June 30, 2018</w:t>
      </w:r>
    </w:p>
    <w:p>
      <w:pPr>
        <w:spacing w:after="0" w:line="225"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Leasing revenue increased $0.5 million, or 17.2%, during the three months ended June 30, 2019, as compared to the same period in 2018. Leasing revenue increased $1.0 million, or 17.5%, during the six months ended June 30, 2019, as compared to the same period in 2018. This increase is primarily due to new leases at properties such as Pier Park North, Beckrich Office Park, Pier Park Crossings and WaterColor Crossings. Leasing gross margin decreased during the three months ended June 30, 2019 to 67.6%, as compared to 72.4% during the same period in 2018. Leasing gross margin decreased during the six months ended June 30, 2019 to 68.7%, as compared to 70.2% during the same period in 2018. The decrease in gross margin was primarily due to an increase in cost of leasing revenue for new leases during the three and six months ended June 30, 2019. As of June 30, 2019, we had net rentable square feet of approximately 823,000, of which approximately 758,000 square feet was under lease. As of June 30, 2018, we had net rentable square feet of approximately 809,000, of which approximately 719,000 square feet was under lease.</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Commercial real estate revenue can vary depending on the proximity to developed areas and the mix and characteristics of commercial real estate sold in each period, with varying compositions of retail, office, industrial and other commercial uses. During the three months ended June 30, 2019 there were no commercial land real estate sales. During the three months ended June 30, 2018, we had three commercial real estate sales totaling approximately 2 acres for $0.4 million, resulting in a gross profit margin of approximately 50.0%. During the six months ended June 30, 2019 we had two commercial real estate sales totaling approximately 51 acres for $1.0 million, with di minimis cost of revenue resulting in a gross profit margin of approximately 100.0%. During the six months ended June 30, 2018, we had four commercial real estate sale totaling approximately 5 acres for $0.8 million, resulting in a gross profit margin of approximately 62.5%. As our focus continues to evolve more towards recurring revenue from leasing operations, we expect to have limited commercial real estate sales.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Other operating expenses include salaries and benefits, property taxes, CDD assessments, professional fees, marketing, project administration and other administrative expenses.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expense primarily includes interest incurred from our commercial leasing project financing and CDD debt.</w:t>
      </w:r>
    </w:p>
    <w:p>
      <w:pPr>
        <w:spacing w:after="0" w:line="237"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 xml:space="preserve">Other income, net for the six months ended June 30, 2019 includes a gain of $1.5 million on land contributed to our unconsolidated Pier Park TPS JV. See Note 9, </w:t>
      </w:r>
      <w:r>
        <w:rPr>
          <w:rFonts w:ascii="Arial" w:cs="Arial" w:eastAsia="Arial" w:hAnsi="Arial"/>
          <w:sz w:val="17"/>
          <w:szCs w:val="17"/>
          <w:i w:val="1"/>
          <w:iCs w:val="1"/>
          <w:color w:val="auto"/>
        </w:rPr>
        <w:t>Real Estate Joint Ventures</w:t>
      </w:r>
      <w:r>
        <w:rPr>
          <w:rFonts w:ascii="Arial" w:cs="Arial" w:eastAsia="Arial" w:hAnsi="Arial"/>
          <w:sz w:val="17"/>
          <w:szCs w:val="17"/>
          <w:color w:val="auto"/>
        </w:rPr>
        <w:t xml:space="preserve"> for additional information.</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net rentable square feet and percentage leased of leasing properties by location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790"/>
              <w:spacing w:after="0"/>
              <w:rPr>
                <w:sz w:val="20"/>
                <w:szCs w:val="20"/>
                <w:color w:val="auto"/>
              </w:rPr>
            </w:pPr>
            <w:r>
              <w:rPr>
                <w:rFonts w:ascii="Arial" w:cs="Arial" w:eastAsia="Arial" w:hAnsi="Arial"/>
                <w:sz w:val="14"/>
                <w:szCs w:val="14"/>
                <w:b w:val="1"/>
                <w:bCs w:val="1"/>
                <w:color w:val="auto"/>
              </w:rPr>
              <w:t>June 30, 2019</w:t>
            </w:r>
          </w:p>
        </w:tc>
        <w:tc>
          <w:tcPr>
            <w:tcW w:w="186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Net</w:t>
            </w:r>
          </w:p>
        </w:tc>
        <w:tc>
          <w:tcPr>
            <w:tcW w:w="7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Net</w:t>
            </w:r>
          </w:p>
        </w:tc>
        <w:tc>
          <w:tcPr>
            <w:tcW w:w="8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Rentable</w:t>
            </w:r>
          </w:p>
        </w:tc>
        <w:tc>
          <w:tcPr>
            <w:tcW w:w="128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w w:val="92"/>
              </w:rPr>
              <w:t>Percentage</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Rentable</w:t>
            </w:r>
          </w:p>
        </w:tc>
        <w:tc>
          <w:tcPr>
            <w:tcW w:w="106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Location</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Square</w:t>
            </w:r>
          </w:p>
        </w:tc>
        <w:tc>
          <w:tcPr>
            <w:tcW w:w="1280" w:type="dxa"/>
            <w:vAlign w:val="bottom"/>
            <w:gridSpan w:val="2"/>
            <w:vMerge w:val="continue"/>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Square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Feet</w:t>
            </w:r>
          </w:p>
        </w:tc>
        <w:tc>
          <w:tcPr>
            <w:tcW w:w="128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Leased</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Feet</w:t>
            </w: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5"/>
        </w:trPr>
        <w:tc>
          <w:tcPr>
            <w:tcW w:w="2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Bay County,</w:t>
            </w:r>
          </w:p>
        </w:tc>
        <w:tc>
          <w:tcPr>
            <w:tcW w:w="1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 Park North JV</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320,310</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96 %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320,310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Bay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VentureCrossings</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243,605</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243,605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Bay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Beckrich Office Park</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91 %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Gulf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WindMark Beach Commercial </w:t>
            </w:r>
            <w:r>
              <w:rPr>
                <w:rFonts w:ascii="Arial" w:cs="Arial" w:eastAsia="Arial" w:hAnsi="Arial"/>
                <w:sz w:val="8"/>
                <w:szCs w:val="8"/>
                <w:color w:val="auto"/>
              </w:rPr>
              <w:t>(1)</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49,260</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56 %</w:t>
            </w:r>
          </w:p>
        </w:tc>
        <w:tc>
          <w:tcPr>
            <w:tcW w:w="640" w:type="dxa"/>
            <w:vAlign w:val="bottom"/>
          </w:tcPr>
          <w:p>
            <w:pPr>
              <w:jc w:val="right"/>
              <w:spacing w:after="0"/>
              <w:rPr>
                <w:sz w:val="20"/>
                <w:szCs w:val="20"/>
                <w:color w:val="auto"/>
              </w:rPr>
            </w:pPr>
            <w:r>
              <w:rPr>
                <w:rFonts w:ascii="Arial" w:cs="Arial" w:eastAsia="Arial" w:hAnsi="Arial"/>
                <w:sz w:val="18"/>
                <w:szCs w:val="18"/>
                <w:color w:val="auto"/>
              </w:rPr>
              <w:t>49,260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Leon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SouthWood Town Center </w:t>
            </w:r>
            <w:r>
              <w:rPr>
                <w:rFonts w:ascii="Arial" w:cs="Arial" w:eastAsia="Arial" w:hAnsi="Arial"/>
                <w:sz w:val="8"/>
                <w:szCs w:val="8"/>
                <w:color w:val="auto"/>
              </w:rPr>
              <w:t>(2)</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34,230</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85 %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 xml:space="preserve">WaterColor Town Center </w:t>
            </w:r>
            <w:r>
              <w:rPr>
                <w:rFonts w:ascii="Arial" w:cs="Arial" w:eastAsia="Arial" w:hAnsi="Arial"/>
                <w:sz w:val="8"/>
                <w:szCs w:val="8"/>
                <w:color w:val="auto"/>
              </w:rPr>
              <w:t>(2) (3)</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21,200</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tcPr>
          <w:p>
            <w:pPr>
              <w:jc w:val="right"/>
              <w:spacing w:after="0"/>
              <w:rPr>
                <w:sz w:val="20"/>
                <w:szCs w:val="20"/>
                <w:color w:val="auto"/>
              </w:rPr>
            </w:pPr>
            <w:r>
              <w:rPr>
                <w:rFonts w:ascii="Arial" w:cs="Arial" w:eastAsia="Arial" w:hAnsi="Arial"/>
                <w:sz w:val="18"/>
                <w:szCs w:val="18"/>
                <w:color w:val="auto"/>
              </w:rPr>
              <w:t>21,200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Gulf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 St. Joe Commercial</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Bay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Beach Commerce Park</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14,700</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tcPr>
          <w:p>
            <w:pPr>
              <w:jc w:val="right"/>
              <w:spacing w:after="0"/>
              <w:rPr>
                <w:sz w:val="20"/>
                <w:szCs w:val="20"/>
                <w:color w:val="auto"/>
              </w:rPr>
            </w:pPr>
            <w:r>
              <w:rPr>
                <w:rFonts w:ascii="Arial" w:cs="Arial" w:eastAsia="Arial" w:hAnsi="Arial"/>
                <w:sz w:val="18"/>
                <w:szCs w:val="18"/>
                <w:color w:val="auto"/>
              </w:rPr>
              <w:t>14,700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Franklin</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SummerCamp Commercial</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County, 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South Walton Commerce Park</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11,570</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53 %</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WaterSound Gatehouse </w:t>
            </w:r>
            <w:r>
              <w:rPr>
                <w:rFonts w:ascii="Arial" w:cs="Arial" w:eastAsia="Arial" w:hAnsi="Arial"/>
                <w:sz w:val="8"/>
                <w:szCs w:val="8"/>
                <w:color w:val="auto"/>
              </w:rPr>
              <w:t>(2) (4)</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88 %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WaterColor Crossings</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7,135</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tcPr>
          <w:p>
            <w:pPr>
              <w:jc w:val="right"/>
              <w:spacing w:after="0"/>
              <w:rPr>
                <w:sz w:val="20"/>
                <w:szCs w:val="20"/>
                <w:color w:val="auto"/>
              </w:rPr>
            </w:pPr>
            <w:r>
              <w:rPr>
                <w:rFonts w:ascii="Arial" w:cs="Arial" w:eastAsia="Arial" w:hAnsi="Arial"/>
                <w:sz w:val="18"/>
                <w:szCs w:val="18"/>
                <w:color w:val="auto"/>
              </w:rPr>
              <w:t>7,135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395 Office building</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3"/>
          </w:tcPr>
          <w:p>
            <w:pPr>
              <w:ind w:left="740"/>
              <w:spacing w:after="0" w:line="201" w:lineRule="exact"/>
              <w:rPr>
                <w:sz w:val="20"/>
                <w:szCs w:val="20"/>
                <w:color w:val="auto"/>
              </w:rPr>
            </w:pPr>
            <w:r>
              <w:rPr>
                <w:rFonts w:ascii="Arial" w:cs="Arial" w:eastAsia="Arial" w:hAnsi="Arial"/>
                <w:sz w:val="18"/>
                <w:szCs w:val="18"/>
                <w:color w:val="auto"/>
              </w:rPr>
              <w:t>Bay County,</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Pier Park outparcel</w:t>
            </w:r>
          </w:p>
        </w:tc>
        <w:tc>
          <w:tcPr>
            <w:tcW w:w="2020" w:type="dxa"/>
            <w:vAlign w:val="bottom"/>
            <w:gridSpan w:val="3"/>
          </w:tcPr>
          <w:p>
            <w:pPr>
              <w:ind w:left="740"/>
              <w:spacing w:after="0"/>
              <w:rPr>
                <w:sz w:val="20"/>
                <w:szCs w:val="20"/>
                <w:color w:val="auto"/>
              </w:rPr>
            </w:pPr>
            <w:r>
              <w:rPr>
                <w:rFonts w:ascii="Arial" w:cs="Arial" w:eastAsia="Arial" w:hAnsi="Arial"/>
                <w:sz w:val="18"/>
                <w:szCs w:val="18"/>
                <w:color w:val="auto"/>
              </w:rPr>
              <w:t>FL</w:t>
            </w:r>
          </w:p>
        </w:tc>
        <w:tc>
          <w:tcPr>
            <w:tcW w:w="64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20"/>
                <w:szCs w:val="20"/>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tcPr>
          <w:p>
            <w:pPr>
              <w:jc w:val="right"/>
              <w:spacing w:after="0"/>
              <w:rPr>
                <w:sz w:val="20"/>
                <w:szCs w:val="20"/>
                <w:color w:val="auto"/>
              </w:rPr>
            </w:pPr>
            <w:r>
              <w:rPr>
                <w:rFonts w:ascii="Arial" w:cs="Arial" w:eastAsia="Arial" w:hAnsi="Arial"/>
                <w:sz w:val="18"/>
                <w:szCs w:val="18"/>
                <w:color w:val="auto"/>
              </w:rPr>
              <w:t>5,565</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ind w:left="740"/>
              <w:spacing w:after="0" w:line="201" w:lineRule="exact"/>
              <w:rPr>
                <w:sz w:val="20"/>
                <w:szCs w:val="20"/>
                <w:color w:val="auto"/>
              </w:rPr>
            </w:pPr>
            <w:r>
              <w:rPr>
                <w:rFonts w:ascii="Arial" w:cs="Arial" w:eastAsia="Arial" w:hAnsi="Arial"/>
                <w:sz w:val="18"/>
                <w:szCs w:val="18"/>
                <w:color w:val="auto"/>
              </w:rPr>
              <w:t>Walton County,</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WaterColor HOA Office </w:t>
            </w:r>
            <w:r>
              <w:rPr>
                <w:rFonts w:ascii="Arial" w:cs="Arial" w:eastAsia="Arial" w:hAnsi="Arial"/>
                <w:sz w:val="8"/>
                <w:szCs w:val="8"/>
                <w:color w:val="auto"/>
              </w:rPr>
              <w:t>(5)</w:t>
            </w:r>
          </w:p>
        </w:tc>
        <w:tc>
          <w:tcPr>
            <w:tcW w:w="20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FL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100 %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822,666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812,630</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Included in net rentable square feet as of June 30, 2019 and December 31, 2018, is 13,808 square feet of unfinished space.</w:t>
      </w:r>
    </w:p>
    <w:p>
      <w:pPr>
        <w:spacing w:after="0" w:line="33" w:lineRule="exact"/>
        <w:rPr>
          <w:rFonts w:ascii="Arial" w:cs="Arial" w:eastAsia="Arial" w:hAnsi="Arial"/>
          <w:sz w:val="15"/>
          <w:szCs w:val="15"/>
          <w:color w:val="auto"/>
        </w:rPr>
      </w:pPr>
    </w:p>
    <w:p>
      <w:pPr>
        <w:ind w:left="320" w:hanging="317"/>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addition to net rentable square feet, there is also space that we occupy or that serves as common area.</w:t>
      </w:r>
    </w:p>
    <w:p>
      <w:pPr>
        <w:spacing w:after="0" w:line="18" w:lineRule="exact"/>
        <w:rPr>
          <w:rFonts w:ascii="Arial" w:cs="Arial" w:eastAsia="Arial" w:hAnsi="Arial"/>
          <w:sz w:val="16"/>
          <w:szCs w:val="16"/>
          <w:color w:val="auto"/>
        </w:rPr>
      </w:pPr>
    </w:p>
    <w:p>
      <w:pPr>
        <w:ind w:left="320" w:right="200" w:hanging="317"/>
        <w:spacing w:after="0" w:line="264"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addition to net rentable square feet, there is an additional 1,332 square feet that was repurposed during the fourth quarter of 2018 into a new store operated by us.</w:t>
      </w:r>
    </w:p>
    <w:p>
      <w:pPr>
        <w:ind w:left="320" w:right="180" w:hanging="317"/>
        <w:spacing w:after="0" w:line="264"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addition to net rentable square feet, there is an additional 1,534 square feet that was repurposed in 2019 into a new store operated by us, as well as office space occupied by us.</w:t>
      </w:r>
    </w:p>
    <w:p>
      <w:pPr>
        <w:jc w:val="both"/>
        <w:ind w:left="320" w:right="120" w:hanging="317"/>
        <w:spacing w:after="0" w:line="36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addition to net rentable square feet, there is an additional 1,276 square feet that currently serves as common area, but is subject to an agreement whereby the current lessee is expected to expand their lease in the fourth quarter of 2019 to include the entire building.</w:t>
      </w:r>
    </w:p>
    <w:p>
      <w:pPr>
        <w:spacing w:after="0" w:line="125"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8"/>
          <w:szCs w:val="18"/>
          <w:color w:val="auto"/>
        </w:rPr>
        <w:t>Total units and percentage leased for apartments by location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June 30, 2019</w:t>
            </w:r>
          </w:p>
        </w:tc>
        <w:tc>
          <w:tcPr>
            <w:tcW w:w="1040" w:type="dxa"/>
            <w:vAlign w:val="bottom"/>
            <w:tcBorders>
              <w:bottom w:val="single" w:sz="8" w:color="auto"/>
            </w:tcBorders>
          </w:tcPr>
          <w:p>
            <w:pPr>
              <w:spacing w:after="0"/>
              <w:rPr>
                <w:sz w:val="14"/>
                <w:szCs w:val="14"/>
                <w:color w:val="auto"/>
              </w:rPr>
            </w:pPr>
          </w:p>
        </w:tc>
      </w:tr>
      <w:tr>
        <w:trPr>
          <w:trHeight w:val="211"/>
        </w:trPr>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r>
      <w:tr>
        <w:trPr>
          <w:trHeight w:val="216"/>
        </w:trPr>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Leased</w:t>
            </w:r>
          </w:p>
        </w:tc>
      </w:tr>
      <w:tr>
        <w:trPr>
          <w:trHeight w:val="216"/>
        </w:trPr>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Units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of Units</w:t>
            </w:r>
          </w:p>
        </w:tc>
      </w:tr>
      <w:tr>
        <w:trPr>
          <w:trHeight w:val="201"/>
        </w:trPr>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2"/>
          </w:tcPr>
          <w:p>
            <w:pPr>
              <w:ind w:left="68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Planned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Completed</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Leased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Completed</w:t>
            </w:r>
          </w:p>
        </w:tc>
      </w:tr>
      <w:tr>
        <w:trPr>
          <w:trHeight w:val="210"/>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Pier Park Crossings </w:t>
            </w:r>
            <w:r>
              <w:rPr>
                <w:rFonts w:ascii="Arial" w:cs="Arial" w:eastAsia="Arial" w:hAnsi="Arial"/>
                <w:sz w:val="8"/>
                <w:szCs w:val="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Bay County, FL</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 xml:space="preserve">Origins Crossings </w:t>
            </w:r>
            <w:r>
              <w:rPr>
                <w:rFonts w:ascii="Arial" w:cs="Arial" w:eastAsia="Arial" w:hAnsi="Arial"/>
                <w:sz w:val="8"/>
                <w:szCs w:val="8"/>
                <w:color w:val="auto"/>
              </w:rPr>
              <w:t>(2)</w:t>
            </w:r>
          </w:p>
        </w:tc>
        <w:tc>
          <w:tcPr>
            <w:tcW w:w="2500" w:type="dxa"/>
            <w:vAlign w:val="bottom"/>
            <w:gridSpan w:val="4"/>
          </w:tcPr>
          <w:p>
            <w:pPr>
              <w:ind w:left="340"/>
              <w:spacing w:after="0"/>
              <w:rPr>
                <w:sz w:val="20"/>
                <w:szCs w:val="20"/>
                <w:color w:val="auto"/>
              </w:rPr>
            </w:pPr>
            <w:r>
              <w:rPr>
                <w:rFonts w:ascii="Arial" w:cs="Arial" w:eastAsia="Arial" w:hAnsi="Arial"/>
                <w:sz w:val="18"/>
                <w:szCs w:val="18"/>
                <w:color w:val="auto"/>
              </w:rPr>
              <w:t>Walton County, FL</w:t>
            </w: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7"/>
        </w:trPr>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115"/>
        </w:trPr>
        <w:tc>
          <w:tcPr>
            <w:tcW w:w="1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98"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Construction began in the second quarter of 2018.</w:t>
      </w:r>
    </w:p>
    <w:p>
      <w:pPr>
        <w:spacing w:after="0" w:line="22" w:lineRule="exact"/>
        <w:rPr>
          <w:rFonts w:ascii="Arial" w:cs="Arial" w:eastAsia="Arial" w:hAnsi="Arial"/>
          <w:sz w:val="16"/>
          <w:szCs w:val="16"/>
          <w:color w:val="auto"/>
        </w:rPr>
      </w:pPr>
    </w:p>
    <w:p>
      <w:pPr>
        <w:ind w:left="320" w:hanging="317"/>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Construction began in the second quarter of 2019.</w:t>
      </w:r>
    </w:p>
    <w:p>
      <w:pPr>
        <w:sectPr>
          <w:pgSz w:w="11900" w:h="16838" w:orient="portrait"/>
          <w:cols w:equalWidth="0" w:num="1">
            <w:col w:w="9060"/>
          </w:cols>
          <w:pgMar w:left="1420" w:top="12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9060"/>
          </w:cols>
          <w:pgMar w:left="1420" w:top="125" w:right="1419" w:bottom="0" w:gutter="0" w:footer="0" w:header="0"/>
          <w:type w:val="continuous"/>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Forestry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the results of operations of our forestry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5"/>
          </w:tcPr>
          <w:p>
            <w:pPr>
              <w:ind w:left="320"/>
              <w:spacing w:after="0" w:line="142" w:lineRule="exact"/>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Timber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 revenue - other rural land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Leasing revenue</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timber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Cost of real estate revenue - other rural land revenue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depletion</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18"/>
                <w:szCs w:val="18"/>
                <w:color w:val="auto"/>
              </w:rPr>
            </w:pPr>
          </w:p>
        </w:tc>
      </w:tr>
      <w:tr>
        <w:trPr>
          <w:trHeight w:val="27"/>
        </w:trPr>
        <w:tc>
          <w:tcPr>
            <w:tcW w:w="5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tons sold and relative percentage of total tons sold by major type of timber revenue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960" w:type="dxa"/>
            <w:vAlign w:val="bottom"/>
            <w:gridSpan w:val="9"/>
          </w:tcPr>
          <w:p>
            <w:pPr>
              <w:jc w:val="right"/>
              <w:ind w:right="67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Pine pulpwood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Pine sawtimber</w:t>
            </w:r>
          </w:p>
        </w:tc>
        <w:tc>
          <w:tcPr>
            <w:tcW w:w="5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12.9 %</w:t>
            </w: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33.9 %</w:t>
            </w:r>
          </w:p>
        </w:tc>
        <w:tc>
          <w:tcPr>
            <w:tcW w:w="54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9.8 %</w:t>
            </w:r>
          </w:p>
        </w:tc>
        <w:tc>
          <w:tcPr>
            <w:tcW w:w="640" w:type="dxa"/>
            <w:vAlign w:val="bottom"/>
          </w:tcPr>
          <w:p>
            <w:pPr>
              <w:jc w:val="right"/>
              <w:spacing w:after="0"/>
              <w:rPr>
                <w:sz w:val="20"/>
                <w:szCs w:val="20"/>
                <w:color w:val="auto"/>
              </w:rPr>
            </w:pPr>
            <w:r>
              <w:rPr>
                <w:rFonts w:ascii="Arial" w:cs="Arial" w:eastAsia="Arial" w:hAnsi="Arial"/>
                <w:sz w:val="18"/>
                <w:szCs w:val="18"/>
                <w:color w:val="auto"/>
              </w:rPr>
              <w:t>63,000</w:t>
            </w:r>
          </w:p>
        </w:tc>
        <w:tc>
          <w:tcPr>
            <w:tcW w:w="12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29.4 %</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Pine grade logs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25.8 %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8.1 %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21.3 %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7.0 %</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41.9 %</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30,000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49.2 %</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0.5 %</w:t>
            </w:r>
          </w:p>
        </w:tc>
      </w:tr>
      <w:tr>
        <w:trPr>
          <w:trHeight w:val="217"/>
        </w:trPr>
        <w:tc>
          <w:tcPr>
            <w:tcW w:w="3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40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4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2019 Compared to the Three months ended June 30, 2018</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Timber revenue decreased by $1.2 million, or 63.2%, during the three months ended June 30, 2019, as compared to the same period in 2018. The decrease is primarily due to a decrease in the amount of tons sold and product mix changes caused by Hurricane Michael’s significant market impact since landfall in October 2018. There were 31,000 tons sold during the three months ended June 30, 2019, as compared to 112,000 tons sold during the same period in 2018. The average price per ton sold increased to $16.06 during the three months ended June 30, 2019, as compared to $15.64 during the same period in 2018. Gross margin decreased during the three months ended June 30, 2019, to 71.4%, as compared to 89.5% during the same period in 2018, primarily due to decreases in volume and changes in product mix.</w:t>
      </w:r>
    </w:p>
    <w:p>
      <w:pPr>
        <w:spacing w:after="0" w:line="167"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During the three months ended June 30, 2019, we sold approximately 34 acres of rural and timber land for $1.2 million, resulting in a gross profit margin of approximately 91.7%. During the three months ended June 30, 2018, we sold approximately 77 acres of rural and timber land for $0.7 million, resulting in a gross profit margin of approximately 85.7%.</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Leasing revenue consists primarily of hunting leases, which is recognized as income over the term of each lease.</w:t>
      </w:r>
    </w:p>
    <w:p>
      <w:pPr>
        <w:spacing w:after="0" w:line="23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Other operating expenses include salaries and benefits, property taxes, professional fees and other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2019 Compared to the Six Months Ended June 30, 2018</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Timber revenue decreased by $2.2 million, or 62.9%, during the six months ended June 30, 2019, as compared to the same period in 2018. The decrease is primarily due to a decrease in the amount of tons sold, along with price decreases and product mix changes caused by Hurricane Michael’s significant market impact since landfall in October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2018. There were 61,000 tons sold during the six months ended June 30, 2019, as compared to 214,000 tons sold during the same period in 2018. The average price per ton sold decreased to $14.42 during the six months ended June 30, 2019, as compared to $15.44 during the same period in 2018. Gross margin decreased during the six months ended June 30, 2019, to 76.9%, as compared to 88.6% during the same period in 2018, primarily due to decreases in sales price and volume.</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During the six months ended June 30, 2019, we sold approximately 54 acres of rural and timber land for $1.3 million, resulting in a gross profit margin of approximately 92.3%. During the six months ended June 30, 2018, we sold approximately 94 acres of rural and timber land for $0.9 million, resulting in a gross profit margin of approximately 77.8%.</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Leasing revenue consists primarily of hunting leases, which is recognized as income over the term of each lease.</w:t>
      </w:r>
    </w:p>
    <w:p>
      <w:pPr>
        <w:spacing w:after="0" w:line="23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Other operating expenses include salaries and benefits, property taxes, professional fees and other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2019, we had cash and cash equivalents of $195.6 million, compared to $195.2 million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Our cash and cash equivalents at June 30, 2019 includes commercial paper of $154.2 million, short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Treasury securities of $7.0 million and $1.8 million of money market funds. In addition to cash and cash equivalents,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 our investments classified as available-for-sale securities and equity securities (“Securities”), as being generally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available to meet our liquidity needs. Securities are not as liquid as cash and cash equivalents, but they are generally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convertible into cash within a relatively short period of time. As of June 30, 2019, we had investments - debt securities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debt securities of $2.8 million and investments - equity securities in preferred stock investments of $36.3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had investments - debt securities in U.S. Treasury securities of $6.9 million and corporate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securities of $2.0 million and investments - equity securities in preferred stock investments of $36.1 million. See Note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for additional information regarding our investments.</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our current cash position and our anticipated cash flows from cash equivalents, short term investments and cash generated from operations will provide us with sufficient liquidity to satisfy our anticipated working capital needs, expected capital expenditures, principal and interest payments on our long term debt and authorized stock repurchases for the next twelve months.</w:t>
      </w:r>
    </w:p>
    <w:p>
      <w:pPr>
        <w:spacing w:after="0" w:line="18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During the six months ended June 30, 2019, we incurred a total of $48.6 million for capital expenditures, which includes $12.9 million related to the acquisition and development in our residential real estate communities, $23.7 million for our commercial leasing and sales segment, $10.8 million related to our hospitality segment and $1.2 million related primarily to our forestry segment and corporate expenditures. As of June 30, 2019, we had a total of $96.9 million in construction and development related contractual obligations, of which a portion will be funded through committed financing arrangements.</w:t>
      </w:r>
    </w:p>
    <w:p>
      <w:pPr>
        <w:spacing w:after="0" w:line="15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In October 2015, the Pier Park North JV entered into a $48.2 million loan. As of June 30, 2019 and December 31, 2018, $46.0 million and $46.4 million, respectively, was outstanding on the PPN JV Loan. The PPN JV Loan accrues interest at a rate of 4.1% per annum and matures in November 2025. In connection with the PPN JV Loan, we entered into a limited guarantee in favor of the lender, based on our percentage ownership of the JV. In addition, the guarantee can become full recourse in the case of any fraud or intentional misrepresentation by the Pier Park North JV; any voluntary transfer or encumbrance of the property in violation of the due-on-sale clause in the security instrument; upon commencement of voluntary bankruptcy or insolvency proceedings and upon breach of covenants in the security instrument.</w:t>
      </w:r>
    </w:p>
    <w:p>
      <w:pPr>
        <w:spacing w:after="0" w:line="16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May 2018, the Pier Park Crossings JV entered into a $36.6 million loan, insured by HUD, to finance the construction of apartments in Panama City Beach, Florida. As of June 30, 2019 and December 31, 2018, $24.6 million and $15.4 million, respectively, was outstanding on the PPC JV Loan. The PPC JV Loan accrues interest at a rate of 4.0% per annum and matures in June 2060. The PPC JV Loan may not be prepaid prior to July 1, 2020. From July 1,</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2020 through June 30, 2030, a prepayment premium is due to the lender of 1.0% - 10.0% of any principal prepaid. The PPC JV Loan is secured by the Pier Park Crossings JV’s real property and the assignment of rents and leases.</w:t>
      </w:r>
    </w:p>
    <w:p>
      <w:pPr>
        <w:spacing w:after="0" w:line="14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May 2019, the Origins Crossings JV entered into a $37.9 million loan. As of June 30, 2019, there was no principal balance outstanding on the Origins Crossings JV Loan. The Origins Crossings JV Loan bears interest at a rate of 5.0% and matures in May 2024. The Origins Crossings JV Loan is secured by the real property, assignment of rents and the security interest in the rents and personal property. In connection with the Origins Crossings JV Loan, we executed a guarantee in favor of the lender to guarantee the payment and performance of the borrower under the Origins Crossings JV Loan. We are the sole guarantor and will receive a fee related to the guarantee from our JV partner based on the JV partner’s ownership percentage.</w:t>
      </w:r>
    </w:p>
    <w:p>
      <w:pPr>
        <w:spacing w:after="0" w:line="18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 xml:space="preserve">In June 2019, the Watercrest JV entered into a $22.5 million loan. As of June 30, 2019, there was no principal balance outstanding on the Watercrest JV Loan. The Watercrest JV Loan bears interest at a rate of LIBOR plus 2.2% and matures in June 2047. The Watercrest JV Loan is secured by the real property, assignment of rents, leases and deposits and the security interest in the rents and personal property. In connection with the Watercrest JV Loan, we executed a guarantee in favor of the lender to guarantee the payment and performance of the borrower under the Watercrest JV Loan. We are the sole guarantor and will receive a fee related to the guarantee from our JV partner based on the JV partner’s ownership percentage. We entered into an interest rate swap to hedge cash flows tied to changes in the underlying floating interest rate tied to LIBOR. The interest rate swap is effective June 1, 2021 and matures on June 1, 2024 and fixed the variable rate debt on the notional amount of related debt of $20.0 million to a rate of 4.37%. See Item 3. </w:t>
      </w:r>
      <w:r>
        <w:rPr>
          <w:rFonts w:ascii="Arial" w:cs="Arial" w:eastAsia="Arial" w:hAnsi="Arial"/>
          <w:sz w:val="16"/>
          <w:szCs w:val="16"/>
          <w:i w:val="1"/>
          <w:iCs w:val="1"/>
          <w:color w:val="auto"/>
        </w:rPr>
        <w:t>Quantitative and Qualitative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Market Risk </w:t>
      </w:r>
      <w:r>
        <w:rPr>
          <w:rFonts w:ascii="Arial" w:cs="Arial" w:eastAsia="Arial" w:hAnsi="Arial"/>
          <w:sz w:val="16"/>
          <w:szCs w:val="16"/>
          <w:color w:val="auto"/>
        </w:rPr>
        <w:t>for additional information regarding LIBOR related risks.</w:t>
      </w:r>
    </w:p>
    <w:p>
      <w:pPr>
        <w:spacing w:after="0" w:line="16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CDD bonds financed the construction of infrastructure improvements in some of our communities. The principal and interest payments on the bonds are paid by assessments on the properties benefited by the improvements financed by the bonds. We have recorded a liability for CDD debt that is associated with platted property, which is the point at which it becomes fixed or determinable. Additionally, we have recorded a liability for the balance of the CDD debt that is associated with unplatted property if it is probable and reasonably estimable that we will ultimately be responsible for repayment. We have recorded CDD related debt of $7.0 million as of June 30, 2019. Total outstanding CDD debt related to our land holdings was $18.9 million at June 30, 2019, which was comprised of $15.8 million at SouthWood, $2.6 million at the existing Pier Park retail center and $0.5 million at Wild Heron. We pay interest on this total outstanding CDD debt.</w:t>
      </w:r>
    </w:p>
    <w:p>
      <w:pPr>
        <w:spacing w:after="0" w:line="166"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 xml:space="preserve">During the six months ended June 30, 2019 and 2018, we repurchased a total of 471,500 and 4,065,160 shares, respectively, of our common stock outstanding for an aggregate purchase price of $7.1 million and $72.5 million, respectively, including costs. See Note 14.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and Part II – Other Information – Item 2 of this quarterly report for additional information regarding common stock repurchases related to the Stock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flows from operating, investing and financing activities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6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r>
      <w:tr>
        <w:trPr>
          <w:trHeight w:val="196"/>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40" w:type="dxa"/>
            <w:vAlign w:val="bottom"/>
            <w:shd w:val="clear" w:color="auto" w:fill="CCEEFF"/>
          </w:tcPr>
          <w:p>
            <w:pPr>
              <w:spacing w:after="0"/>
              <w:rPr>
                <w:sz w:val="18"/>
                <w:szCs w:val="18"/>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40" w:type="dxa"/>
            <w:vAlign w:val="bottom"/>
          </w:tcPr>
          <w:p>
            <w:pPr>
              <w:spacing w:after="0"/>
              <w:rPr>
                <w:sz w:val="18"/>
                <w:szCs w:val="18"/>
                <w:color w:val="auto"/>
              </w:rPr>
            </w:pPr>
          </w:p>
        </w:tc>
      </w:tr>
      <w:tr>
        <w:trPr>
          <w:trHeight w:val="864"/>
        </w:trPr>
        <w:tc>
          <w:tcPr>
            <w:tcW w:w="6980" w:type="dxa"/>
            <w:vAlign w:val="bottom"/>
          </w:tcPr>
          <w:p>
            <w:pPr>
              <w:ind w:left="44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Cash flows provided by operating activities include costs related to assets ultimately planned to be sold, including residential real estate development and related amenities, sales of timberlands or undeveloped and developed land and land developed by the commercial leasing and sales segment. Net cash provided by operations was $12.3 million during the six months ended June 30, 2019, as compared to net cash provided by operations of $37.7 million during the same period in 2018. Net cash provided by operations included $23.1 million of RiverTown impact fees received during the six months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Cash flows (used in) provided by investing activities primarily includes capital expenditures for operating property and property and equipment used in our operations and purchases of investments, partially offset by maturities of investments, proceeds from insurance claims, proceeds from the disposition of assets, sales of investments and maturities of assets held by SPEs. During the six months ended June 30, 2019, net cash used in investing activities was $14.7 million, which included capital expenditures for operating property and equipment and purchases of investments of less than $0.1 million, partially offset by proceeds from insurance claims of $10.8 million, maturities of investments – debt securities of $7.0 million, sales of restricted investments of $1.2 million and maturities of assets held by SPEs of $0.4 million. During the six months ended June 30, 2018, net cash provided by investing activities was $56.0 million, which included sales of investments - debt securities of $63.5 million, sales of investments – equity securities of $7.3 million, proceeds from the disposition of assets of $5.0 million, sales of restricted investments of $1.1 million and maturities of assets held by SPEs of $0.4 million, partially offset by purchases of investments - equity securities of $10.4 million and capital expenditures for operating property and equipment.</w:t>
      </w:r>
    </w:p>
    <w:p>
      <w:pPr>
        <w:spacing w:after="0" w:line="18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Capital expenditures for operating property and property and equipment were $34.0 million and $10.9 million, during the six months ended June 30, 2019 and 2018, respectively, which were primarily for our commercial leasing and sales and hospitality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Net cash provided by financing activities during the six months ended June 30, 2019 was $3.0 million compared to net cash used in financing activities during the six months ended June 30, 2018 of $67.9 million. Net cash provided by financing activities during the six months ended June 30, 2019 included borrowings on debt of $10.6 million and capital contribution from non-controlling interest of $1.8 million, partially offset by the repurchase of common stock of $7.1 million, principal payments on debt of $1.0 million, debt issuance costs of $0.8 million, capital contribution to unconsolidated affiliate of $0.3 million and capital distribution to non-controlling interest of $0.2 million. Net cash used in financing activities during the six months ended June 30, 2018 included the repurchase of our common stock of $72.5 million, debt issuance costs of $1.1 million and principal payments on debt of $0.9 million, partially offset by borrowings on debt of $5.7 million and capital contribution from non-controlling interest of $0.9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 xml:space="preserve">As of June 30, 2019 and December 31, 2018, we had various loans outstanding for which we have entered into guarantees and are required to comply with financial covenants. See Note 10. </w:t>
      </w:r>
      <w:r>
        <w:rPr>
          <w:rFonts w:ascii="Arial" w:cs="Arial" w:eastAsia="Arial" w:hAnsi="Arial"/>
          <w:sz w:val="18"/>
          <w:szCs w:val="18"/>
          <w:i w:val="1"/>
          <w:iCs w:val="1"/>
          <w:color w:val="auto"/>
        </w:rPr>
        <w:t>Debt, Net</w:t>
      </w:r>
      <w:r>
        <w:rPr>
          <w:rFonts w:ascii="Arial" w:cs="Arial" w:eastAsia="Arial" w:hAnsi="Arial"/>
          <w:sz w:val="18"/>
          <w:szCs w:val="18"/>
          <w:color w:val="auto"/>
        </w:rPr>
        <w:t>.</w:t>
      </w:r>
    </w:p>
    <w:p>
      <w:pPr>
        <w:spacing w:after="0" w:line="170" w:lineRule="exact"/>
        <w:rPr>
          <w:sz w:val="20"/>
          <w:szCs w:val="20"/>
          <w:color w:val="auto"/>
        </w:rPr>
      </w:pPr>
    </w:p>
    <w:p>
      <w:pPr>
        <w:jc w:val="both"/>
        <w:ind w:right="60" w:firstLine="324"/>
        <w:spacing w:after="0" w:line="276" w:lineRule="auto"/>
        <w:rPr>
          <w:sz w:val="20"/>
          <w:szCs w:val="20"/>
          <w:color w:val="auto"/>
        </w:rPr>
      </w:pPr>
      <w:r>
        <w:rPr>
          <w:rFonts w:ascii="Arial" w:cs="Arial" w:eastAsia="Arial" w:hAnsi="Arial"/>
          <w:sz w:val="17"/>
          <w:szCs w:val="17"/>
          <w:color w:val="auto"/>
        </w:rPr>
        <w:t xml:space="preserve">In January 2019, our unconsolidated Pier Park TPS JV, entered into a $14.4 million loan, maturing in January 2026. The Pier Park TPS JV Loan is secured by the real property, assignment of rents and the security interest in the rents and personal property. In connection with the Pier Park TPS JV Loan, as guarantor we and a wholly owned subsidiary of ours entered into a joint and several guarantee in favor of the lender, to guarantee the payment and performance of the borrower. See Note 18.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for additional information.</w:t>
      </w:r>
    </w:p>
    <w:p>
      <w:pPr>
        <w:spacing w:after="0" w:line="173"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As part of a timberland sale in 2007 and 2008, we have recorded a retained interest with respect to notes contributed to bankruptcy-remote qualified SPEs of $11.9 million for all installment notes monetized through June 30, 2019. This balance represents the present value of future cash flows to be received over the life of the installment notes, using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management’s best estimates of underlying assumptions, including credit risk and interest rates as of the date of the monetization, plus the accretion of investment income based on an effective yield, which is recognized over the term of the notes, less actual cash receipts.</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At both June 30, 2019 and December 31, 2018, we were required to provide surety bonds that guarantee completion of certain infrastructure in certain development projects and mitigation banks of $9.4 million, which may potentially result in a liability to us if certain obligations are not met.</w:t>
      </w:r>
    </w:p>
    <w:p>
      <w:pPr>
        <w:spacing w:after="0" w:line="181"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and are responsible for the proper disposition of these balances for our customers. These amounts are maintained in segregated bank accounts and have not been included in the accompanying condensed consolidated balance sheets, consistent with GAAP and industry practice. The cash deposit accounts and offsetting liability balances for escrow deposits in connection with our title agency real estate transactions were $2.2 million and $1.6 million as of June 30, 2019 and December 31, 2018, respectively, these escrow funds are not available for regular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There were no material changes outside the ordinary course of our business in our contractual obligations during the second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and Section 21E of the Exchange Act. These statements include, among other things, information about possible or assumed future results of the business and our financial condition, liquidity, results of operations, plans, strategies, prospects and objectives. Such forward-looking statements can generally be identified by our use of forward-looking terminology such as "may," "will," "expect," "intend," "anticipate," "estimate," "believe," "continue" or other similar expressions concerning matters that are not historical facts. Specifically, this quarterly report contains forward-looking statements regarding:</w:t>
      </w:r>
    </w:p>
    <w:p>
      <w:pPr>
        <w:spacing w:after="0" w:line="165" w:lineRule="exact"/>
        <w:rPr>
          <w:sz w:val="20"/>
          <w:szCs w:val="20"/>
          <w:color w:val="auto"/>
        </w:rPr>
      </w:pPr>
    </w:p>
    <w:p>
      <w:pPr>
        <w:ind w:left="660" w:right="540" w:hanging="333"/>
        <w:spacing w:after="0" w:line="29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expectations concerning our future business strategy, including exploring the sale of our real estate assets opportunistically or when we believe that we or others can better deploy those resources;</w:t>
      </w:r>
    </w:p>
    <w:p>
      <w:pPr>
        <w:ind w:left="660" w:right="44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intention to use our land holdings, our cash and cash equivalents and our investments to increase recurring revenue while creating long-term value for our shareholders;</w:t>
      </w:r>
    </w:p>
    <w:p>
      <w:pPr>
        <w:spacing w:after="0" w:line="8" w:lineRule="exact"/>
        <w:rPr>
          <w:rFonts w:ascii="Arial" w:cs="Arial" w:eastAsia="Arial" w:hAnsi="Arial"/>
          <w:sz w:val="18"/>
          <w:szCs w:val="18"/>
          <w:color w:val="auto"/>
        </w:rPr>
      </w:pPr>
    </w:p>
    <w:p>
      <w:pPr>
        <w:ind w:left="660" w:right="58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regarding investments that we believe will contribute towards increasing our future growth, particularly in real estate projects that provide recurring revenue;</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2019 capital expenditures budget and the timing of benefits of these investments;</w:t>
      </w:r>
    </w:p>
    <w:p>
      <w:pPr>
        <w:spacing w:after="0" w:line="63" w:lineRule="exact"/>
        <w:rPr>
          <w:rFonts w:ascii="Arial" w:cs="Arial" w:eastAsia="Arial" w:hAnsi="Arial"/>
          <w:sz w:val="18"/>
          <w:szCs w:val="18"/>
          <w:color w:val="auto"/>
        </w:rPr>
      </w:pPr>
    </w:p>
    <w:p>
      <w:pPr>
        <w:ind w:left="660" w:right="40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assessment and expectations regarding the demographics and corresponding market demand and growth of Northwest Florida;</w:t>
      </w:r>
    </w:p>
    <w:p>
      <w:pPr>
        <w:spacing w:after="0" w:line="8" w:lineRule="exact"/>
        <w:rPr>
          <w:rFonts w:ascii="Arial" w:cs="Arial" w:eastAsia="Arial" w:hAnsi="Arial"/>
          <w:sz w:val="18"/>
          <w:szCs w:val="18"/>
          <w:color w:val="auto"/>
        </w:rPr>
      </w:pPr>
    </w:p>
    <w:p>
      <w:pPr>
        <w:ind w:left="660" w:right="30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assessment and expectations regarding the impact of Hurricane Michael, including the amount and timing of insurance proceeds and ability to recover any losses;</w:t>
      </w:r>
    </w:p>
    <w:p>
      <w:pPr>
        <w:spacing w:after="0" w:line="8"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regarding the amount and timing of revenue we expect to realize upon closing over the life of the residential homesites under contract;</w:t>
      </w:r>
    </w:p>
    <w:p>
      <w:pPr>
        <w:spacing w:after="0" w:line="8" w:lineRule="exact"/>
        <w:rPr>
          <w:rFonts w:ascii="Arial" w:cs="Arial" w:eastAsia="Arial" w:hAnsi="Arial"/>
          <w:sz w:val="18"/>
          <w:szCs w:val="18"/>
          <w:color w:val="auto"/>
        </w:rPr>
      </w:pPr>
    </w:p>
    <w:p>
      <w:pPr>
        <w:ind w:left="660" w:right="12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regarding homesite sales and timing of sales for new developments, including those contemplated by our long-term contractual agreement with Kolter;</w:t>
      </w:r>
    </w:p>
    <w:p>
      <w:pPr>
        <w:spacing w:after="0" w:line="8" w:lineRule="exact"/>
        <w:rPr>
          <w:rFonts w:ascii="Arial" w:cs="Arial" w:eastAsia="Arial" w:hAnsi="Arial"/>
          <w:sz w:val="18"/>
          <w:szCs w:val="18"/>
          <w:color w:val="auto"/>
        </w:rPr>
      </w:pPr>
    </w:p>
    <w:p>
      <w:pPr>
        <w:ind w:left="660" w:right="30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beliefs regarding opportunities to develop, improve or acquire a broad range of asset types that will generate recurring revenue;</w:t>
      </w:r>
    </w:p>
    <w:p>
      <w:pPr>
        <w:spacing w:after="0" w:line="8" w:lineRule="exact"/>
        <w:rPr>
          <w:rFonts w:ascii="Arial" w:cs="Arial" w:eastAsia="Arial" w:hAnsi="Arial"/>
          <w:sz w:val="18"/>
          <w:szCs w:val="18"/>
          <w:color w:val="auto"/>
        </w:rPr>
      </w:pPr>
    </w:p>
    <w:p>
      <w:pPr>
        <w:ind w:left="660" w:right="68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plan to focus on investing in residential communities that have the potential for long term, scalable and repeatable revenue;</w:t>
      </w:r>
    </w:p>
    <w:p>
      <w:pPr>
        <w:spacing w:after="0" w:line="8" w:lineRule="exact"/>
        <w:rPr>
          <w:rFonts w:ascii="Arial" w:cs="Arial" w:eastAsia="Arial" w:hAnsi="Arial"/>
          <w:sz w:val="18"/>
          <w:szCs w:val="18"/>
          <w:color w:val="auto"/>
        </w:rPr>
      </w:pPr>
    </w:p>
    <w:p>
      <w:pPr>
        <w:ind w:left="660" w:right="480"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 to continue to be a developer of completed residential homesites for sale to builders and retail homesites for sale to consumers in our communities;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8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intention to form additional JVs with third parties for the development of commercial real estate and residential real estate projects on our land holdings;</w:t>
      </w:r>
    </w:p>
    <w:p>
      <w:pPr>
        <w:spacing w:after="0" w:line="8" w:lineRule="exact"/>
        <w:rPr>
          <w:rFonts w:ascii="Arial" w:cs="Arial" w:eastAsia="Arial" w:hAnsi="Arial"/>
          <w:sz w:val="18"/>
          <w:szCs w:val="18"/>
          <w:color w:val="auto"/>
        </w:rPr>
      </w:pPr>
    </w:p>
    <w:p>
      <w:pPr>
        <w:ind w:left="660" w:right="50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 to expand the scope and scale of our hospitality assets and services in order to enhance the value and contribution those assets provide;</w:t>
      </w:r>
    </w:p>
    <w:p>
      <w:pPr>
        <w:spacing w:after="0" w:line="8" w:lineRule="exact"/>
        <w:rPr>
          <w:rFonts w:ascii="Arial" w:cs="Arial" w:eastAsia="Arial" w:hAnsi="Arial"/>
          <w:sz w:val="18"/>
          <w:szCs w:val="18"/>
          <w:color w:val="auto"/>
        </w:rPr>
      </w:pPr>
    </w:p>
    <w:p>
      <w:pPr>
        <w:ind w:left="660" w:right="260" w:hanging="333"/>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intention to continue to work collaboratively with public and private partners on strategic infrastructure and economic development initiatives that will help to attract quality job creators and help to diversify the Northwest Florida economy;</w:t>
      </w:r>
    </w:p>
    <w:p>
      <w:pPr>
        <w:spacing w:after="0" w:line="19" w:lineRule="exact"/>
        <w:rPr>
          <w:rFonts w:ascii="Arial" w:cs="Arial" w:eastAsia="Arial" w:hAnsi="Arial"/>
          <w:sz w:val="18"/>
          <w:szCs w:val="18"/>
          <w:color w:val="auto"/>
        </w:rPr>
      </w:pPr>
    </w:p>
    <w:p>
      <w:pPr>
        <w:ind w:left="660" w:right="30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regarding opportunities near the Northwest Florida Beaches International Airport and our other land holdings in Northwest Florida;</w:t>
      </w:r>
    </w:p>
    <w:p>
      <w:pPr>
        <w:spacing w:after="0" w:line="8" w:lineRule="exact"/>
        <w:rPr>
          <w:rFonts w:ascii="Arial" w:cs="Arial" w:eastAsia="Arial" w:hAnsi="Arial"/>
          <w:sz w:val="18"/>
          <w:szCs w:val="18"/>
          <w:color w:val="auto"/>
        </w:rPr>
      </w:pPr>
    </w:p>
    <w:p>
      <w:pPr>
        <w:ind w:left="660" w:right="20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belief that by entering into partnerships, JVs or other collaborations and alliances with best of class operators, we can efficiently utilize our land assets while reducing our capital requirements;</w:t>
      </w:r>
    </w:p>
    <w:p>
      <w:pPr>
        <w:spacing w:after="0" w:line="8" w:lineRule="exact"/>
        <w:rPr>
          <w:rFonts w:ascii="Arial" w:cs="Arial" w:eastAsia="Arial" w:hAnsi="Arial"/>
          <w:sz w:val="18"/>
          <w:szCs w:val="18"/>
          <w:color w:val="auto"/>
        </w:rPr>
      </w:pPr>
    </w:p>
    <w:p>
      <w:pPr>
        <w:ind w:left="660" w:right="78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 to continue a cost and investment discipline to ensure low fixed expenses and bottom line performance;</w:t>
      </w:r>
    </w:p>
    <w:p>
      <w:pPr>
        <w:spacing w:after="0" w:line="8" w:lineRule="exact"/>
        <w:rPr>
          <w:rFonts w:ascii="Arial" w:cs="Arial" w:eastAsia="Arial" w:hAnsi="Arial"/>
          <w:sz w:val="18"/>
          <w:szCs w:val="18"/>
          <w:color w:val="auto"/>
        </w:rPr>
      </w:pPr>
    </w:p>
    <w:p>
      <w:pPr>
        <w:jc w:val="both"/>
        <w:ind w:left="660" w:right="220" w:hanging="333"/>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plan to continue to maintain a high degree of liquidity while seeking opportunities to invest our cash in ways that we believe will increase shareholder value, including investments in Securities, share repurchases, real estate and other strategic investments;</w:t>
      </w:r>
    </w:p>
    <w:p>
      <w:pPr>
        <w:spacing w:after="0" w:line="19" w:lineRule="exact"/>
        <w:rPr>
          <w:rFonts w:ascii="Arial" w:cs="Arial" w:eastAsia="Arial" w:hAnsi="Arial"/>
          <w:sz w:val="18"/>
          <w:szCs w:val="18"/>
          <w:color w:val="auto"/>
        </w:rPr>
      </w:pPr>
    </w:p>
    <w:p>
      <w:pPr>
        <w:ind w:left="660" w:right="8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 regarding our liquidity or ability to satisfy our working capital needs, expected capital expenditures and principal and interest payments on our long term debt;</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estimates and assumptions regarding the installment notes and the Timber Note;</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estimated impact of new accounting pronouncements; and</w:t>
      </w:r>
    </w:p>
    <w:p>
      <w:pPr>
        <w:spacing w:after="0" w:line="63"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 regarding the impact of pending litigation, claims, other disputes or governmental proceedings, on our cash flows, financial condition or results of operations.</w:t>
      </w:r>
    </w:p>
    <w:p>
      <w:pPr>
        <w:spacing w:after="0" w:line="8" w:lineRule="exact"/>
        <w:rPr>
          <w:sz w:val="20"/>
          <w:szCs w:val="20"/>
          <w:color w:val="auto"/>
        </w:rPr>
      </w:pPr>
    </w:p>
    <w:p>
      <w:pPr>
        <w:ind w:right="20" w:firstLine="324"/>
        <w:spacing w:after="0" w:line="218" w:lineRule="exact"/>
        <w:rPr>
          <w:sz w:val="20"/>
          <w:szCs w:val="20"/>
          <w:color w:val="auto"/>
        </w:rPr>
      </w:pPr>
      <w:r>
        <w:rPr>
          <w:rFonts w:ascii="Arial" w:cs="Arial" w:eastAsia="Arial" w:hAnsi="Arial"/>
          <w:sz w:val="16"/>
          <w:szCs w:val="16"/>
          <w:color w:val="auto"/>
        </w:rPr>
        <w:t>These forward-looking statements reflect our current views about future events and are subject to risks, uncertainties and assumptions. We wish to caution readers that certain important factors may have affected and could in the future affect our actual results and could cause actual results to differ significantly from those expressed in any forward-looking statement. The most important factors that could prevent us from achieving our goals, and cause the assumptions underlying forward-looking statements and the actual results to differ materially from those expressed in or implied by those forward-looking statements include, but are not limited to, those risk factors and disclosures set forth in our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subsequent Form 10</w:t>
      </w:r>
      <w:r>
        <w:rPr>
          <w:rFonts w:ascii="MS PGothic" w:cs="MS PGothic" w:eastAsia="MS PGothic" w:hAnsi="MS PGothic"/>
          <w:sz w:val="16"/>
          <w:szCs w:val="16"/>
          <w:color w:val="auto"/>
        </w:rPr>
        <w:t>‑</w:t>
      </w:r>
      <w:r>
        <w:rPr>
          <w:rFonts w:ascii="Arial" w:cs="Arial" w:eastAsia="Arial" w:hAnsi="Arial"/>
          <w:sz w:val="16"/>
          <w:szCs w:val="16"/>
          <w:color w:val="auto"/>
        </w:rPr>
        <w:t>Qs, other current reports, and the following:</w:t>
      </w:r>
    </w:p>
    <w:p>
      <w:pPr>
        <w:spacing w:after="0" w:line="205"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changes in our strategic objectives or our ability to successfully implement such strategic objectives;</w:t>
      </w:r>
    </w:p>
    <w:p>
      <w:pPr>
        <w:spacing w:after="0" w:line="63" w:lineRule="exact"/>
        <w:rPr>
          <w:rFonts w:ascii="Arial" w:cs="Arial" w:eastAsia="Arial" w:hAnsi="Arial"/>
          <w:sz w:val="18"/>
          <w:szCs w:val="18"/>
          <w:color w:val="auto"/>
        </w:rPr>
      </w:pPr>
    </w:p>
    <w:p>
      <w:pPr>
        <w:ind w:left="660" w:right="100" w:hanging="333"/>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potential negative impact of our longer-term property development strategy, including losses and negative cash flows for an extended period of time if we continue with the self-development of our entitlements;</w:t>
      </w:r>
    </w:p>
    <w:p>
      <w:pPr>
        <w:ind w:left="660" w:right="12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and the ability of our investment advisor to identify and acquire suitable investments for our investment portfolio that meet our risk and return criteria;</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decreases in the market value of our investments in Securities or any other investments;</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capitalize on strategic opportunities presented by a growing retirement demographic;</w:t>
      </w:r>
    </w:p>
    <w:p>
      <w:pPr>
        <w:spacing w:after="0" w:line="6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accurately predict market demand for the range of potential residential and commercial uses of our real estate, including our Northwest Florida holdings;</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consistency and pace of our residential real estate revenue;</w:t>
      </w:r>
    </w:p>
    <w:p>
      <w:pPr>
        <w:spacing w:after="0" w:line="63" w:lineRule="exact"/>
        <w:rPr>
          <w:rFonts w:ascii="Arial" w:cs="Arial" w:eastAsia="Arial" w:hAnsi="Arial"/>
          <w:sz w:val="18"/>
          <w:szCs w:val="18"/>
          <w:color w:val="auto"/>
        </w:rPr>
      </w:pPr>
    </w:p>
    <w:p>
      <w:pPr>
        <w:ind w:left="660" w:right="40" w:hanging="333"/>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or other conditions that affect the future prospects for the Southeastern region of the U.S. and the demand for our products, including a slowing of the population growth in Florida, inflation, or unemployment rates or declines in consumer confidence or the demand for, or the prices of, housing;</w:t>
      </w:r>
    </w:p>
    <w:p>
      <w:pPr>
        <w:spacing w:after="0" w:line="19"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downturns in real estate markets in Florida or across the nation;</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reduction in the supply of mortgage loans or tightening of credit markets;</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dependence on the real estate industry and the cyclical nature of our real estate operations;</w:t>
      </w:r>
    </w:p>
    <w:p>
      <w:pPr>
        <w:spacing w:after="0" w:line="63" w:lineRule="exact"/>
        <w:rPr>
          <w:rFonts w:ascii="Arial" w:cs="Arial" w:eastAsia="Arial" w:hAnsi="Arial"/>
          <w:sz w:val="18"/>
          <w:szCs w:val="18"/>
          <w:color w:val="auto"/>
        </w:rPr>
      </w:pPr>
    </w:p>
    <w:p>
      <w:pPr>
        <w:ind w:left="660" w:right="42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natural or man-made disasters or weather conditions, including hurricanes, fires and other severe weather conditions, on our business, including the recent impact of Hurricane Michael;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fully recover under claims for losses related to Hurricane Michael;</w:t>
      </w:r>
    </w:p>
    <w:p>
      <w:pPr>
        <w:spacing w:after="0" w:line="63"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and timely obtain land use entitlements and construction financing, maintain compliance with state law requirements and address issues that arise in connection with the use and development of our land, including the permits required;</w:t>
      </w:r>
    </w:p>
    <w:p>
      <w:pPr>
        <w:spacing w:after="0" w:line="19"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or the regulatory environment affecting the development of real estate;</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deploy and invest our assets, including our Securities;</w:t>
      </w:r>
    </w:p>
    <w:p>
      <w:pPr>
        <w:spacing w:after="0" w:line="63"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effectively manage our real estate assets, as well as the ability of our JV partners to effectively manage the day-to-day activities of our JV projects;</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close and realize the expected revenue of the residential homesites currently under contract;</w:t>
      </w:r>
    </w:p>
    <w:p>
      <w:pPr>
        <w:spacing w:after="0" w:line="74" w:lineRule="exact"/>
        <w:rPr>
          <w:rFonts w:ascii="Arial" w:cs="Arial" w:eastAsia="Arial" w:hAnsi="Arial"/>
          <w:sz w:val="17"/>
          <w:szCs w:val="17"/>
          <w:color w:val="auto"/>
        </w:rPr>
      </w:pPr>
    </w:p>
    <w:p>
      <w:pPr>
        <w:ind w:left="660" w:right="34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and timely complete homesite construction in our new developments, including those pursuant to our long-term contractual agreement with Kolter;</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and work effectively with strategic partners;</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enter into previously announced potential JVs;</w:t>
      </w:r>
    </w:p>
    <w:p>
      <w:pPr>
        <w:spacing w:after="0" w:line="63" w:lineRule="exact"/>
        <w:rPr>
          <w:rFonts w:ascii="Arial" w:cs="Arial" w:eastAsia="Arial" w:hAnsi="Arial"/>
          <w:sz w:val="18"/>
          <w:szCs w:val="18"/>
          <w:color w:val="auto"/>
        </w:rPr>
      </w:pPr>
    </w:p>
    <w:p>
      <w:pPr>
        <w:ind w:left="660" w:right="10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acquisitions, JVs, investments in leasable spaces and operations and share repurchases;</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carry out the Stock Repurchase Program in accordance with applicable securities laws;</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Tax Act on our business and financial condition;</w:t>
      </w:r>
    </w:p>
    <w:p>
      <w:pPr>
        <w:spacing w:after="0" w:line="63" w:lineRule="exact"/>
        <w:rPr>
          <w:rFonts w:ascii="Arial" w:cs="Arial" w:eastAsia="Arial" w:hAnsi="Arial"/>
          <w:sz w:val="18"/>
          <w:szCs w:val="18"/>
          <w:color w:val="auto"/>
        </w:rPr>
      </w:pPr>
    </w:p>
    <w:p>
      <w:pPr>
        <w:ind w:left="660" w:right="64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operating costs, including costs related to real estate taxes, owner association fees, construction materials, labor and insurance and our ability to manage our cost structure;</w:t>
      </w:r>
    </w:p>
    <w:p>
      <w:pPr>
        <w:spacing w:after="0" w:line="8" w:lineRule="exact"/>
        <w:rPr>
          <w:rFonts w:ascii="Arial" w:cs="Arial" w:eastAsia="Arial" w:hAnsi="Arial"/>
          <w:sz w:val="18"/>
          <w:szCs w:val="18"/>
          <w:color w:val="auto"/>
        </w:rPr>
      </w:pPr>
    </w:p>
    <w:p>
      <w:pPr>
        <w:ind w:left="660" w:hanging="333"/>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sufficiency of our current cash position, anticipated cash flows from cash equivalents and short term investments and cash generated from operations to satisfy our anticipated working capital needs, capital expenditures and principal and interest payments;</w:t>
      </w:r>
    </w:p>
    <w:p>
      <w:pPr>
        <w:spacing w:after="0" w:line="19" w:lineRule="exact"/>
        <w:rPr>
          <w:rFonts w:ascii="Arial" w:cs="Arial" w:eastAsia="Arial" w:hAnsi="Arial"/>
          <w:sz w:val="18"/>
          <w:szCs w:val="18"/>
          <w:color w:val="auto"/>
        </w:rPr>
      </w:pPr>
    </w:p>
    <w:p>
      <w:pPr>
        <w:ind w:left="660" w:right="8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anticipate the impact of pending environmental litigation matters or governmental proceedings on our financial condition or results of operations;</w:t>
      </w:r>
    </w:p>
    <w:p>
      <w:pPr>
        <w:spacing w:after="0" w:line="8" w:lineRule="exact"/>
        <w:rPr>
          <w:rFonts w:ascii="Arial" w:cs="Arial" w:eastAsia="Arial" w:hAnsi="Arial"/>
          <w:sz w:val="18"/>
          <w:szCs w:val="18"/>
          <w:color w:val="auto"/>
        </w:rPr>
      </w:pPr>
    </w:p>
    <w:p>
      <w:pPr>
        <w:ind w:left="660" w:right="50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 management distraction and possible liability associated with litigation, claims, other disputes or governmental proceedings;</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Fairholme’s ability to influence major corporate decisions affecting the Company;</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liability under environmental or construction laws, or other laws or regulations;</w:t>
      </w:r>
    </w:p>
    <w:p>
      <w:pPr>
        <w:spacing w:after="0" w:line="63" w:lineRule="exact"/>
        <w:rPr>
          <w:rFonts w:ascii="Arial" w:cs="Arial" w:eastAsia="Arial" w:hAnsi="Arial"/>
          <w:sz w:val="18"/>
          <w:szCs w:val="18"/>
          <w:color w:val="auto"/>
        </w:rPr>
      </w:pPr>
    </w:p>
    <w:p>
      <w:pPr>
        <w:ind w:left="660" w:right="54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if we have deficiencies in our disclosure controls and procedures or internal control over financial reporting;</w:t>
      </w:r>
    </w:p>
    <w:p>
      <w:pPr>
        <w:spacing w:after="0" w:line="8"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if the SEC were to disagree with our Investment Company Act determinations;</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key personnel and recruit staff effectively;</w:t>
      </w:r>
    </w:p>
    <w:p>
      <w:pPr>
        <w:spacing w:after="0" w:line="63"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receive payments of settlement amounts due under our claims settlement receivable; and</w:t>
      </w:r>
    </w:p>
    <w:p>
      <w:pPr>
        <w:spacing w:after="0" w:line="63" w:lineRule="exact"/>
        <w:rPr>
          <w:rFonts w:ascii="Arial" w:cs="Arial" w:eastAsia="Arial" w:hAnsi="Arial"/>
          <w:sz w:val="18"/>
          <w:szCs w:val="18"/>
          <w:color w:val="auto"/>
        </w:rPr>
      </w:pPr>
    </w:p>
    <w:p>
      <w:pPr>
        <w:ind w:left="660" w:right="18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estimate the impact of certain accounting and tax matters that arise from the installment notes and the Timber Note.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exposed to market risks primarily from interest rate risk fluctuations. We have investments in corporate debt securities that have fixed interest rates for which changes in interest rates generally affect the fair value of the investment, but not the earnings or cash flows. A hypothetical 100 basis point increase in interest rates would result in a decrease of less than $0.1 million in the market value of these investments as of June 30, 2019. Any realized gain or loss resulting from such interest rate changes would only occur if we sold the investments prior to maturity or if a decline in their value is determined to be other-than-temporary. In addition, our investments in corporate debt securities are non-investment grade, which could affect their fair value.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also have investments in certain preferred stock that have fixed interest rates for which changes in interest rates generally affect the fair value of the investment and are recorded in the condensed consolidated statements of income. A hypothetical 100 basis point increase in interest rates would result in a decrease of approximately $0.9 million in the market value of these investments as of June 30, 2019. In addition, our investments in certain preferred stock are non-investment grade, which could affect their fair value.</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cash and cash equivalents are invested in commercial paper and money market instruments. Changes in interest rates related to these investments would not significantly impact our results of operations. The amount of interest earned on one of our retained interest investments is based on LIBOR. A 100 basis point change in the interest rate may result in an insignificant change in interest earned on the investment.</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amount of interest expense on some of our construction loans are based on LIBOR. A 100 basis point change in the interest rate may result in an insignificant change in interest expense.</w:t>
      </w:r>
    </w:p>
    <w:p>
      <w:pPr>
        <w:spacing w:after="0" w:line="170"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LIBOR is set to be phased out at the end of 2021. If LIBOR ceases to exist, we may need to renegotiate our loan documents and we cannot predict what alternative index would be negotiated with our lenders. As a result, our interest expense could increase.</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Increases in interest rates, reductions in mortgage availability or the tax benefits of mortgage financing or residential ownership could negatively impact our real estate business and would also increase the costs of our development projects. Similarly, a downturn in economic conditions in Northwest Florida would reduce discretionary income and decrease demand for our hospitality segment operations.</w:t>
      </w:r>
    </w:p>
    <w:p>
      <w:pPr>
        <w:spacing w:after="0" w:line="18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540" w:firstLine="324"/>
        <w:spacing w:after="0" w:line="224" w:lineRule="exact"/>
        <w:rPr>
          <w:sz w:val="20"/>
          <w:szCs w:val="20"/>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Chief Executive Officer and Chief Financial Officer have</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such term is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w:t>
      </w:r>
    </w:p>
    <w:p>
      <w:pPr>
        <w:jc w:val="both"/>
        <w:ind w:right="340"/>
        <w:spacing w:after="0" w:line="216" w:lineRule="exact"/>
        <w:rPr>
          <w:sz w:val="20"/>
          <w:szCs w:val="20"/>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as of the end of the period covered by this report. Based on this evaluation, our Chief Executive Officer and Chief Financial Officer have concluded that, as of the end of the period covered by this report, our disclosure controls and procedures were effective.</w:t>
      </w:r>
    </w:p>
    <w:p>
      <w:pPr>
        <w:spacing w:after="0" w:line="20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quarter ended June 30, 2019, there were no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our internal controls over financial reporting that have materially affected, or are reasonably likely to materially affect, our internal controls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subject to a variety of litigation, claims, other disputes and governmental proceedings that arise from time to time in the ordinary course of our business, none of which we believe will have a material adverse effect on our consolidated financial position, results of operations or liquidity.</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 xml:space="preserve">In addition, we are subject to environmental laws and regulations, which include obligations to remove or limit the effects on the environment of the disposal or release of certain wastes or substances at various sites, including sites which have been previously sold. Refer to Note 18.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further discussion.</w:t>
      </w:r>
    </w:p>
    <w:p>
      <w:pPr>
        <w:spacing w:after="0" w:line="16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120" w:firstLine="324"/>
        <w:spacing w:after="0" w:line="221" w:lineRule="exact"/>
        <w:rPr>
          <w:sz w:val="20"/>
          <w:szCs w:val="20"/>
          <w:color w:val="auto"/>
        </w:rPr>
      </w:pPr>
      <w:r>
        <w:rPr>
          <w:rFonts w:ascii="Arial" w:cs="Arial" w:eastAsia="Arial" w:hAnsi="Arial"/>
          <w:sz w:val="18"/>
          <w:szCs w:val="18"/>
          <w:color w:val="auto"/>
        </w:rPr>
        <w:t>A description of the risk factors associated with our business is contained in the “Risk Factors” section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There have been no material changes to our Risk Factors as previously reported.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Company’s Board has approved the Stock Repurchase Program pursuant to which we are authorized to repurchase shares of its common stock. The Stock Repurchase Program has no expiration date.</w:t>
      </w:r>
    </w:p>
    <w:p>
      <w:pPr>
        <w:spacing w:after="0" w:line="17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As of June 30, 2019, we had a total authority of $35.8 million available for purchase of shares of our common stock pursuant to the Stock Repurchase Program. We may repurchase our common stock in open market purchases from time to time, in privately negotiated transactions or otherwise, pursuant to Rule 10b-18 under the Exchange Act. The timing and amount of any additional shares to be repurchased will depend upon a variety of factors, including market and business conditions. Repurchases may be commenced or suspended at any time or from time to time without prior notice. The Stock Repurchase Program will continue until otherwise modified or terminated by our Board at any time in its sole discretion.</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Execution of the Stock Repurchase Program will reduce our “public float”, and the beneficial ownership of common stock by its directors, executive officers and affiliates will proportionately increase as a percentage of our outstanding common stock as a result of the execution of the Stock Repurchase Program. However, we do not believe that the execution of the Stock Repurchase Program will cause our common stock to be delisted from NYSE or cause us to stop being subject to the periodic reporting requirements of the Exchange Act.</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stock repurchases during the second quarter of 2019.</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260" w:type="dxa"/>
            <w:vAlign w:val="bottom"/>
            <w:gridSpan w:val="12"/>
          </w:tcPr>
          <w:p>
            <w:pPr>
              <w:ind w:left="140"/>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520" w:type="dxa"/>
            <w:vAlign w:val="bottom"/>
            <w:gridSpan w:val="10"/>
          </w:tcPr>
          <w:p>
            <w:pPr>
              <w:ind w:left="3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tcPr>
          <w:p>
            <w:pPr>
              <w:spacing w:after="0"/>
              <w:rPr>
                <w:sz w:val="24"/>
                <w:szCs w:val="24"/>
                <w:color w:val="auto"/>
              </w:rPr>
            </w:pPr>
          </w:p>
        </w:tc>
        <w:tc>
          <w:tcPr>
            <w:tcW w:w="808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4"/>
                <w:szCs w:val="14"/>
                <w:color w:val="auto"/>
              </w:rPr>
            </w:pPr>
          </w:p>
        </w:tc>
        <w:tc>
          <w:tcPr>
            <w:tcW w:w="808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8080" w:type="dxa"/>
            <w:vAlign w:val="bottom"/>
            <w:gridSpan w:val="11"/>
          </w:tcPr>
          <w:p>
            <w:pPr>
              <w:spacing w:after="0" w:line="170"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Restated and Amended Articles of Incorporation of the registrant (incorporated by reference to Exhibit 3.1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the registrant’s Quarterly Report on Form 10-Q for the quarter ended June 30, 2010).</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8080" w:type="dxa"/>
            <w:vAlign w:val="bottom"/>
            <w:gridSpan w:val="11"/>
          </w:tcPr>
          <w:p>
            <w:pPr>
              <w:spacing w:after="0" w:line="196" w:lineRule="exact"/>
              <w:rPr>
                <w:rFonts w:ascii="Arial" w:cs="Arial" w:eastAsia="Arial" w:hAnsi="Arial"/>
                <w:sz w:val="18"/>
                <w:szCs w:val="18"/>
                <w:color w:val="0000EE"/>
                <w:w w:val="94"/>
              </w:rPr>
            </w:pPr>
            <w:hyperlink r:id="rId74">
              <w:r>
                <w:rPr>
                  <w:rFonts w:ascii="Arial" w:cs="Arial" w:eastAsia="Arial" w:hAnsi="Arial"/>
                  <w:sz w:val="18"/>
                  <w:szCs w:val="18"/>
                  <w:color w:val="0000EE"/>
                  <w:w w:val="94"/>
                </w:rPr>
                <w:t>Amended and Restated Bylaws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Current Report on Form 8-K filed on March 4, 2011).</w:t>
              </w:r>
            </w:hyperlink>
          </w:p>
        </w:tc>
        <w:tc>
          <w:tcPr>
            <w:tcW w:w="3840" w:type="dxa"/>
            <w:vAlign w:val="bottom"/>
            <w:tcBorders>
              <w:top w:val="single" w:sz="8" w:color="0000EE"/>
            </w:tcBorders>
            <w:gridSpan w:val="5"/>
          </w:tcPr>
          <w:p>
            <w:pPr>
              <w:spacing w:after="0"/>
              <w:rPr>
                <w:sz w:val="17"/>
                <w:szCs w:val="17"/>
                <w:color w:val="auto"/>
              </w:rPr>
            </w:pPr>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30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Form of Director Restricted Stock Award.</w:t>
              </w:r>
            </w:hyperlink>
          </w:p>
        </w:tc>
        <w:tc>
          <w:tcPr>
            <w:tcW w:w="50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71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Certification of Principal Executive Officer under Section 302 of the Sarbanes-Oxley Act of 2002.</w:t>
              </w:r>
            </w:hyperlink>
          </w:p>
        </w:tc>
        <w:tc>
          <w:tcPr>
            <w:tcW w:w="9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8080" w:type="dxa"/>
            <w:vAlign w:val="bottom"/>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Certification of Principal Financial Officer under Section 302 of the Sarbanes-Oxley Act of 2002.</w:t>
              </w:r>
            </w:hyperlink>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5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8080" w:type="dxa"/>
            <w:vAlign w:val="bottom"/>
            <w:gridSpan w:val="1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Certification of Chief Executive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Section 906 of the Sarbanes-Oxley Act of 2002.</w:t>
              </w:r>
            </w:hyperlink>
          </w:p>
        </w:tc>
        <w:tc>
          <w:tcPr>
            <w:tcW w:w="8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80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9"/>
                <w:szCs w:val="19"/>
                <w:color w:val="auto"/>
              </w:rPr>
            </w:pPr>
          </w:p>
        </w:tc>
        <w:tc>
          <w:tcPr>
            <w:tcW w:w="25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552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7"/>
              </w:rPr>
              <w:t>*101.SCH</w:t>
            </w:r>
          </w:p>
        </w:tc>
        <w:tc>
          <w:tcPr>
            <w:tcW w:w="180" w:type="dxa"/>
            <w:vAlign w:val="bottom"/>
          </w:tcPr>
          <w:p>
            <w:pPr>
              <w:spacing w:after="0"/>
              <w:rPr>
                <w:sz w:val="18"/>
                <w:szCs w:val="18"/>
                <w:color w:val="auto"/>
              </w:rPr>
            </w:pPr>
          </w:p>
        </w:tc>
        <w:tc>
          <w:tcPr>
            <w:tcW w:w="80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w w:val="99"/>
              </w:rPr>
              <w:t>*101.DEF</w:t>
            </w:r>
          </w:p>
        </w:tc>
        <w:tc>
          <w:tcPr>
            <w:tcW w:w="180" w:type="dxa"/>
            <w:vAlign w:val="bottom"/>
          </w:tcPr>
          <w:p>
            <w:pPr>
              <w:spacing w:after="0"/>
              <w:rPr>
                <w:sz w:val="18"/>
                <w:szCs w:val="18"/>
                <w:color w:val="auto"/>
              </w:rPr>
            </w:pPr>
          </w:p>
        </w:tc>
        <w:tc>
          <w:tcPr>
            <w:tcW w:w="80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8"/>
                <w:szCs w:val="18"/>
                <w:color w:val="auto"/>
              </w:rPr>
            </w:pPr>
          </w:p>
        </w:tc>
        <w:tc>
          <w:tcPr>
            <w:tcW w:w="80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8"/>
                <w:szCs w:val="18"/>
                <w:color w:val="auto"/>
              </w:rPr>
            </w:pPr>
          </w:p>
        </w:tc>
        <w:tc>
          <w:tcPr>
            <w:tcW w:w="80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w w:val="98"/>
              </w:rPr>
              <w:t>*101.PRE</w:t>
            </w:r>
          </w:p>
        </w:tc>
        <w:tc>
          <w:tcPr>
            <w:tcW w:w="180" w:type="dxa"/>
            <w:vAlign w:val="bottom"/>
          </w:tcPr>
          <w:p>
            <w:pPr>
              <w:spacing w:after="0"/>
              <w:rPr>
                <w:sz w:val="20"/>
                <w:szCs w:val="20"/>
                <w:color w:val="auto"/>
              </w:rPr>
            </w:pPr>
          </w:p>
        </w:tc>
        <w:tc>
          <w:tcPr>
            <w:tcW w:w="80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4440" w:right="4440" w:hanging="4437"/>
        <w:spacing w:after="0" w:line="887" w:lineRule="auto"/>
        <w:tabs>
          <w:tab w:leader="none" w:pos="3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Management contract or compensatory plan arrangement.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THE ST. JOE COMPANY</w:t>
            </w:r>
          </w:p>
        </w:tc>
      </w:tr>
      <w:tr>
        <w:trPr>
          <w:trHeight w:val="230"/>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80"/>
              <w:spacing w:after="0"/>
              <w:rPr>
                <w:sz w:val="20"/>
                <w:szCs w:val="20"/>
                <w:color w:val="auto"/>
              </w:rPr>
            </w:pPr>
            <w:r>
              <w:rPr>
                <w:rFonts w:ascii="Arial" w:cs="Arial" w:eastAsia="Arial" w:hAnsi="Arial"/>
                <w:sz w:val="18"/>
                <w:szCs w:val="18"/>
                <w:color w:val="auto"/>
              </w:rPr>
              <w:t>July 31, 2019</w:t>
            </w:r>
          </w:p>
        </w:tc>
        <w:tc>
          <w:tcPr>
            <w:tcW w:w="156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Gonzalez</w:t>
            </w:r>
          </w:p>
        </w:tc>
      </w:tr>
      <w:tr>
        <w:trPr>
          <w:trHeight w:val="195"/>
        </w:trPr>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Jorge Gonzalez</w:t>
            </w:r>
          </w:p>
        </w:tc>
      </w:t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r>
        <w:trPr>
          <w:trHeight w:val="230"/>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80"/>
              <w:spacing w:after="0"/>
              <w:rPr>
                <w:sz w:val="20"/>
                <w:szCs w:val="20"/>
                <w:color w:val="auto"/>
              </w:rPr>
            </w:pPr>
            <w:r>
              <w:rPr>
                <w:rFonts w:ascii="Arial" w:cs="Arial" w:eastAsia="Arial" w:hAnsi="Arial"/>
                <w:sz w:val="18"/>
                <w:szCs w:val="18"/>
                <w:color w:val="auto"/>
              </w:rPr>
              <w:t>July 31, 2019</w:t>
            </w:r>
          </w:p>
        </w:tc>
        <w:tc>
          <w:tcPr>
            <w:tcW w:w="156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Marek Bakun</w:t>
            </w:r>
          </w:p>
        </w:tc>
      </w:tr>
      <w:tr>
        <w:trPr>
          <w:trHeight w:val="195"/>
        </w:trPr>
        <w:tc>
          <w:tcPr>
            <w:tcW w:w="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Marek Bakun</w:t>
            </w:r>
          </w:p>
        </w:tc>
      </w:tr>
      <w:tr>
        <w:trPr>
          <w:trHeight w:val="216"/>
        </w:trPr>
        <w:tc>
          <w:tcPr>
            <w:tcW w:w="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64"/>
        </w:trPr>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80" w:type="dxa"/>
            <w:vAlign w:val="bottom"/>
            <w:gridSpan w:val="2"/>
          </w:tcPr>
          <w:p>
            <w:pPr>
              <w:jc w:val="right"/>
              <w:ind w:right="4350"/>
              <w:spacing w:after="0"/>
              <w:rPr>
                <w:sz w:val="20"/>
                <w:szCs w:val="20"/>
                <w:color w:val="auto"/>
              </w:rPr>
            </w:pPr>
            <w:r>
              <w:rPr>
                <w:rFonts w:ascii="Arial" w:cs="Arial" w:eastAsia="Arial" w:hAnsi="Arial"/>
                <w:sz w:val="18"/>
                <w:szCs w:val="18"/>
                <w:color w:val="auto"/>
              </w:rPr>
              <w:t>67</w:t>
            </w:r>
          </w:p>
        </w:tc>
      </w:tr>
      <w:tr>
        <w:trPr>
          <w:trHeight w:val="561"/>
        </w:trPr>
        <w:tc>
          <w:tcPr>
            <w:tcW w:w="4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68" w:name="page69"/>
    <w:bookmarkEnd w:id="68"/>
    <w:p>
      <w:pPr>
        <w:jc w:val="right"/>
        <w:ind w:right="139"/>
        <w:spacing w:after="0"/>
        <w:rPr>
          <w:sz w:val="20"/>
          <w:szCs w:val="20"/>
          <w:color w:val="auto"/>
        </w:rPr>
      </w:pPr>
      <w:r>
        <w:rPr>
          <w:rFonts w:ascii="Arial" w:cs="Arial" w:eastAsia="Arial" w:hAnsi="Arial"/>
          <w:sz w:val="20"/>
          <w:szCs w:val="20"/>
          <w:b w:val="1"/>
          <w:bCs w:val="1"/>
          <w:color w:val="auto"/>
        </w:rPr>
        <w:t>Exhibit 10.1</w:t>
      </w:r>
    </w:p>
    <w:p>
      <w:pPr>
        <w:jc w:val="center"/>
        <w:spacing w:after="0"/>
        <w:rPr>
          <w:sz w:val="20"/>
          <w:szCs w:val="20"/>
          <w:color w:val="auto"/>
        </w:rPr>
      </w:pPr>
      <w:r>
        <w:rPr>
          <w:rFonts w:ascii="Arial" w:cs="Arial" w:eastAsia="Arial" w:hAnsi="Arial"/>
          <w:sz w:val="20"/>
          <w:szCs w:val="20"/>
          <w:b w:val="1"/>
          <w:bCs w:val="1"/>
          <w:color w:val="auto"/>
        </w:rPr>
        <w:t>THE ST. JOE COMPANY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GRANT NOTICE</w:t>
      </w:r>
    </w:p>
    <w:p>
      <w:pPr>
        <w:spacing w:after="0" w:line="181" w:lineRule="exact"/>
        <w:rPr>
          <w:sz w:val="20"/>
          <w:szCs w:val="20"/>
          <w:color w:val="auto"/>
        </w:rPr>
      </w:pPr>
    </w:p>
    <w:p>
      <w:pPr>
        <w:jc w:val="both"/>
        <w:ind w:left="160" w:right="139" w:firstLine="648"/>
        <w:spacing w:after="0" w:line="215" w:lineRule="auto"/>
        <w:rPr>
          <w:sz w:val="20"/>
          <w:szCs w:val="20"/>
          <w:color w:val="auto"/>
        </w:rPr>
      </w:pPr>
      <w:r>
        <w:rPr>
          <w:rFonts w:ascii="Arial" w:cs="Arial" w:eastAsia="Arial" w:hAnsi="Arial"/>
          <w:sz w:val="19"/>
          <w:szCs w:val="19"/>
          <w:color w:val="auto"/>
        </w:rPr>
        <w:t>The St. Joe Company, a Florida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2015 Performance and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grants to the individual listed below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the number of shares of the Company’s Common Stock set forth below (the “</w:t>
      </w:r>
      <w:r>
        <w:rPr>
          <w:rFonts w:ascii="Arial" w:cs="Arial" w:eastAsia="Arial" w:hAnsi="Arial"/>
          <w:sz w:val="19"/>
          <w:szCs w:val="19"/>
          <w:b w:val="1"/>
          <w:bCs w:val="1"/>
          <w:i w:val="1"/>
          <w:iCs w:val="1"/>
          <w:color w:val="auto"/>
        </w:rPr>
        <w:t>Restricted Stock Award</w:t>
      </w:r>
      <w:r>
        <w:rPr>
          <w:rFonts w:ascii="Arial" w:cs="Arial" w:eastAsia="Arial" w:hAnsi="Arial"/>
          <w:sz w:val="19"/>
          <w:szCs w:val="19"/>
          <w:color w:val="auto"/>
        </w:rPr>
        <w:t xml:space="preserve">”). This Restricted Stock Award is subject to all of the terms and conditions as set forth herein and in the Restricted Stock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Restricted Stock Agreement</w:t>
      </w:r>
      <w:r>
        <w:rPr>
          <w:rFonts w:ascii="Arial" w:cs="Arial" w:eastAsia="Arial" w:hAnsi="Arial"/>
          <w:sz w:val="19"/>
          <w:szCs w:val="19"/>
          <w:color w:val="auto"/>
        </w:rPr>
        <w:t>”) (including, without limitation, the Restrictions (as defined in the Restricted Stock Agreement)) and the Plan, each of which is incorporated herein by reference. Unless otherwise defined herein, the terms defined in the Plan shall have the same defined meanings in this Restricted Stock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the Restricted Stock Agreement.</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20"/>
                <w:szCs w:val="20"/>
                <w:b w:val="1"/>
                <w:bCs w:val="1"/>
                <w:color w:val="auto"/>
              </w:rPr>
              <w:t>Holder:</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XXXX .</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5540" w:type="dxa"/>
            <w:vAlign w:val="bottom"/>
            <w:gridSpan w:val="3"/>
          </w:tcPr>
          <w:p>
            <w:pPr>
              <w:spacing w:after="0"/>
              <w:rPr>
                <w:sz w:val="20"/>
                <w:szCs w:val="20"/>
                <w:color w:val="auto"/>
              </w:rPr>
            </w:pPr>
            <w:r>
              <w:rPr>
                <w:rFonts w:ascii="Arial" w:cs="Arial" w:eastAsia="Arial" w:hAnsi="Arial"/>
                <w:sz w:val="20"/>
                <w:szCs w:val="20"/>
                <w:color w:val="auto"/>
              </w:rPr>
              <w:t>XXXX</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20"/>
                <w:szCs w:val="20"/>
                <w:b w:val="1"/>
                <w:bCs w:val="1"/>
                <w:color w:val="auto"/>
              </w:rPr>
              <w:t>Total Number of Shares of</w:t>
            </w:r>
          </w:p>
        </w:tc>
        <w:tc>
          <w:tcPr>
            <w:tcW w:w="5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560" w:type="dxa"/>
            <w:vAlign w:val="bottom"/>
            <w:vMerge w:val="continue"/>
          </w:tcPr>
          <w:p>
            <w:pPr>
              <w:spacing w:after="0"/>
              <w:rPr>
                <w:sz w:val="22"/>
                <w:szCs w:val="22"/>
                <w:color w:val="auto"/>
              </w:rPr>
            </w:pPr>
          </w:p>
        </w:tc>
        <w:tc>
          <w:tcPr>
            <w:tcW w:w="5000" w:type="dxa"/>
            <w:vAlign w:val="bottom"/>
            <w:gridSpan w:val="2"/>
            <w:vMerge w:val="restart"/>
          </w:tcPr>
          <w:p>
            <w:pPr>
              <w:spacing w:after="0"/>
              <w:rPr>
                <w:sz w:val="20"/>
                <w:szCs w:val="20"/>
                <w:color w:val="auto"/>
              </w:rPr>
            </w:pPr>
            <w:r>
              <w:rPr>
                <w:rFonts w:ascii="Arial" w:cs="Arial" w:eastAsia="Arial" w:hAnsi="Arial"/>
                <w:sz w:val="20"/>
                <w:szCs w:val="20"/>
                <w:color w:val="auto"/>
              </w:rPr>
              <w:t>XXXX Shares</w:t>
            </w:r>
          </w:p>
        </w:tc>
        <w:tc>
          <w:tcPr>
            <w:tcW w:w="5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560" w:type="dxa"/>
            <w:vAlign w:val="bottom"/>
          </w:tcPr>
          <w:p>
            <w:pPr>
              <w:spacing w:after="0" w:line="203" w:lineRule="exact"/>
              <w:rPr>
                <w:sz w:val="20"/>
                <w:szCs w:val="20"/>
                <w:color w:val="auto"/>
              </w:rPr>
            </w:pPr>
            <w:r>
              <w:rPr>
                <w:rFonts w:ascii="Arial" w:cs="Arial" w:eastAsia="Arial" w:hAnsi="Arial"/>
                <w:sz w:val="20"/>
                <w:szCs w:val="20"/>
                <w:b w:val="1"/>
                <w:bCs w:val="1"/>
                <w:color w:val="auto"/>
              </w:rPr>
              <w:t>Restricted Stock:</w:t>
            </w:r>
          </w:p>
        </w:tc>
        <w:tc>
          <w:tcPr>
            <w:tcW w:w="5000" w:type="dxa"/>
            <w:vAlign w:val="bottom"/>
            <w:tcBorders>
              <w:bottom w:val="single" w:sz="8" w:color="auto"/>
            </w:tcBorders>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5540" w:type="dxa"/>
            <w:vAlign w:val="bottom"/>
            <w:gridSpan w:val="3"/>
          </w:tcPr>
          <w:p>
            <w:pPr>
              <w:spacing w:after="0"/>
              <w:rPr>
                <w:sz w:val="20"/>
                <w:szCs w:val="20"/>
                <w:color w:val="auto"/>
              </w:rPr>
            </w:pPr>
            <w:r>
              <w:rPr>
                <w:rFonts w:ascii="Arial" w:cs="Arial" w:eastAsia="Arial" w:hAnsi="Arial"/>
                <w:sz w:val="20"/>
                <w:szCs w:val="20"/>
                <w:color w:val="auto"/>
                <w:w w:val="90"/>
              </w:rPr>
              <w:t>The shares covered by the Restricted Stock Award shall vest and the</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20"/>
                <w:szCs w:val="20"/>
                <w:color w:val="auto"/>
              </w:rPr>
              <w:t>Restrictions on such shares shall lapse vest on the date of the</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20"/>
                <w:szCs w:val="20"/>
                <w:color w:val="auto"/>
                <w:w w:val="98"/>
              </w:rPr>
              <w:t>Company’s 20XX Annual Meeting of Shareholders (the “Annual</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Arial" w:cs="Arial" w:eastAsia="Arial" w:hAnsi="Arial"/>
                <w:sz w:val="20"/>
                <w:szCs w:val="20"/>
                <w:color w:val="auto"/>
              </w:rPr>
              <w:t>Meeting”).</w:t>
            </w:r>
          </w:p>
        </w:tc>
        <w:tc>
          <w:tcPr>
            <w:tcW w:w="0" w:type="dxa"/>
            <w:vAlign w:val="bottom"/>
          </w:tcPr>
          <w:p>
            <w:pPr>
              <w:spacing w:after="0"/>
              <w:rPr>
                <w:sz w:val="1"/>
                <w:szCs w:val="1"/>
                <w:color w:val="auto"/>
              </w:rPr>
            </w:pPr>
          </w:p>
        </w:tc>
      </w:tr>
      <w:tr>
        <w:trPr>
          <w:trHeight w:val="236"/>
        </w:trPr>
        <w:tc>
          <w:tcPr>
            <w:tcW w:w="2560" w:type="dxa"/>
            <w:vAlign w:val="bottom"/>
          </w:tcPr>
          <w:p>
            <w:pPr>
              <w:spacing w:after="0"/>
              <w:rPr>
                <w:sz w:val="20"/>
                <w:szCs w:val="20"/>
                <w:color w:val="auto"/>
              </w:rPr>
            </w:pPr>
            <w:r>
              <w:rPr>
                <w:rFonts w:ascii="Arial" w:cs="Arial" w:eastAsia="Arial" w:hAnsi="Arial"/>
                <w:sz w:val="20"/>
                <w:szCs w:val="20"/>
                <w:b w:val="1"/>
                <w:bCs w:val="1"/>
                <w:color w:val="auto"/>
              </w:rPr>
              <w:t>Restrictions:</w:t>
            </w:r>
          </w:p>
        </w:tc>
        <w:tc>
          <w:tcPr>
            <w:tcW w:w="5540" w:type="dxa"/>
            <w:vAlign w:val="bottom"/>
            <w:gridSpan w:val="3"/>
          </w:tcPr>
          <w:p>
            <w:pPr>
              <w:spacing w:after="0"/>
              <w:rPr>
                <w:sz w:val="20"/>
                <w:szCs w:val="20"/>
                <w:color w:val="auto"/>
              </w:rPr>
            </w:pPr>
            <w:r>
              <w:rPr>
                <w:rFonts w:ascii="Arial" w:cs="Arial" w:eastAsia="Arial" w:hAnsi="Arial"/>
                <w:sz w:val="20"/>
                <w:szCs w:val="20"/>
                <w:color w:val="auto"/>
                <w:w w:val="95"/>
              </w:rPr>
              <w:t>The shares covered by the Restricted Stock Award are subject to</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20"/>
                <w:szCs w:val="20"/>
                <w:color w:val="auto"/>
                <w:w w:val="95"/>
              </w:rPr>
              <w:t>forfeiture upon termination of the Holder’s service on the Board of</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Arial" w:cs="Arial" w:eastAsia="Arial" w:hAnsi="Arial"/>
                <w:sz w:val="20"/>
                <w:szCs w:val="20"/>
                <w:color w:val="auto"/>
              </w:rPr>
              <w:t>Directors of the Company prior to the Annual Meeting.</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160" w:right="139" w:firstLine="648"/>
        <w:spacing w:after="0" w:line="229" w:lineRule="auto"/>
        <w:rPr>
          <w:sz w:val="20"/>
          <w:szCs w:val="20"/>
          <w:color w:val="auto"/>
        </w:rPr>
      </w:pPr>
      <w:r>
        <w:rPr>
          <w:rFonts w:ascii="Arial" w:cs="Arial" w:eastAsia="Arial" w:hAnsi="Arial"/>
          <w:sz w:val="18"/>
          <w:szCs w:val="18"/>
          <w:color w:val="auto"/>
        </w:rPr>
        <w:t>By his or her signature and the Company’s signature below, Holder and the Company agree to be bound by the terms and conditions of the Plan, the Restricted Stock Agreement and this Grant Notice. Holder has reviewed the Restricted Stock Agreement, the Plan and this Grant Notice in their entirety, has had an opportunity to obtain the advice of counsel prior to executing this Grant Notice and fully understands all provisions of this Grant Notice, the Restricted Stock Agreement and the Plan. Holder hereby agrees to accept as binding, conclusive and final all decisions or interpretations of the Administrator of the Plan upon any questions arising under the Plan, this Grant Notice or the Restricted Stock Agreement.</w:t>
      </w:r>
    </w:p>
    <w:p>
      <w:pPr>
        <w:spacing w:after="0" w:line="340"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4220" w:type="dxa"/>
            <w:vAlign w:val="bottom"/>
            <w:gridSpan w:val="5"/>
          </w:tcPr>
          <w:p>
            <w:pPr>
              <w:ind w:left="100"/>
              <w:spacing w:after="0"/>
              <w:rPr>
                <w:sz w:val="20"/>
                <w:szCs w:val="20"/>
                <w:color w:val="auto"/>
              </w:rPr>
            </w:pPr>
            <w:r>
              <w:rPr>
                <w:rFonts w:ascii="Arial" w:cs="Arial" w:eastAsia="Arial" w:hAnsi="Arial"/>
                <w:sz w:val="20"/>
                <w:szCs w:val="20"/>
                <w:b w:val="1"/>
                <w:bCs w:val="1"/>
                <w:color w:val="auto"/>
              </w:rPr>
              <w:t>THE ST. JOE COMPANY: Holder:</w:t>
            </w:r>
          </w:p>
        </w:tc>
        <w:tc>
          <w:tcPr>
            <w:tcW w:w="1600" w:type="dxa"/>
            <w:vAlign w:val="bottom"/>
          </w:tcPr>
          <w:p>
            <w:pPr>
              <w:ind w:left="500"/>
              <w:spacing w:after="0"/>
              <w:rPr>
                <w:sz w:val="20"/>
                <w:szCs w:val="20"/>
                <w:color w:val="auto"/>
              </w:rPr>
            </w:pPr>
            <w:r>
              <w:rPr>
                <w:rFonts w:ascii="Arial" w:cs="Arial" w:eastAsia="Arial" w:hAnsi="Arial"/>
                <w:sz w:val="20"/>
                <w:szCs w:val="20"/>
                <w:b w:val="1"/>
                <w:bCs w:val="1"/>
                <w:color w:val="auto"/>
              </w:rPr>
              <w:t>HOLDER:</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440" w:type="dxa"/>
            <w:vAlign w:val="bottom"/>
          </w:tcPr>
          <w:p>
            <w:pPr>
              <w:ind w:left="100"/>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Pr>
          <w:p>
            <w:pPr>
              <w:ind w:left="500"/>
              <w:spacing w:after="0"/>
              <w:rPr>
                <w:sz w:val="20"/>
                <w:szCs w:val="20"/>
                <w:color w:val="auto"/>
              </w:rPr>
            </w:pPr>
            <w:r>
              <w:rPr>
                <w:rFonts w:ascii="Arial" w:cs="Arial" w:eastAsia="Arial" w:hAnsi="Arial"/>
                <w:sz w:val="20"/>
                <w:szCs w:val="20"/>
                <w:color w:val="auto"/>
              </w:rPr>
              <w:t>By:</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440" w:type="dxa"/>
            <w:vAlign w:val="bottom"/>
          </w:tcPr>
          <w:p>
            <w:pPr>
              <w:ind w:left="100"/>
              <w:spacing w:after="0" w:line="173" w:lineRule="exact"/>
              <w:rPr>
                <w:sz w:val="20"/>
                <w:szCs w:val="20"/>
                <w:color w:val="auto"/>
              </w:rPr>
            </w:pPr>
            <w:r>
              <w:rPr>
                <w:rFonts w:ascii="Arial" w:cs="Arial" w:eastAsia="Arial" w:hAnsi="Arial"/>
                <w:sz w:val="19"/>
                <w:szCs w:val="19"/>
                <w:color w:val="auto"/>
              </w:rPr>
              <w:t>Print Name:</w:t>
            </w:r>
          </w:p>
        </w:tc>
        <w:tc>
          <w:tcPr>
            <w:tcW w:w="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spacing w:after="0" w:line="173" w:lineRule="exact"/>
              <w:rPr>
                <w:sz w:val="20"/>
                <w:szCs w:val="20"/>
                <w:color w:val="auto"/>
              </w:rPr>
            </w:pPr>
            <w:r>
              <w:rPr>
                <w:rFonts w:ascii="Arial" w:cs="Arial" w:eastAsia="Arial" w:hAnsi="Arial"/>
                <w:sz w:val="19"/>
                <w:szCs w:val="19"/>
                <w:color w:val="auto"/>
              </w:rPr>
              <w:t>Elizabeth J. Walters</w:t>
            </w:r>
          </w:p>
        </w:tc>
        <w:tc>
          <w:tcPr>
            <w:tcW w:w="1600" w:type="dxa"/>
            <w:vAlign w:val="bottom"/>
          </w:tcPr>
          <w:p>
            <w:pPr>
              <w:ind w:left="500"/>
              <w:spacing w:after="0" w:line="173" w:lineRule="exact"/>
              <w:rPr>
                <w:sz w:val="20"/>
                <w:szCs w:val="20"/>
                <w:color w:val="auto"/>
              </w:rPr>
            </w:pPr>
            <w:r>
              <w:rPr>
                <w:rFonts w:ascii="Arial" w:cs="Arial" w:eastAsia="Arial" w:hAnsi="Arial"/>
                <w:sz w:val="19"/>
                <w:szCs w:val="19"/>
                <w:color w:val="auto"/>
              </w:rPr>
              <w:t>Print Name: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9"/>
                <w:szCs w:val="19"/>
                <w:color w:val="auto"/>
              </w:rPr>
              <w:t>XXXX.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40" w:type="dxa"/>
            <w:vAlign w:val="bottom"/>
          </w:tcPr>
          <w:p>
            <w:pPr>
              <w:ind w:left="100"/>
              <w:spacing w:after="0" w:line="162" w:lineRule="exact"/>
              <w:rPr>
                <w:sz w:val="20"/>
                <w:szCs w:val="20"/>
                <w:color w:val="auto"/>
              </w:rPr>
            </w:pPr>
            <w:r>
              <w:rPr>
                <w:rFonts w:ascii="Arial" w:cs="Arial" w:eastAsia="Arial" w:hAnsi="Arial"/>
                <w:sz w:val="18"/>
                <w:szCs w:val="18"/>
                <w:color w:val="auto"/>
              </w:rPr>
              <w:t>Title:</w:t>
            </w:r>
          </w:p>
        </w:tc>
        <w:tc>
          <w:tcPr>
            <w:tcW w:w="2780" w:type="dxa"/>
            <w:vAlign w:val="bottom"/>
            <w:gridSpan w:val="4"/>
          </w:tcPr>
          <w:p>
            <w:pPr>
              <w:spacing w:after="0" w:line="162" w:lineRule="exact"/>
              <w:rPr>
                <w:sz w:val="20"/>
                <w:szCs w:val="20"/>
                <w:color w:val="auto"/>
              </w:rPr>
            </w:pPr>
            <w:r>
              <w:rPr>
                <w:rFonts w:ascii="Arial" w:cs="Arial" w:eastAsia="Arial" w:hAnsi="Arial"/>
                <w:sz w:val="18"/>
                <w:szCs w:val="18"/>
                <w:color w:val="auto"/>
              </w:rPr>
              <w:t>Senior Vice President,   General</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40" w:type="dxa"/>
            <w:vAlign w:val="bottom"/>
            <w:vMerge w:val="restart"/>
          </w:tcPr>
          <w:p>
            <w:pPr>
              <w:ind w:left="100"/>
              <w:spacing w:after="0"/>
              <w:rPr>
                <w:sz w:val="20"/>
                <w:szCs w:val="20"/>
                <w:color w:val="auto"/>
              </w:rPr>
            </w:pPr>
            <w:r>
              <w:rPr>
                <w:rFonts w:ascii="Arial" w:cs="Arial" w:eastAsia="Arial" w:hAnsi="Arial"/>
                <w:sz w:val="20"/>
                <w:szCs w:val="20"/>
                <w:color w:val="auto"/>
              </w:rPr>
              <w:t>Address:</w:t>
            </w:r>
          </w:p>
        </w:tc>
        <w:tc>
          <w:tcPr>
            <w:tcW w:w="2780" w:type="dxa"/>
            <w:vAlign w:val="bottom"/>
            <w:tcBorders>
              <w:bottom w:val="single" w:sz="8" w:color="auto"/>
            </w:tcBorders>
            <w:gridSpan w:val="4"/>
          </w:tcPr>
          <w:p>
            <w:pPr>
              <w:spacing w:after="0" w:line="216" w:lineRule="exact"/>
              <w:rPr>
                <w:sz w:val="20"/>
                <w:szCs w:val="20"/>
                <w:color w:val="auto"/>
              </w:rPr>
            </w:pPr>
            <w:r>
              <w:rPr>
                <w:rFonts w:ascii="Arial" w:cs="Arial" w:eastAsia="Arial" w:hAnsi="Arial"/>
                <w:sz w:val="20"/>
                <w:szCs w:val="20"/>
                <w:color w:val="auto"/>
                <w:w w:val="92"/>
              </w:rPr>
              <w:t>Counsel and Corporate Secretary</w:t>
            </w:r>
          </w:p>
        </w:tc>
        <w:tc>
          <w:tcPr>
            <w:tcW w:w="1600" w:type="dxa"/>
            <w:vAlign w:val="bottom"/>
            <w:vMerge w:val="restart"/>
          </w:tcPr>
          <w:p>
            <w:pPr>
              <w:ind w:left="500"/>
              <w:spacing w:after="0"/>
              <w:rPr>
                <w:sz w:val="20"/>
                <w:szCs w:val="20"/>
                <w:color w:val="auto"/>
              </w:rPr>
            </w:pPr>
            <w:r>
              <w:rPr>
                <w:rFonts w:ascii="Arial" w:cs="Arial" w:eastAsia="Arial" w:hAnsi="Arial"/>
                <w:sz w:val="20"/>
                <w:szCs w:val="20"/>
                <w:color w:val="auto"/>
              </w:rPr>
              <w:t>Address:</w:t>
            </w:r>
          </w:p>
        </w:tc>
        <w:tc>
          <w:tcPr>
            <w:tcW w:w="2920" w:type="dxa"/>
            <w:vAlign w:val="bottom"/>
            <w:gridSpan w:val="6"/>
            <w:vMerge w:val="restart"/>
          </w:tcPr>
          <w:p>
            <w:pPr>
              <w:ind w:left="120"/>
              <w:spacing w:after="0"/>
              <w:rPr>
                <w:sz w:val="20"/>
                <w:szCs w:val="20"/>
                <w:color w:val="auto"/>
              </w:rPr>
            </w:pPr>
            <w:r>
              <w:rPr>
                <w:rFonts w:ascii="Arial" w:cs="Arial" w:eastAsia="Arial" w:hAnsi="Arial"/>
                <w:sz w:val="20"/>
                <w:szCs w:val="20"/>
                <w:color w:val="auto"/>
                <w:w w:val="95"/>
              </w:rPr>
              <w:t>133 South WaterSound Parkway</w:t>
            </w: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2780" w:type="dxa"/>
            <w:vAlign w:val="bottom"/>
            <w:gridSpan w:val="4"/>
          </w:tcPr>
          <w:p>
            <w:pPr>
              <w:spacing w:after="0" w:line="169" w:lineRule="exact"/>
              <w:rPr>
                <w:sz w:val="20"/>
                <w:szCs w:val="20"/>
                <w:color w:val="auto"/>
              </w:rPr>
            </w:pPr>
            <w:r>
              <w:rPr>
                <w:rFonts w:ascii="Arial" w:cs="Arial" w:eastAsia="Arial" w:hAnsi="Arial"/>
                <w:sz w:val="19"/>
                <w:szCs w:val="19"/>
                <w:color w:val="auto"/>
              </w:rPr>
              <w:t>133 South WaterSound Parkway</w:t>
            </w:r>
          </w:p>
        </w:tc>
        <w:tc>
          <w:tcPr>
            <w:tcW w:w="1600" w:type="dxa"/>
            <w:vAlign w:val="bottom"/>
            <w:vMerge w:val="continue"/>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tcPr>
          <w:p>
            <w:pPr>
              <w:spacing w:after="0"/>
              <w:rPr>
                <w:sz w:val="14"/>
                <w:szCs w:val="14"/>
                <w:color w:val="auto"/>
              </w:rPr>
            </w:pPr>
          </w:p>
        </w:tc>
        <w:tc>
          <w:tcPr>
            <w:tcW w:w="258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9"/>
                <w:szCs w:val="19"/>
                <w:color w:val="auto"/>
              </w:rPr>
              <w:t>WaterSound, Florida 32461</w:t>
            </w: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9"/>
                <w:szCs w:val="19"/>
                <w:color w:val="auto"/>
              </w:rPr>
              <w:t>WaterSound, Florida 32461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3"/>
        </w:trPr>
        <w:tc>
          <w:tcPr>
            <w:tcW w:w="14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4" w:right="1440"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ST. JOE COMPANY</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RESTRICTED STOCK AGREEMENT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XXXXXXXXXXXXXXX</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Award of Restricted Stock</w:t>
      </w:r>
    </w:p>
    <w:p>
      <w:pPr>
        <w:spacing w:after="0" w:line="179" w:lineRule="exact"/>
        <w:rPr>
          <w:sz w:val="20"/>
          <w:szCs w:val="20"/>
          <w:color w:val="auto"/>
        </w:rPr>
      </w:pPr>
    </w:p>
    <w:p>
      <w:pPr>
        <w:jc w:val="both"/>
        <w:ind w:left="160" w:right="139" w:hanging="9"/>
        <w:spacing w:after="0" w:line="246" w:lineRule="auto"/>
        <w:tabs>
          <w:tab w:leader="none" w:pos="372"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THE ST. JOE COMPANY, a Florida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as of July 1, 20XX (the “</w:t>
      </w:r>
      <w:r>
        <w:rPr>
          <w:rFonts w:ascii="Arial" w:cs="Arial" w:eastAsia="Arial" w:hAnsi="Arial"/>
          <w:sz w:val="19"/>
          <w:szCs w:val="19"/>
          <w:u w:val="single" w:color="auto"/>
          <w:color w:val="auto"/>
        </w:rPr>
        <w:t>Date of Grant</w:t>
      </w:r>
      <w:r>
        <w:rPr>
          <w:rFonts w:ascii="Arial" w:cs="Arial" w:eastAsia="Arial" w:hAnsi="Arial"/>
          <w:sz w:val="19"/>
          <w:szCs w:val="19"/>
          <w:color w:val="auto"/>
        </w:rPr>
        <w:t>”), to XXXXX. (the “</w:t>
      </w:r>
      <w:r>
        <w:rPr>
          <w:rFonts w:ascii="Arial" w:cs="Arial" w:eastAsia="Arial" w:hAnsi="Arial"/>
          <w:sz w:val="19"/>
          <w:szCs w:val="19"/>
          <w:u w:val="single" w:color="auto"/>
          <w:color w:val="auto"/>
        </w:rPr>
        <w:t>Recipient</w:t>
      </w:r>
      <w:r>
        <w:rPr>
          <w:rFonts w:ascii="Arial" w:cs="Arial" w:eastAsia="Arial" w:hAnsi="Arial"/>
          <w:sz w:val="19"/>
          <w:szCs w:val="19"/>
          <w:color w:val="auto"/>
        </w:rPr>
        <w:t>”), XXXX restricted shares of the Company’s common stock (collectively the “</w:t>
      </w:r>
      <w:r>
        <w:rPr>
          <w:rFonts w:ascii="Arial" w:cs="Arial" w:eastAsia="Arial" w:hAnsi="Arial"/>
          <w:sz w:val="19"/>
          <w:szCs w:val="19"/>
          <w:u w:val="single" w:color="auto"/>
          <w:color w:val="auto"/>
        </w:rPr>
        <w:t>Restricted Stock</w:t>
      </w:r>
      <w:r>
        <w:rPr>
          <w:rFonts w:ascii="Arial" w:cs="Arial" w:eastAsia="Arial" w:hAnsi="Arial"/>
          <w:sz w:val="19"/>
          <w:szCs w:val="19"/>
          <w:color w:val="auto"/>
        </w:rPr>
        <w:t>”). The Restricted Stock shall be subject to the terms, provisions and restrictions set forth in this Agreement and The St. Joe Company 2015 Performance and Equity Incentive Plan, as may be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which is incorporated herein for all purposes. As a condition to entering into this Agreement, and as a condition to the issuance of any Shares (or any other securities of the Company), the Recipient agrees to be bound by all of the terms and conditions herein and in the Plan.</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Vesting of Restricted Stock.</w:t>
      </w:r>
    </w:p>
    <w:p>
      <w:pPr>
        <w:spacing w:after="0" w:line="179" w:lineRule="exact"/>
        <w:rPr>
          <w:sz w:val="20"/>
          <w:szCs w:val="20"/>
          <w:color w:val="auto"/>
        </w:rPr>
      </w:pPr>
    </w:p>
    <w:p>
      <w:pPr>
        <w:jc w:val="both"/>
        <w:ind w:left="160" w:right="139" w:firstLine="648"/>
        <w:spacing w:after="0" w:line="216" w:lineRule="auto"/>
        <w:rPr>
          <w:sz w:val="20"/>
          <w:szCs w:val="20"/>
          <w:color w:val="auto"/>
        </w:rPr>
      </w:pPr>
      <w:r>
        <w:rPr>
          <w:rFonts w:ascii="Arial" w:cs="Arial" w:eastAsia="Arial" w:hAnsi="Arial"/>
          <w:sz w:val="22"/>
          <w:szCs w:val="22"/>
          <w:color w:val="auto"/>
        </w:rPr>
        <w:t>Except as otherwise provided in Sections 2(b) and (c) of this Agreement or in the Plan, the Restricted Stock shall vest in the following amounts and at the following times (the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Date(s)</w:t>
      </w:r>
      <w:r>
        <w:rPr>
          <w:rFonts w:ascii="Arial" w:cs="Arial" w:eastAsia="Arial" w:hAnsi="Arial"/>
          <w:sz w:val="22"/>
          <w:szCs w:val="22"/>
          <w:color w:val="auto"/>
        </w:rPr>
        <w:t>”), provided that the Recipient’s Continuous Service with the Company and its Related Entities continues through and on the applicable Vesting Dates (except as otherwise provided herein):</w:t>
      </w:r>
    </w:p>
    <w:p>
      <w:pPr>
        <w:spacing w:after="0" w:line="129"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Percentage of Restricted Stock</w:t>
            </w: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Vesting Date</w:t>
            </w:r>
          </w:p>
        </w:tc>
        <w:tc>
          <w:tcPr>
            <w:tcW w:w="1240" w:type="dxa"/>
            <w:vAlign w:val="bottom"/>
          </w:tcPr>
          <w:p>
            <w:pPr>
              <w:spacing w:after="0"/>
              <w:rPr>
                <w:sz w:val="21"/>
                <w:szCs w:val="21"/>
                <w:color w:val="auto"/>
              </w:rPr>
            </w:pPr>
          </w:p>
        </w:tc>
      </w:tr>
      <w:tr>
        <w:trPr>
          <w:trHeight w:val="404"/>
        </w:trPr>
        <w:tc>
          <w:tcPr>
            <w:tcW w:w="2660" w:type="dxa"/>
            <w:vAlign w:val="bottom"/>
          </w:tcPr>
          <w:p>
            <w:pPr>
              <w:jc w:val="right"/>
              <w:ind w:right="972"/>
              <w:spacing w:after="0"/>
              <w:rPr>
                <w:sz w:val="20"/>
                <w:szCs w:val="20"/>
                <w:color w:val="auto"/>
              </w:rPr>
            </w:pPr>
            <w:r>
              <w:rPr>
                <w:rFonts w:ascii="Arial" w:cs="Arial" w:eastAsia="Arial" w:hAnsi="Arial"/>
                <w:sz w:val="22"/>
                <w:szCs w:val="22"/>
                <w:color w:val="auto"/>
              </w:rPr>
              <w:t>100%</w:t>
            </w:r>
          </w:p>
        </w:tc>
        <w:tc>
          <w:tcPr>
            <w:tcW w:w="440" w:type="dxa"/>
            <w:vAlign w:val="bottom"/>
          </w:tcPr>
          <w:p>
            <w:pPr>
              <w:spacing w:after="0"/>
              <w:rPr>
                <w:sz w:val="24"/>
                <w:szCs w:val="24"/>
                <w:color w:val="auto"/>
              </w:rPr>
            </w:pPr>
          </w:p>
        </w:tc>
        <w:tc>
          <w:tcPr>
            <w:tcW w:w="4060" w:type="dxa"/>
            <w:vAlign w:val="bottom"/>
            <w:gridSpan w:val="3"/>
          </w:tcPr>
          <w:p>
            <w:pPr>
              <w:jc w:val="center"/>
              <w:ind w:left="352"/>
              <w:spacing w:after="0"/>
              <w:rPr>
                <w:sz w:val="20"/>
                <w:szCs w:val="20"/>
                <w:color w:val="auto"/>
              </w:rPr>
            </w:pPr>
            <w:r>
              <w:rPr>
                <w:rFonts w:ascii="Arial" w:cs="Arial" w:eastAsia="Arial" w:hAnsi="Arial"/>
                <w:sz w:val="22"/>
                <w:szCs w:val="22"/>
                <w:color w:val="auto"/>
                <w:w w:val="90"/>
              </w:rPr>
              <w:t>The date of the Company’s 20XX Annual</w:t>
            </w:r>
          </w:p>
        </w:tc>
      </w:tr>
      <w:tr>
        <w:trPr>
          <w:trHeight w:val="275"/>
        </w:trPr>
        <w:tc>
          <w:tcPr>
            <w:tcW w:w="2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60" w:type="dxa"/>
            <w:vAlign w:val="bottom"/>
            <w:gridSpan w:val="3"/>
          </w:tcPr>
          <w:p>
            <w:pPr>
              <w:jc w:val="center"/>
              <w:ind w:left="332"/>
              <w:spacing w:after="0"/>
              <w:rPr>
                <w:sz w:val="20"/>
                <w:szCs w:val="20"/>
                <w:color w:val="auto"/>
              </w:rPr>
            </w:pPr>
            <w:r>
              <w:rPr>
                <w:rFonts w:ascii="Arial" w:cs="Arial" w:eastAsia="Arial" w:hAnsi="Arial"/>
                <w:sz w:val="22"/>
                <w:szCs w:val="22"/>
                <w:color w:val="auto"/>
                <w:w w:val="89"/>
              </w:rPr>
              <w:t>Meeting of Shareholders</w:t>
            </w:r>
          </w:p>
        </w:tc>
      </w:tr>
    </w:tbl>
    <w:p>
      <w:pPr>
        <w:spacing w:after="0" w:line="200" w:lineRule="exact"/>
        <w:rPr>
          <w:sz w:val="20"/>
          <w:szCs w:val="20"/>
          <w:color w:val="auto"/>
        </w:rPr>
      </w:pPr>
    </w:p>
    <w:p>
      <w:pPr>
        <w:spacing w:after="0" w:line="390" w:lineRule="exact"/>
        <w:rPr>
          <w:sz w:val="20"/>
          <w:szCs w:val="20"/>
          <w:color w:val="auto"/>
        </w:rPr>
      </w:pPr>
    </w:p>
    <w:p>
      <w:pPr>
        <w:jc w:val="both"/>
        <w:ind w:left="160" w:right="139"/>
        <w:spacing w:after="0" w:line="252" w:lineRule="auto"/>
        <w:rPr>
          <w:sz w:val="20"/>
          <w:szCs w:val="20"/>
          <w:color w:val="auto"/>
        </w:rPr>
      </w:pPr>
      <w:r>
        <w:rPr>
          <w:rFonts w:ascii="Arial" w:cs="Arial" w:eastAsia="Arial" w:hAnsi="Arial"/>
          <w:sz w:val="19"/>
          <w:szCs w:val="19"/>
          <w:color w:val="auto"/>
        </w:rPr>
        <w:t>Except as otherwise specifically provided herein, there shall be no proportionate or partial vesting in the periods prior to each Vesting Date, and all vesting shall occur only on the appropriate Vesting Date. Unless otherwise provided by the Committee, upon the termination of the Recipient’s Continuous Service with the Company and its Related Entities, any unvested portion of the Restricted Stock shall be forfeited and returned back to the Company for no consideration.</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Acceleration of Vesting Upon Change in Control.</w:t>
      </w:r>
    </w:p>
    <w:p>
      <w:pPr>
        <w:spacing w:after="0" w:line="179" w:lineRule="exact"/>
        <w:rPr>
          <w:sz w:val="20"/>
          <w:szCs w:val="20"/>
          <w:color w:val="auto"/>
        </w:rPr>
      </w:pPr>
    </w:p>
    <w:p>
      <w:pPr>
        <w:jc w:val="both"/>
        <w:ind w:left="160" w:right="139" w:firstLine="648"/>
        <w:spacing w:after="0" w:line="223" w:lineRule="auto"/>
        <w:rPr>
          <w:sz w:val="20"/>
          <w:szCs w:val="20"/>
          <w:color w:val="auto"/>
        </w:rPr>
      </w:pPr>
      <w:r>
        <w:rPr>
          <w:rFonts w:ascii="Arial" w:cs="Arial" w:eastAsia="Arial" w:hAnsi="Arial"/>
          <w:sz w:val="22"/>
          <w:szCs w:val="22"/>
          <w:color w:val="auto"/>
        </w:rPr>
        <w:t>In the event a Change in Control of the Company occurs during the Recipient’s Continuous Service, the Restricted Stock subject to this Agreement shall become immediately vested as of the date of the Change in Control.</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Acceleration of Vesting at Company Discretion.</w:t>
      </w:r>
    </w:p>
    <w:p>
      <w:pPr>
        <w:spacing w:after="0" w:line="179" w:lineRule="exact"/>
        <w:rPr>
          <w:sz w:val="20"/>
          <w:szCs w:val="20"/>
          <w:color w:val="auto"/>
        </w:rPr>
      </w:pPr>
    </w:p>
    <w:p>
      <w:pPr>
        <w:jc w:val="both"/>
        <w:ind w:left="160" w:right="159" w:firstLine="648"/>
        <w:spacing w:after="0" w:line="232" w:lineRule="auto"/>
        <w:rPr>
          <w:sz w:val="20"/>
          <w:szCs w:val="20"/>
          <w:color w:val="auto"/>
        </w:rPr>
      </w:pPr>
      <w:r>
        <w:rPr>
          <w:rFonts w:ascii="Arial" w:cs="Arial" w:eastAsia="Arial" w:hAnsi="Arial"/>
          <w:sz w:val="22"/>
          <w:szCs w:val="22"/>
          <w:color w:val="auto"/>
        </w:rPr>
        <w:t>Notwithstanding any other term or provision of this Agreement, the Committee shall be authorized, in its sole discretion, based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637540</wp:posOffset>
            </wp:positionV>
            <wp:extent cx="554863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70" w:name="page71"/>
    <w:bookmarkEnd w:id="70"/>
    <w:p>
      <w:pPr>
        <w:jc w:val="both"/>
        <w:ind w:left="160" w:right="159"/>
        <w:spacing w:after="0" w:line="223" w:lineRule="auto"/>
        <w:rPr>
          <w:sz w:val="20"/>
          <w:szCs w:val="20"/>
          <w:color w:val="auto"/>
        </w:rPr>
      </w:pPr>
      <w:r>
        <w:rPr>
          <w:rFonts w:ascii="Arial" w:cs="Arial" w:eastAsia="Arial" w:hAnsi="Arial"/>
          <w:sz w:val="22"/>
          <w:szCs w:val="22"/>
          <w:color w:val="auto"/>
        </w:rPr>
        <w:t>its review and evaluation of the performance of the Recipient and of the Company, to accelerate the vesting of any shares of Restricted Stock under this Agreement, at such times and upon such terms and conditions as the Committee shall deem advisable.</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Definitions.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For purposes of this Agreement, the following terms shall have the meanings indicated:</w:t>
      </w:r>
    </w:p>
    <w:p>
      <w:pPr>
        <w:spacing w:after="0" w:line="214" w:lineRule="exact"/>
        <w:rPr>
          <w:sz w:val="20"/>
          <w:szCs w:val="20"/>
          <w:color w:val="auto"/>
        </w:rPr>
      </w:pPr>
    </w:p>
    <w:p>
      <w:pPr>
        <w:jc w:val="both"/>
        <w:ind w:left="160" w:right="139" w:firstLine="1391"/>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Non-Vested Shares</w:t>
      </w:r>
      <w:r>
        <w:rPr>
          <w:rFonts w:ascii="Arial" w:cs="Arial" w:eastAsia="Arial" w:hAnsi="Arial"/>
          <w:sz w:val="22"/>
          <w:szCs w:val="22"/>
          <w:color w:val="auto"/>
        </w:rPr>
        <w:t>” means any portion of the Restricted Stock subject to this Agreement that has not become vested pursuant to this Section 2.</w:t>
      </w:r>
    </w:p>
    <w:p>
      <w:pPr>
        <w:spacing w:after="0" w:line="159" w:lineRule="exact"/>
        <w:rPr>
          <w:sz w:val="20"/>
          <w:szCs w:val="20"/>
          <w:color w:val="auto"/>
        </w:rPr>
      </w:pPr>
    </w:p>
    <w:p>
      <w:pPr>
        <w:jc w:val="both"/>
        <w:ind w:left="160" w:right="139" w:firstLine="135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Vested Shares</w:t>
      </w:r>
      <w:r>
        <w:rPr>
          <w:rFonts w:ascii="Arial" w:cs="Arial" w:eastAsia="Arial" w:hAnsi="Arial"/>
          <w:sz w:val="22"/>
          <w:szCs w:val="22"/>
          <w:color w:val="auto"/>
        </w:rPr>
        <w:t>” means any portion of the Restricted Stock subject to this Agreement that is and has become vested pursuant to this Section 2.</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Delivery of Restricted Stock</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w:t>
      </w:r>
    </w:p>
    <w:p>
      <w:pPr>
        <w:spacing w:after="0" w:line="185" w:lineRule="exact"/>
        <w:rPr>
          <w:sz w:val="20"/>
          <w:szCs w:val="20"/>
          <w:color w:val="auto"/>
        </w:rPr>
      </w:pPr>
    </w:p>
    <w:p>
      <w:pPr>
        <w:jc w:val="both"/>
        <w:ind w:left="160" w:right="139" w:firstLine="648"/>
        <w:spacing w:after="0" w:line="249" w:lineRule="auto"/>
        <w:rPr>
          <w:sz w:val="20"/>
          <w:szCs w:val="20"/>
          <w:color w:val="auto"/>
        </w:rPr>
      </w:pPr>
      <w:r>
        <w:rPr>
          <w:rFonts w:ascii="Arial" w:cs="Arial" w:eastAsia="Arial" w:hAnsi="Arial"/>
          <w:sz w:val="19"/>
          <w:szCs w:val="19"/>
          <w:color w:val="auto"/>
        </w:rPr>
        <w:t>The stock certificate(s) evidencing the Restricted Stock shall be registered in the name of the Recipient as of the Date of Grant designated in the Notice. Physical possession or custody of such stock certificate(s) shall be retained by the Company until such time as the Shares become vested. Such stock certificate(s) shall be distributed to the Recipient or Beneficiary(ies) as soon as administratively practicable after the Shares become vested. The Company reserves the right to place a legend on the stock certificate(s) restricting the transferability of such certificate(s).</w:t>
      </w:r>
    </w:p>
    <w:p>
      <w:pPr>
        <w:spacing w:after="0" w:line="153" w:lineRule="exact"/>
        <w:rPr>
          <w:sz w:val="20"/>
          <w:szCs w:val="20"/>
          <w:color w:val="auto"/>
        </w:rPr>
      </w:pPr>
    </w:p>
    <w:p>
      <w:pPr>
        <w:jc w:val="both"/>
        <w:ind w:left="160" w:right="139" w:firstLine="648"/>
        <w:spacing w:after="0" w:line="245" w:lineRule="auto"/>
        <w:rPr>
          <w:sz w:val="20"/>
          <w:szCs w:val="20"/>
          <w:color w:val="auto"/>
        </w:rPr>
      </w:pPr>
      <w:r>
        <w:rPr>
          <w:rFonts w:ascii="Arial" w:cs="Arial" w:eastAsia="Arial" w:hAnsi="Arial"/>
          <w:sz w:val="19"/>
          <w:szCs w:val="19"/>
          <w:color w:val="auto"/>
        </w:rPr>
        <w:t>During the period prior to vesting, the Recipient shall be entitled to all rights of a shareholder of the Company with respect to the Restricted Stock, including the right to vote the Shares and receive cash dividends. Any cash dividends declared with respect to any shares of Restricted Stock shall be held in escrow by the Company (unsegregated as a part of its general assets) until such time as the Restricted Stock that such cash dividends are attributed to become vested Shares, and if and to the extent that such Restricted Stock is subsequently forfeited, the cash dividends attributable to the forfeited Restricted Stock shall be forfeited as well. Stock dividends declared by the Company will be characterized as Restricted Stock and will be subject to vesting and be distributed at the same times as the Restricted Stock with respect to which they were declared as dividends.</w:t>
      </w:r>
    </w:p>
    <w:p>
      <w:pPr>
        <w:spacing w:after="0" w:line="153" w:lineRule="exact"/>
        <w:rPr>
          <w:sz w:val="20"/>
          <w:szCs w:val="20"/>
          <w:color w:val="auto"/>
        </w:rPr>
      </w:pPr>
    </w:p>
    <w:p>
      <w:pPr>
        <w:jc w:val="both"/>
        <w:ind w:left="160" w:right="139" w:firstLine="648"/>
        <w:spacing w:after="0" w:line="246" w:lineRule="auto"/>
        <w:rPr>
          <w:sz w:val="20"/>
          <w:szCs w:val="20"/>
          <w:color w:val="auto"/>
        </w:rPr>
      </w:pPr>
      <w:r>
        <w:rPr>
          <w:rFonts w:ascii="Arial" w:cs="Arial" w:eastAsia="Arial" w:hAnsi="Arial"/>
          <w:sz w:val="19"/>
          <w:szCs w:val="19"/>
          <w:color w:val="auto"/>
        </w:rPr>
        <w:t>The Recipient shall deposit with the Company stock powers or other instruments of transfer or assignment, duly endorsed in blank with signature(s) guaranteed, corresponding to each certificate representing shares of Restricted Stock until such Shares become vested. If the Recipient shall fail to provide the Company with any such stock power or other instrument of transfer or assignment, the Recipient hereby irrevocably appoints the Secretary of the Company as his attorney-in-fact, with full power of appointment and substitution, to execute and deliver any such power or other instrument which may be necessary to effectuate the transfer of the Restricted Stock (or assignment of distributions thereon) on the books and records of the Company.</w:t>
      </w:r>
    </w:p>
    <w:p>
      <w:pPr>
        <w:spacing w:after="0" w:line="153" w:lineRule="exact"/>
        <w:rPr>
          <w:sz w:val="20"/>
          <w:szCs w:val="20"/>
          <w:color w:val="auto"/>
        </w:rPr>
      </w:pPr>
    </w:p>
    <w:p>
      <w:pPr>
        <w:jc w:val="both"/>
        <w:ind w:left="160" w:right="139" w:firstLine="648"/>
        <w:spacing w:after="0" w:line="226" w:lineRule="auto"/>
        <w:rPr>
          <w:sz w:val="20"/>
          <w:szCs w:val="20"/>
          <w:color w:val="auto"/>
        </w:rPr>
      </w:pPr>
      <w:r>
        <w:rPr>
          <w:rFonts w:ascii="Arial" w:cs="Arial" w:eastAsia="Arial" w:hAnsi="Arial"/>
          <w:sz w:val="21"/>
          <w:szCs w:val="21"/>
          <w:color w:val="auto"/>
        </w:rPr>
        <w:t>If the Company is authorized to issue Shares without certificates, then the Company may, in the discretion of the Committee, issue Shares pursuant to this Agreement without certificates, in which case any references in this Agreement to certificates shall instead refer to whatever evidence may be issued to reflect the Recipient’s ownership of the Shares subject to the terms and conditions of this Agreement.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160"/>
        <w:spacing w:after="0"/>
        <w:rPr>
          <w:sz w:val="20"/>
          <w:szCs w:val="20"/>
          <w:color w:val="auto"/>
        </w:rPr>
      </w:pPr>
      <w:r>
        <w:rPr>
          <w:rFonts w:ascii="Arial" w:cs="Arial" w:eastAsia="Arial" w:hAnsi="Arial"/>
          <w:sz w:val="22"/>
          <w:szCs w:val="22"/>
          <w:b w:val="1"/>
          <w:bCs w:val="1"/>
          <w:i w:val="1"/>
          <w:iCs w:val="1"/>
          <w:color w:val="auto"/>
        </w:rPr>
        <w:t>Forfeiture of Non-Vested Shares</w:t>
      </w:r>
    </w:p>
    <w:p>
      <w:pPr>
        <w:spacing w:after="0" w:line="180" w:lineRule="exact"/>
        <w:rPr>
          <w:sz w:val="20"/>
          <w:szCs w:val="20"/>
          <w:color w:val="auto"/>
        </w:rPr>
      </w:pPr>
    </w:p>
    <w:p>
      <w:pPr>
        <w:jc w:val="both"/>
        <w:ind w:left="160" w:right="139" w:hanging="9"/>
        <w:spacing w:after="0" w:line="247" w:lineRule="auto"/>
        <w:tabs>
          <w:tab w:leader="none" w:pos="33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the Recipient’s Continuous Service with the Company and the Related Entities is terminated for any reason, any Shares of Restricted Stock that are not Vested Shares, and that do not become Vested Shares pursuant to Section 2 hereof as a result of such termination, shall be forfeited immediately upon such termination of Continuous Service and revert back to the Company without any payment to the Recipient. The Committee shall have the power and authority to enforce on behalf of the Company any rights of the Company under this Agreement in the event of the Recipient’s forfeiture of Non-Vested Shares pursuant to this Section 4.</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Transferability</w:t>
      </w:r>
    </w:p>
    <w:p>
      <w:pPr>
        <w:spacing w:after="0" w:line="179" w:lineRule="exact"/>
        <w:rPr>
          <w:sz w:val="20"/>
          <w:szCs w:val="20"/>
          <w:color w:val="auto"/>
        </w:rPr>
      </w:pPr>
    </w:p>
    <w:p>
      <w:pPr>
        <w:jc w:val="both"/>
        <w:ind w:left="160" w:right="139" w:hanging="9"/>
        <w:spacing w:after="0" w:line="243" w:lineRule="auto"/>
        <w:tabs>
          <w:tab w:leader="none" w:pos="329" w:val="left"/>
        </w:tabs>
        <w:numPr>
          <w:ilvl w:val="0"/>
          <w:numId w:val="26"/>
        </w:numPr>
        <w:rPr>
          <w:rFonts w:ascii="Arial" w:cs="Arial" w:eastAsia="Arial" w:hAnsi="Arial"/>
          <w:sz w:val="19"/>
          <w:szCs w:val="19"/>
          <w:b w:val="1"/>
          <w:bCs w:val="1"/>
          <w:color w:val="auto"/>
        </w:rPr>
      </w:pPr>
      <w:r>
        <w:rPr>
          <w:rFonts w:ascii="Arial" w:cs="Arial" w:eastAsia="Arial" w:hAnsi="Arial"/>
          <w:sz w:val="19"/>
          <w:szCs w:val="19"/>
          <w:color w:val="auto"/>
        </w:rPr>
        <w:t xml:space="preserve">Unless otherwise determined by the Committee, the shares of Restricted Stock are not transferable unless and until they become Vested Shares in accordance with this Agreement, otherwise than by will or under the applicable laws of descent and distribution. The terms of this Agreement shall be binding upon the executors, administrators, heirs, successors and assigns of the Recipient. Except as otherwise permitted pursuant to the first sentence of this Section, any attempt to effect a Transfer of any shares of Restricted Stock prior to the date on which the shares become Vested Shares shall be void </w:t>
      </w:r>
      <w:r>
        <w:rPr>
          <w:rFonts w:ascii="Arial" w:cs="Arial" w:eastAsia="Arial" w:hAnsi="Arial"/>
          <w:sz w:val="19"/>
          <w:szCs w:val="19"/>
          <w:i w:val="1"/>
          <w:iCs w:val="1"/>
          <w:color w:val="auto"/>
        </w:rPr>
        <w:t>ab initio</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Transfer</w:t>
      </w:r>
      <w:r>
        <w:rPr>
          <w:rFonts w:ascii="Arial" w:cs="Arial" w:eastAsia="Arial" w:hAnsi="Arial"/>
          <w:sz w:val="19"/>
          <w:szCs w:val="19"/>
          <w:color w:val="auto"/>
        </w:rPr>
        <w:t>”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p>
    <w:p>
      <w:pPr>
        <w:spacing w:after="0" w:line="381" w:lineRule="exact"/>
        <w:rPr>
          <w:sz w:val="20"/>
          <w:szCs w:val="20"/>
          <w:color w:val="auto"/>
        </w:rPr>
      </w:pPr>
    </w:p>
    <w:p>
      <w:pPr>
        <w:jc w:val="both"/>
        <w:ind w:left="160" w:right="139"/>
        <w:spacing w:after="0" w:line="242" w:lineRule="auto"/>
        <w:rPr>
          <w:sz w:val="20"/>
          <w:szCs w:val="20"/>
          <w:color w:val="auto"/>
        </w:rPr>
      </w:pPr>
      <w:r>
        <w:rPr>
          <w:rFonts w:ascii="Arial" w:cs="Arial" w:eastAsia="Arial" w:hAnsi="Arial"/>
          <w:sz w:val="19"/>
          <w:szCs w:val="19"/>
          <w:b w:val="1"/>
          <w:bCs w:val="1"/>
          <w:i w:val="1"/>
          <w:iCs w:val="1"/>
          <w:color w:val="auto"/>
        </w:rPr>
        <w:t>Compliance with Securities Laws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 shall be a condition to the Recipient’s right to receive shares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Restricted Stock hereunder that the Committee may, in its discretion, require (a) that the shares of Restricted Stock reserved for issue upon the grant of this award shall have been duly listed, upon official notice of issuance, upon any national securities exchange or automated quotation system on which the Shares may then be listed or quoted, (b) that either (i) a registration statement under the Securities Act of 1933 with respect to the Shares shall be in effect, or (ii) in the opinion of counsel for the Company, the proposed purchase shall be exempt from registration under that Act and the Recipient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Recipient, or both. The certificates representing the Shares granted under this Award may contain such legends as counsel for the Company shall consider necessary to comply with any applicable law.</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160"/>
        <w:spacing w:after="0"/>
        <w:rPr>
          <w:sz w:val="20"/>
          <w:szCs w:val="20"/>
          <w:color w:val="auto"/>
        </w:rPr>
      </w:pPr>
      <w:r>
        <w:rPr>
          <w:rFonts w:ascii="Arial" w:cs="Arial" w:eastAsia="Arial" w:hAnsi="Arial"/>
          <w:sz w:val="22"/>
          <w:szCs w:val="22"/>
          <w:b w:val="1"/>
          <w:bCs w:val="1"/>
          <w:i w:val="1"/>
          <w:iCs w:val="1"/>
          <w:color w:val="auto"/>
        </w:rPr>
        <w:t>Administration</w:t>
      </w:r>
      <w:r>
        <w:rPr>
          <w:rFonts w:ascii="Arial" w:cs="Arial" w:eastAsia="Arial" w:hAnsi="Arial"/>
          <w:sz w:val="22"/>
          <w:szCs w:val="22"/>
          <w:i w:val="1"/>
          <w:iCs w:val="1"/>
          <w:color w:val="auto"/>
        </w:rPr>
        <w:t>.</w:t>
      </w:r>
    </w:p>
    <w:p>
      <w:pPr>
        <w:spacing w:after="0" w:line="180" w:lineRule="exact"/>
        <w:rPr>
          <w:sz w:val="20"/>
          <w:szCs w:val="20"/>
          <w:color w:val="auto"/>
        </w:rPr>
      </w:pPr>
    </w:p>
    <w:p>
      <w:pPr>
        <w:jc w:val="both"/>
        <w:ind w:left="160" w:right="159" w:firstLine="1030"/>
        <w:spacing w:after="0" w:line="229" w:lineRule="auto"/>
        <w:tabs>
          <w:tab w:leader="none" w:pos="1885"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Committee shall have full authority and discretion to decide all matters relating to the administration and interpretation of this Agreement. The Committee shall have full power and authority to pass and decide upon cases in conformity with the objectives of this Agreement under such rules as the Board may establish.</w:t>
      </w:r>
    </w:p>
    <w:p>
      <w:pPr>
        <w:spacing w:after="0" w:line="158" w:lineRule="exact"/>
        <w:rPr>
          <w:rFonts w:ascii="Arial" w:cs="Arial" w:eastAsia="Arial" w:hAnsi="Arial"/>
          <w:sz w:val="21"/>
          <w:szCs w:val="21"/>
          <w:color w:val="auto"/>
        </w:rPr>
      </w:pPr>
    </w:p>
    <w:p>
      <w:pPr>
        <w:jc w:val="both"/>
        <w:ind w:left="160" w:right="139" w:firstLine="1287"/>
        <w:spacing w:after="0" w:line="223" w:lineRule="auto"/>
        <w:tabs>
          <w:tab w:leader="none" w:pos="2802" w:val="left"/>
        </w:tabs>
        <w:numPr>
          <w:ilvl w:val="1"/>
          <w:numId w:val="27"/>
        </w:numPr>
        <w:rPr>
          <w:rFonts w:ascii="Arial" w:cs="Arial" w:eastAsia="Arial" w:hAnsi="Arial"/>
          <w:sz w:val="21"/>
          <w:szCs w:val="21"/>
          <w:color w:val="auto"/>
        </w:rPr>
      </w:pPr>
      <w:r>
        <w:rPr>
          <w:rFonts w:ascii="Arial" w:cs="Arial" w:eastAsia="Arial" w:hAnsi="Arial"/>
          <w:sz w:val="21"/>
          <w:szCs w:val="21"/>
          <w:color w:val="auto"/>
        </w:rPr>
        <w:t>Any decision made or action taken by the Company, the Board, or the Committee arising out of, or in connection with, the administration, interpretation, and effect of this Agreement shall be at their absolute discretion and will be conclusive and binding on all parties. No member of the Board, Committee, or employee of the Company shall be liable for any act or action hereunder, whether of omission or commission, by the Recipient or by any agent to whom duties in connection with the administration of this Agreement have been delegated in accordance with the provision of this Agreement.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Tax Matters; Section 83(b) Election.</w:t>
      </w:r>
    </w:p>
    <w:p>
      <w:pPr>
        <w:spacing w:after="0" w:line="179" w:lineRule="exact"/>
        <w:rPr>
          <w:sz w:val="20"/>
          <w:szCs w:val="20"/>
          <w:color w:val="auto"/>
        </w:rPr>
      </w:pPr>
    </w:p>
    <w:p>
      <w:pPr>
        <w:jc w:val="both"/>
        <w:ind w:left="160" w:right="139" w:firstLine="648"/>
        <w:spacing w:after="0" w:line="220" w:lineRule="auto"/>
        <w:rPr>
          <w:sz w:val="20"/>
          <w:szCs w:val="20"/>
          <w:color w:val="auto"/>
        </w:rPr>
      </w:pPr>
      <w:r>
        <w:rPr>
          <w:rFonts w:ascii="Arial" w:cs="Arial" w:eastAsia="Arial" w:hAnsi="Arial"/>
          <w:sz w:val="21"/>
          <w:szCs w:val="21"/>
          <w:color w:val="auto"/>
        </w:rPr>
        <w:t>If the Recipient does not properly make the election described in Section 9(b) below, the Recipient shall, no later than the date or dates as of which the restrictions referred to in this Agreement hereof shall lapse, pay to the Company, or make arrangements satisfactory to the Committee for payment of, any federal, state, local or foreign taxes of any kind that the Company determines are required by law to be withheld with respect to the Restricted Stock (including without limitation the vesting thereof), and the Company shall, to the extent permitted by law, have the right to deduct from any payment of any kind (including without limitation, the withholding of any Shares that otherwise would be distributed to the Recipient under this Agreement) otherwise due to Recipient any federal, state, local or foreign taxes of any kind required by law to be withheld with respect to the Restricted Stock.</w:t>
      </w:r>
    </w:p>
    <w:p>
      <w:pPr>
        <w:spacing w:after="0" w:line="163" w:lineRule="exact"/>
        <w:rPr>
          <w:sz w:val="20"/>
          <w:szCs w:val="20"/>
          <w:color w:val="auto"/>
        </w:rPr>
      </w:pPr>
    </w:p>
    <w:p>
      <w:pPr>
        <w:jc w:val="both"/>
        <w:ind w:left="160" w:right="139" w:firstLine="648"/>
        <w:spacing w:after="0" w:line="244" w:lineRule="auto"/>
        <w:rPr>
          <w:sz w:val="20"/>
          <w:szCs w:val="20"/>
          <w:color w:val="auto"/>
        </w:rPr>
      </w:pPr>
      <w:r>
        <w:rPr>
          <w:rFonts w:ascii="Arial" w:cs="Arial" w:eastAsia="Arial" w:hAnsi="Arial"/>
          <w:sz w:val="19"/>
          <w:szCs w:val="19"/>
          <w:color w:val="auto"/>
        </w:rPr>
        <w:t>If the Recipient properly elects, within thirty (30) days of the Date of Grant, to include in gross income for federal income tax purposes an amount equal to the Fair Market Value (as of the Date of Grant) of the Restricted Stock pursuant to Section 83(b) of the Code, the Recipient shall make arrangements satisfactory to the Committee to pay to the Company any federal, state, local or foreign income taxes that the Company determines are required to be withheld with respect to the Restricted Stock. If the Recipient shall fail to make such tax payments as are required, the Company shall, to the extent permitted by law, have the right to deduct from any payment of any kind (including without limitation, the withholding of any Shares that otherwise would be issued to the Recipient under this Agreement) otherwise due to the Recipient, any federal, state, local or foreign taxes of any kind required by law to be withheld with respect to the Restricted Stock.</w:t>
      </w:r>
    </w:p>
    <w:p>
      <w:pPr>
        <w:spacing w:after="0" w:line="156" w:lineRule="exact"/>
        <w:rPr>
          <w:sz w:val="20"/>
          <w:szCs w:val="20"/>
          <w:color w:val="auto"/>
        </w:rPr>
      </w:pPr>
    </w:p>
    <w:p>
      <w:pPr>
        <w:jc w:val="both"/>
        <w:ind w:left="160" w:right="159" w:firstLine="648"/>
        <w:spacing w:after="0" w:line="232" w:lineRule="auto"/>
        <w:rPr>
          <w:sz w:val="20"/>
          <w:szCs w:val="20"/>
          <w:color w:val="auto"/>
        </w:rPr>
      </w:pPr>
      <w:r>
        <w:rPr>
          <w:rFonts w:ascii="Arial" w:cs="Arial" w:eastAsia="Arial" w:hAnsi="Arial"/>
          <w:sz w:val="22"/>
          <w:szCs w:val="22"/>
          <w:color w:val="auto"/>
        </w:rPr>
        <w:t>The Recipient may satisfy any applicable withholding requirements pursuant to any one or combination of the following methods:</w:t>
      </w:r>
    </w:p>
    <w:p>
      <w:pPr>
        <w:spacing w:after="0" w:line="15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payment in cash; or</w:t>
      </w:r>
    </w:p>
    <w:p>
      <w:pPr>
        <w:spacing w:after="0" w:line="179" w:lineRule="exact"/>
        <w:rPr>
          <w:sz w:val="20"/>
          <w:szCs w:val="20"/>
          <w:color w:val="auto"/>
        </w:rPr>
      </w:pPr>
    </w:p>
    <w:p>
      <w:pPr>
        <w:jc w:val="both"/>
        <w:ind w:left="160" w:right="139" w:firstLine="1296"/>
        <w:spacing w:after="0" w:line="257" w:lineRule="auto"/>
        <w:rPr>
          <w:sz w:val="20"/>
          <w:szCs w:val="20"/>
          <w:color w:val="auto"/>
        </w:rPr>
      </w:pPr>
      <w:r>
        <w:rPr>
          <w:rFonts w:ascii="Arial" w:cs="Arial" w:eastAsia="Arial" w:hAnsi="Arial"/>
          <w:sz w:val="19"/>
          <w:szCs w:val="19"/>
          <w:color w:val="auto"/>
        </w:rPr>
        <w:t>payment by surrendering a number of unrestricted previously held Shares (free and clear of all liens and encumbrances), or the withholding of a number of Shares that otherwise would be deliverable to the Recipient pursuant to this Award. The Shares so delivered or withheld must have an aggregate Fair Market Value on the date on which the shares of Restricted Stock</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jc w:val="both"/>
        <w:ind w:left="160" w:right="139"/>
        <w:spacing w:after="0" w:line="246" w:lineRule="auto"/>
        <w:rPr>
          <w:sz w:val="20"/>
          <w:szCs w:val="20"/>
          <w:color w:val="auto"/>
        </w:rPr>
      </w:pPr>
      <w:r>
        <w:rPr>
          <w:rFonts w:ascii="Arial" w:cs="Arial" w:eastAsia="Arial" w:hAnsi="Arial"/>
          <w:sz w:val="19"/>
          <w:szCs w:val="19"/>
          <w:color w:val="auto"/>
        </w:rPr>
        <w:t>become taxable equal to the minimum statutory amount, if any, required to be withheld for federal, state, local and/or foreign tax purposes that are applicable to the Restricted Stock then subject to tax (or such other amount as the Committee determines will not result in additional compensation expense for financial accounting purposes under applicable financial accounting principles). The Recipient may surrender Shares either by attestation or by delivery of a certificate or certificates for Shares duly endorsed for transfer to the Company, and if required with medallion level signature guarantee by a member firm of a national stock exchange, by a national or state bank (or guaranteed or notarized in such other manner as the Committee may require).</w:t>
      </w:r>
    </w:p>
    <w:p>
      <w:pPr>
        <w:spacing w:after="0" w:line="154"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21"/>
          <w:szCs w:val="21"/>
          <w:color w:val="auto"/>
        </w:rPr>
        <w:t>Tax consequences on the Recipient (including without limitation federal, state, local and/or foreign income tax consequences) with respect to the Restricted Stock (including without limitation the grant, vesting and/or forfeiture thereof) are the sole responsibility of the Recipient. The Recipient shall consult with his or her own personal accountant(s) and/or tax advisor(s) regarding these matters, the making of a Section 83(b) election, and the Recipient’s filing, withholding and payment (or tax liability) obligations.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Amendment, Modification &amp; Assignment; Non-Transferability</w:t>
      </w:r>
    </w:p>
    <w:p>
      <w:pPr>
        <w:spacing w:after="0" w:line="179" w:lineRule="exact"/>
        <w:rPr>
          <w:sz w:val="20"/>
          <w:szCs w:val="20"/>
          <w:color w:val="auto"/>
        </w:rPr>
      </w:pPr>
    </w:p>
    <w:p>
      <w:pPr>
        <w:jc w:val="both"/>
        <w:ind w:left="160" w:right="139" w:hanging="9"/>
        <w:spacing w:after="0" w:line="221" w:lineRule="auto"/>
        <w:tabs>
          <w:tab w:leader="none" w:pos="399" w:val="left"/>
        </w:tabs>
        <w:numPr>
          <w:ilvl w:val="0"/>
          <w:numId w:val="28"/>
        </w:numPr>
        <w:rPr>
          <w:rFonts w:ascii="Arial" w:cs="Arial" w:eastAsia="Arial" w:hAnsi="Arial"/>
          <w:sz w:val="21"/>
          <w:szCs w:val="21"/>
          <w:b w:val="1"/>
          <w:bCs w:val="1"/>
          <w:color w:val="auto"/>
        </w:rPr>
      </w:pPr>
      <w:r>
        <w:rPr>
          <w:rFonts w:ascii="Arial" w:cs="Arial" w:eastAsia="Arial" w:hAnsi="Arial"/>
          <w:sz w:val="21"/>
          <w:szCs w:val="21"/>
          <w:color w:val="auto"/>
        </w:rPr>
        <w:t>This Agreement may only be modified or amended in a writing signed by the parties hereto. No 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Recipient’s rights hereunder) may not be assigned, and the obligations of Recipient hereunder may not be delegated, in whole or in part. The rights and obligations created hereunder shall be binding on the Recipient and his heirs and legal representatives and on the successors and assigns of the Company.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Complete Agreement</w:t>
      </w:r>
    </w:p>
    <w:p>
      <w:pPr>
        <w:spacing w:after="0" w:line="179" w:lineRule="exact"/>
        <w:rPr>
          <w:sz w:val="20"/>
          <w:szCs w:val="20"/>
          <w:color w:val="auto"/>
        </w:rPr>
      </w:pPr>
    </w:p>
    <w:p>
      <w:pPr>
        <w:jc w:val="both"/>
        <w:ind w:left="160" w:right="139" w:hanging="9"/>
        <w:spacing w:after="0" w:line="214" w:lineRule="auto"/>
        <w:tabs>
          <w:tab w:leader="none" w:pos="347"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This Agreement (together with those agreements and documents expressly referred to herein, for the purposes referred to herein) embody the complete and entire agreement and 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Section 409A.</w:t>
      </w:r>
    </w:p>
    <w:p>
      <w:pPr>
        <w:spacing w:after="0" w:line="179" w:lineRule="exact"/>
        <w:rPr>
          <w:sz w:val="20"/>
          <w:szCs w:val="20"/>
          <w:color w:val="auto"/>
        </w:rPr>
      </w:pPr>
    </w:p>
    <w:p>
      <w:pPr>
        <w:jc w:val="both"/>
        <w:ind w:left="160" w:right="139" w:firstLine="1296"/>
        <w:spacing w:after="0" w:line="245" w:lineRule="auto"/>
        <w:rPr>
          <w:sz w:val="20"/>
          <w:szCs w:val="20"/>
          <w:color w:val="auto"/>
        </w:rPr>
      </w:pPr>
      <w:r>
        <w:rPr>
          <w:rFonts w:ascii="Arial" w:cs="Arial" w:eastAsia="Arial" w:hAnsi="Arial"/>
          <w:sz w:val="19"/>
          <w:szCs w:val="19"/>
          <w:color w:val="auto"/>
        </w:rPr>
        <w:t>(a)It is intended that the Restricted Stock awarded pursuant to this Agreement be exempt from Section 409A of the Code (“Section 409A”) because it is believed that the Agreement does not provide for a deferral of compensation and accordingly that the Agreement does not constitute a nonqualified deferred compensation plan within the meaning of Section 409A. The provisions of this Agreement shall be interpreted in a manner consistent with that intention, and the provisions of this Agreement may not be amended, adjusted, assumed or substituted for, converted or otherwise modified without the Recipient’s prior written consent if and to the extent that such amendment, adjustment, assumption or substitution, conversion or modification would cause the award to violate the requirements of Section 409A.</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jc w:val="both"/>
        <w:ind w:left="160" w:right="139" w:firstLine="1296"/>
        <w:spacing w:after="0" w:line="213" w:lineRule="auto"/>
        <w:rPr>
          <w:sz w:val="20"/>
          <w:szCs w:val="20"/>
          <w:color w:val="auto"/>
        </w:rPr>
      </w:pPr>
      <w:r>
        <w:rPr>
          <w:rFonts w:ascii="Arial" w:cs="Arial" w:eastAsia="Arial" w:hAnsi="Arial"/>
          <w:sz w:val="22"/>
          <w:szCs w:val="22"/>
          <w:color w:val="auto"/>
        </w:rPr>
        <w:t>(b)In the event that either the Company or the Recipient believes, at any time, that any benefit or right under this Agreement is subject to Section 409A, and does not comply with the requirements of Section 409A, it shall promptly advise the other and the Company and the Recipient shall negotiate reasonably and in good faith to amend the terms of such benefits and rights, if such an amendment may be made in a commercially reasonable manner, such that they comply with Section 409A with the most limited possible economic affect on the Recipient and on the Company.</w:t>
      </w:r>
    </w:p>
    <w:p>
      <w:pPr>
        <w:spacing w:after="0" w:line="158" w:lineRule="exact"/>
        <w:rPr>
          <w:sz w:val="20"/>
          <w:szCs w:val="20"/>
          <w:color w:val="auto"/>
        </w:rPr>
      </w:pPr>
    </w:p>
    <w:p>
      <w:pPr>
        <w:jc w:val="both"/>
        <w:ind w:left="160" w:right="139" w:firstLine="1296"/>
        <w:spacing w:after="0" w:line="247" w:lineRule="auto"/>
        <w:rPr>
          <w:sz w:val="20"/>
          <w:szCs w:val="20"/>
          <w:color w:val="auto"/>
        </w:rPr>
      </w:pPr>
      <w:r>
        <w:rPr>
          <w:rFonts w:ascii="Arial" w:cs="Arial" w:eastAsia="Arial" w:hAnsi="Arial"/>
          <w:sz w:val="19"/>
          <w:szCs w:val="19"/>
          <w:color w:val="auto"/>
        </w:rPr>
        <w:t>(c)Notwithstanding the foregoing, the Company does not make any representation to the Recipient that the shares of Restricted Stock awarded pursuant to this Agreement are exempt from, or satisfy, the requirements of Section 409A, and the Company shall have no liability or other obligation to indemnify or hold harmless the Recipient or any Beneficiary for any tax, additional tax, interest or penalties that the Recipient or any Beneficiary may incur in the event that any provision of this Agreement, or any amendment or modification thereof or any other action taken with respect thereto is deemed to violate any of the requirements of Section 409A.</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2"/>
          <w:szCs w:val="22"/>
          <w:b w:val="1"/>
          <w:bCs w:val="1"/>
          <w:i w:val="1"/>
          <w:iCs w:val="1"/>
          <w:color w:val="auto"/>
        </w:rPr>
        <w:t>Miscellaneous.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No Right to (Continued) Employment or Service</w:t>
      </w:r>
    </w:p>
    <w:p>
      <w:pPr>
        <w:spacing w:after="0" w:line="179" w:lineRule="exact"/>
        <w:rPr>
          <w:sz w:val="20"/>
          <w:szCs w:val="20"/>
          <w:color w:val="auto"/>
        </w:rPr>
      </w:pPr>
    </w:p>
    <w:p>
      <w:pPr>
        <w:jc w:val="both"/>
        <w:ind w:left="160" w:right="139" w:firstLine="639"/>
        <w:spacing w:after="0" w:line="223" w:lineRule="auto"/>
        <w:tabs>
          <w:tab w:leader="none" w:pos="1069" w:val="left"/>
        </w:tabs>
        <w:numPr>
          <w:ilvl w:val="0"/>
          <w:numId w:val="30"/>
        </w:numPr>
        <w:rPr>
          <w:rFonts w:ascii="Arial" w:cs="Arial" w:eastAsia="Arial" w:hAnsi="Arial"/>
          <w:sz w:val="22"/>
          <w:szCs w:val="22"/>
          <w:b w:val="1"/>
          <w:bCs w:val="1"/>
          <w:color w:val="auto"/>
        </w:rPr>
      </w:pPr>
      <w:r>
        <w:rPr>
          <w:rFonts w:ascii="Arial" w:cs="Arial" w:eastAsia="Arial" w:hAnsi="Arial"/>
          <w:sz w:val="22"/>
          <w:szCs w:val="22"/>
          <w:color w:val="auto"/>
        </w:rPr>
        <w:t>This Agreement and the grant of Restricted Stock hereunder shall not confer, or be construed to confer, upon the Recipient any right to employment or service, or continued employment or service, with the Company or any Related Entity.</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No Limit on Other Compensation Arrangements</w:t>
      </w:r>
    </w:p>
    <w:p>
      <w:pPr>
        <w:spacing w:after="0" w:line="179" w:lineRule="exact"/>
        <w:rPr>
          <w:sz w:val="20"/>
          <w:szCs w:val="20"/>
          <w:color w:val="auto"/>
        </w:rPr>
      </w:pPr>
    </w:p>
    <w:p>
      <w:pPr>
        <w:jc w:val="both"/>
        <w:ind w:left="160" w:right="139" w:firstLine="639"/>
        <w:spacing w:after="0" w:line="218" w:lineRule="auto"/>
        <w:tabs>
          <w:tab w:leader="none" w:pos="1018" w:val="left"/>
        </w:tabs>
        <w:numPr>
          <w:ilvl w:val="0"/>
          <w:numId w:val="31"/>
        </w:numPr>
        <w:rPr>
          <w:rFonts w:ascii="Arial" w:cs="Arial" w:eastAsia="Arial" w:hAnsi="Arial"/>
          <w:sz w:val="22"/>
          <w:szCs w:val="22"/>
          <w:b w:val="1"/>
          <w:bCs w:val="1"/>
          <w:color w:val="auto"/>
        </w:rPr>
      </w:pPr>
      <w:r>
        <w:rPr>
          <w:rFonts w:ascii="Arial" w:cs="Arial" w:eastAsia="Arial" w:hAnsi="Arial"/>
          <w:sz w:val="22"/>
          <w:szCs w:val="22"/>
          <w:color w:val="auto"/>
        </w:rPr>
        <w:t>Nothing contained in this Agreement shall preclude the Company or any 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Severability</w:t>
      </w:r>
    </w:p>
    <w:p>
      <w:pPr>
        <w:spacing w:after="0" w:line="179" w:lineRule="exact"/>
        <w:rPr>
          <w:sz w:val="20"/>
          <w:szCs w:val="20"/>
          <w:color w:val="auto"/>
        </w:rPr>
      </w:pPr>
    </w:p>
    <w:p>
      <w:pPr>
        <w:jc w:val="both"/>
        <w:ind w:left="160" w:right="139" w:firstLine="639"/>
        <w:spacing w:after="0" w:line="223" w:lineRule="auto"/>
        <w:tabs>
          <w:tab w:leader="none" w:pos="976" w:val="left"/>
        </w:tabs>
        <w:numPr>
          <w:ilvl w:val="0"/>
          <w:numId w:val="32"/>
        </w:numPr>
        <w:rPr>
          <w:rFonts w:ascii="Arial" w:cs="Arial" w:eastAsia="Arial" w:hAnsi="Arial"/>
          <w:sz w:val="21"/>
          <w:szCs w:val="21"/>
          <w:b w:val="1"/>
          <w:bCs w:val="1"/>
          <w:color w:val="auto"/>
        </w:rPr>
      </w:pPr>
      <w:r>
        <w:rPr>
          <w:rFonts w:ascii="Arial" w:cs="Arial" w:eastAsia="Arial" w:hAnsi="Arial"/>
          <w:sz w:val="21"/>
          <w:szCs w:val="21"/>
          <w:color w:val="auto"/>
        </w:rPr>
        <w:t>If any term or provision of this Agreement is or becomes or is deemed to be invalid, illegal or unenforceable in 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Restricted Stock hereunder, such provision shall be stricken as to such jurisdiction and the remainder of this Agreement and the award hereunder shall remain in full force and effect).</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No Trust or Fund Created</w:t>
      </w:r>
    </w:p>
    <w:p>
      <w:pPr>
        <w:spacing w:after="0" w:line="179" w:lineRule="exact"/>
        <w:rPr>
          <w:sz w:val="20"/>
          <w:szCs w:val="20"/>
          <w:color w:val="auto"/>
        </w:rPr>
      </w:pPr>
    </w:p>
    <w:p>
      <w:pPr>
        <w:jc w:val="both"/>
        <w:ind w:left="160" w:right="139" w:firstLine="639"/>
        <w:spacing w:after="0" w:line="214" w:lineRule="auto"/>
        <w:tabs>
          <w:tab w:leader="none" w:pos="1046"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Neither this Agreement nor the grant of Restricted Stock hereunder shall create or be construed to create a trust or separate fund of any kind or a fiduciary relationship between the Company or any Related Entity and the Recipient or any other person. To the extent that the Recipient or any other person acquires a right to receive payments from the Company or any Related Entity pursuant to this Agreement, such right shall be no greater than the right of any unsecured general creditor of the Company.</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5" w:name="page76"/>
    <w:bookmarkEnd w:id="75"/>
    <w:p>
      <w:pPr>
        <w:ind w:left="800"/>
        <w:spacing w:after="0"/>
        <w:rPr>
          <w:sz w:val="20"/>
          <w:szCs w:val="20"/>
          <w:color w:val="auto"/>
        </w:rPr>
      </w:pPr>
      <w:r>
        <w:rPr>
          <w:rFonts w:ascii="Arial" w:cs="Arial" w:eastAsia="Arial" w:hAnsi="Arial"/>
          <w:sz w:val="22"/>
          <w:szCs w:val="22"/>
          <w:b w:val="1"/>
          <w:bCs w:val="1"/>
          <w:i w:val="1"/>
          <w:iCs w:val="1"/>
          <w:color w:val="auto"/>
        </w:rPr>
        <w:t>Law Governing</w:t>
      </w:r>
    </w:p>
    <w:p>
      <w:pPr>
        <w:spacing w:after="0" w:line="180" w:lineRule="exact"/>
        <w:rPr>
          <w:sz w:val="20"/>
          <w:szCs w:val="20"/>
          <w:color w:val="auto"/>
        </w:rPr>
      </w:pPr>
    </w:p>
    <w:p>
      <w:pPr>
        <w:jc w:val="both"/>
        <w:ind w:left="160" w:right="139" w:firstLine="639"/>
        <w:spacing w:after="0" w:line="223" w:lineRule="auto"/>
        <w:tabs>
          <w:tab w:leader="none" w:pos="997"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This Agreement shall be governed by and construed and enforced in accordance with the internal laws of the State of Florida (without reference to the conflict of laws rules or principles thereof).</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Interpretation</w:t>
      </w:r>
    </w:p>
    <w:p>
      <w:pPr>
        <w:spacing w:after="0" w:line="179" w:lineRule="exact"/>
        <w:rPr>
          <w:sz w:val="20"/>
          <w:szCs w:val="20"/>
          <w:color w:val="auto"/>
        </w:rPr>
      </w:pPr>
    </w:p>
    <w:p>
      <w:pPr>
        <w:jc w:val="both"/>
        <w:ind w:left="160" w:right="139" w:firstLine="639"/>
        <w:spacing w:after="0" w:line="218" w:lineRule="auto"/>
        <w:tabs>
          <w:tab w:leader="none" w:pos="1038"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The Recipient accepts the Restricted Stock subject to all of the terms, provisions and restrictions of this Agreement and the Plan. The undersigned Recipient hereby accepts as binding, conclusive and final all decisions or interpretations of the Board or the Committee upon any questions arising under this Agreement or the Plan.</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Headings</w:t>
      </w:r>
    </w:p>
    <w:p>
      <w:pPr>
        <w:spacing w:after="0" w:line="179" w:lineRule="exact"/>
        <w:rPr>
          <w:sz w:val="20"/>
          <w:szCs w:val="20"/>
          <w:color w:val="auto"/>
        </w:rPr>
      </w:pPr>
    </w:p>
    <w:p>
      <w:pPr>
        <w:jc w:val="both"/>
        <w:ind w:left="160" w:right="139" w:firstLine="639"/>
        <w:spacing w:after="0" w:line="268" w:lineRule="auto"/>
        <w:tabs>
          <w:tab w:leader="none" w:pos="972" w:val="left"/>
        </w:tabs>
        <w:numPr>
          <w:ilvl w:val="0"/>
          <w:numId w:val="36"/>
        </w:numPr>
        <w:rPr>
          <w:rFonts w:ascii="Arial" w:cs="Arial" w:eastAsia="Arial" w:hAnsi="Arial"/>
          <w:sz w:val="19"/>
          <w:szCs w:val="19"/>
          <w:b w:val="1"/>
          <w:bCs w:val="1"/>
          <w:color w:val="auto"/>
        </w:rPr>
      </w:pPr>
      <w:r>
        <w:rPr>
          <w:rFonts w:ascii="Arial" w:cs="Arial" w:eastAsia="Arial" w:hAnsi="Arial"/>
          <w:sz w:val="19"/>
          <w:szCs w:val="19"/>
          <w:color w:val="auto"/>
        </w:rPr>
        <w:t>Section, paragraph and other headings and captions are provided solely as a convenience to facilitate reference. Such headings and captions shall not be deemed in any way material or relevant to the construction, meaning or interpretation of this Agreement or any term or provision hereof.</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Notices</w:t>
      </w:r>
    </w:p>
    <w:p>
      <w:pPr>
        <w:spacing w:after="0" w:line="179" w:lineRule="exact"/>
        <w:rPr>
          <w:sz w:val="20"/>
          <w:szCs w:val="20"/>
          <w:color w:val="auto"/>
        </w:rPr>
      </w:pPr>
    </w:p>
    <w:p>
      <w:pPr>
        <w:jc w:val="both"/>
        <w:ind w:left="160" w:right="139" w:firstLine="639"/>
        <w:spacing w:after="0" w:line="247" w:lineRule="auto"/>
        <w:tabs>
          <w:tab w:leader="none" w:pos="961" w:val="left"/>
        </w:tabs>
        <w:numPr>
          <w:ilvl w:val="0"/>
          <w:numId w:val="37"/>
        </w:numPr>
        <w:rPr>
          <w:rFonts w:ascii="Arial" w:cs="Arial" w:eastAsia="Arial" w:hAnsi="Arial"/>
          <w:sz w:val="19"/>
          <w:szCs w:val="19"/>
          <w:b w:val="1"/>
          <w:bCs w:val="1"/>
          <w:color w:val="auto"/>
        </w:rPr>
      </w:pPr>
      <w:r>
        <w:rPr>
          <w:rFonts w:ascii="Arial" w:cs="Arial" w:eastAsia="Arial" w:hAnsi="Arial"/>
          <w:sz w:val="19"/>
          <w:szCs w:val="19"/>
          <w:color w:val="auto"/>
        </w:rPr>
        <w:t>Any notice under this Agreement shall be in writing and shall be deemed to have been duly given when delivered personally or when deposited in the United States mail, registered, postage prepaid, and addressed, in the case of the Company, to the Company’s General Counsel at 133 South Watersound Parkway, Watersound FL 32461, or if the Company should move its principal office, to such principal office, and, in the case of the Recipient, to the Recipient’s last permanent address as shown on the Company’s records, subject to the right of either party to designate some other address at any time hereafter in a notice satisfying the requirements of this Section.</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Non-Waiver of Breach</w:t>
      </w:r>
    </w:p>
    <w:p>
      <w:pPr>
        <w:spacing w:after="0" w:line="179" w:lineRule="exact"/>
        <w:rPr>
          <w:sz w:val="20"/>
          <w:szCs w:val="20"/>
          <w:color w:val="auto"/>
        </w:rPr>
      </w:pPr>
    </w:p>
    <w:p>
      <w:pPr>
        <w:jc w:val="both"/>
        <w:ind w:left="160" w:right="139" w:firstLine="639"/>
        <w:spacing w:after="0" w:line="223" w:lineRule="auto"/>
        <w:tabs>
          <w:tab w:leader="none" w:pos="990" w:val="left"/>
        </w:tabs>
        <w:numPr>
          <w:ilvl w:val="0"/>
          <w:numId w:val="38"/>
        </w:numPr>
        <w:rPr>
          <w:rFonts w:ascii="Arial" w:cs="Arial" w:eastAsia="Arial" w:hAnsi="Arial"/>
          <w:sz w:val="21"/>
          <w:szCs w:val="21"/>
          <w:b w:val="1"/>
          <w:bCs w:val="1"/>
          <w:color w:val="auto"/>
        </w:rPr>
      </w:pPr>
      <w:r>
        <w:rPr>
          <w:rFonts w:ascii="Arial" w:cs="Arial" w:eastAsia="Arial" w:hAnsi="Arial"/>
          <w:sz w:val="21"/>
          <w:szCs w:val="21"/>
          <w:color w:val="auto"/>
        </w:rPr>
        <w:t>The waiver by any party hereto of the other party’s prompt and complete performance, or breach or 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22"/>
          <w:szCs w:val="22"/>
          <w:b w:val="1"/>
          <w:bCs w:val="1"/>
          <w:i w:val="1"/>
          <w:iCs w:val="1"/>
          <w:color w:val="auto"/>
        </w:rPr>
        <w:t>Counterparts</w:t>
      </w:r>
    </w:p>
    <w:p>
      <w:pPr>
        <w:spacing w:after="0" w:line="179" w:lineRule="exact"/>
        <w:rPr>
          <w:sz w:val="20"/>
          <w:szCs w:val="20"/>
          <w:color w:val="auto"/>
        </w:rPr>
      </w:pPr>
    </w:p>
    <w:p>
      <w:pPr>
        <w:ind w:left="160" w:right="139" w:firstLine="639"/>
        <w:spacing w:after="0" w:line="298" w:lineRule="auto"/>
        <w:tabs>
          <w:tab w:leader="none" w:pos="968" w:val="left"/>
        </w:tabs>
        <w:numPr>
          <w:ilvl w:val="0"/>
          <w:numId w:val="39"/>
        </w:numPr>
        <w:rPr>
          <w:rFonts w:ascii="Arial" w:cs="Arial" w:eastAsia="Arial" w:hAnsi="Arial"/>
          <w:sz w:val="19"/>
          <w:szCs w:val="19"/>
          <w:b w:val="1"/>
          <w:bCs w:val="1"/>
          <w:color w:val="auto"/>
        </w:rPr>
      </w:pPr>
      <w:r>
        <w:rPr>
          <w:rFonts w:ascii="Arial" w:cs="Arial" w:eastAsia="Arial" w:hAnsi="Arial"/>
          <w:sz w:val="19"/>
          <w:szCs w:val="19"/>
          <w:color w:val="auto"/>
        </w:rPr>
        <w:t>This Agreement may be executed in two or more separate counterparts, each of which shall be an original, and all of which together shall constitute one and the same agreement.</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422275</wp:posOffset>
            </wp:positionV>
            <wp:extent cx="554863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tbl>
      <w:tblPr>
        <w:tblLayout w:type="fixed"/>
        <w:tblInd w:w="160" w:type="dxa"/>
        <w:tblCellMar>
          <w:top w:w="0" w:type="dxa"/>
          <w:left w:w="0" w:type="dxa"/>
          <w:bottom w:w="0" w:type="dxa"/>
          <w:right w:w="0" w:type="dxa"/>
        </w:tblCellMar>
      </w:tblPr>
      <w:tr>
        <w:trPr>
          <w:trHeight w:val="253"/>
        </w:trPr>
        <w:tc>
          <w:tcPr>
            <w:tcW w:w="7560" w:type="dxa"/>
            <w:vAlign w:val="bottom"/>
          </w:tcPr>
          <w:p>
            <w:pPr>
              <w:spacing w:after="0"/>
              <w:rPr>
                <w:sz w:val="20"/>
                <w:szCs w:val="20"/>
                <w:color w:val="auto"/>
              </w:rPr>
            </w:pPr>
            <w:r>
              <w:rPr>
                <w:rFonts w:ascii="Arial" w:cs="Arial" w:eastAsia="Arial" w:hAnsi="Arial"/>
                <w:sz w:val="22"/>
                <w:szCs w:val="22"/>
                <w:b w:val="1"/>
                <w:bCs w:val="1"/>
                <w:color w:val="auto"/>
                <w:w w:val="93"/>
              </w:rPr>
              <w:t xml:space="preserve">IN WITNESS WHEREOF, </w:t>
            </w:r>
            <w:r>
              <w:rPr>
                <w:rFonts w:ascii="Arial" w:cs="Arial" w:eastAsia="Arial" w:hAnsi="Arial"/>
                <w:sz w:val="22"/>
                <w:szCs w:val="22"/>
                <w:color w:val="auto"/>
                <w:w w:val="93"/>
              </w:rPr>
              <w:t>the undersigned have executed this Agreement as of the</w:t>
            </w:r>
          </w:p>
        </w:tc>
        <w:tc>
          <w:tcPr>
            <w:tcW w:w="520" w:type="dxa"/>
            <w:vAlign w:val="bottom"/>
            <w:tcBorders>
              <w:bottom w:val="single" w:sz="8" w:color="auto"/>
            </w:tcBorders>
          </w:tcPr>
          <w:p>
            <w:pPr>
              <w:spacing w:after="0"/>
              <w:rPr>
                <w:sz w:val="21"/>
                <w:szCs w:val="21"/>
                <w:color w:val="auto"/>
              </w:rPr>
            </w:pPr>
          </w:p>
        </w:tc>
        <w:tc>
          <w:tcPr>
            <w:tcW w:w="620" w:type="dxa"/>
            <w:vAlign w:val="bottom"/>
          </w:tcPr>
          <w:p>
            <w:pPr>
              <w:ind w:left="60"/>
              <w:spacing w:after="0"/>
              <w:rPr>
                <w:sz w:val="20"/>
                <w:szCs w:val="20"/>
                <w:color w:val="auto"/>
              </w:rPr>
            </w:pPr>
            <w:r>
              <w:rPr>
                <w:rFonts w:ascii="Arial" w:cs="Arial" w:eastAsia="Arial" w:hAnsi="Arial"/>
                <w:sz w:val="22"/>
                <w:szCs w:val="22"/>
                <w:color w:val="auto"/>
                <w:w w:val="90"/>
              </w:rPr>
              <w:t>day of</w:t>
            </w:r>
          </w:p>
        </w:tc>
      </w:tr>
      <w:tr>
        <w:trPr>
          <w:trHeight w:val="255"/>
        </w:trPr>
        <w:tc>
          <w:tcPr>
            <w:tcW w:w="7560" w:type="dxa"/>
            <w:vAlign w:val="bottom"/>
          </w:tcPr>
          <w:p>
            <w:pPr>
              <w:spacing w:after="0"/>
              <w:rPr>
                <w:sz w:val="20"/>
                <w:szCs w:val="20"/>
                <w:color w:val="auto"/>
              </w:rPr>
            </w:pPr>
            <w:r>
              <w:rPr>
                <w:rFonts w:ascii="Arial" w:cs="Arial" w:eastAsia="Arial" w:hAnsi="Arial"/>
                <w:sz w:val="22"/>
                <w:szCs w:val="22"/>
                <w:color w:val="auto"/>
              </w:rPr>
              <w:t>July, 20XX.</w:t>
            </w: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360"/>
        </w:trPr>
        <w:tc>
          <w:tcPr>
            <w:tcW w:w="7560" w:type="dxa"/>
            <w:vAlign w:val="bottom"/>
          </w:tcPr>
          <w:p>
            <w:pPr>
              <w:ind w:left="4520"/>
              <w:spacing w:after="0"/>
              <w:rPr>
                <w:sz w:val="20"/>
                <w:szCs w:val="20"/>
                <w:color w:val="auto"/>
              </w:rPr>
            </w:pPr>
            <w:r>
              <w:rPr>
                <w:rFonts w:ascii="Arial" w:cs="Arial" w:eastAsia="Arial" w:hAnsi="Arial"/>
                <w:sz w:val="22"/>
                <w:szCs w:val="22"/>
                <w:b w:val="1"/>
                <w:bCs w:val="1"/>
                <w:color w:val="auto"/>
              </w:rPr>
              <w:t>COMPANY:</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1"/>
        </w:trPr>
        <w:tc>
          <w:tcPr>
            <w:tcW w:w="7560" w:type="dxa"/>
            <w:vAlign w:val="bottom"/>
          </w:tcPr>
          <w:p>
            <w:pPr>
              <w:ind w:left="4520"/>
              <w:spacing w:after="0"/>
              <w:rPr>
                <w:sz w:val="20"/>
                <w:szCs w:val="20"/>
                <w:color w:val="auto"/>
              </w:rPr>
            </w:pPr>
            <w:r>
              <w:rPr>
                <w:rFonts w:ascii="Arial" w:cs="Arial" w:eastAsia="Arial" w:hAnsi="Arial"/>
                <w:sz w:val="22"/>
                <w:szCs w:val="22"/>
                <w:b w:val="1"/>
                <w:bCs w:val="1"/>
                <w:color w:val="auto"/>
              </w:rPr>
              <w:t>THE ST. JOE COMPANY</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05"/>
        </w:trPr>
        <w:tc>
          <w:tcPr>
            <w:tcW w:w="7560" w:type="dxa"/>
            <w:vAlign w:val="bottom"/>
          </w:tcPr>
          <w:p>
            <w:pPr>
              <w:ind w:left="4520"/>
              <w:spacing w:after="0"/>
              <w:rPr>
                <w:sz w:val="20"/>
                <w:szCs w:val="20"/>
                <w:color w:val="auto"/>
              </w:rPr>
            </w:pPr>
            <w:r>
              <w:rPr>
                <w:rFonts w:ascii="Arial" w:cs="Arial" w:eastAsia="Arial" w:hAnsi="Arial"/>
                <w:sz w:val="22"/>
                <w:szCs w:val="22"/>
                <w:color w:val="auto"/>
              </w:rPr>
              <w:t>By:</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7560" w:type="dxa"/>
            <w:vAlign w:val="bottom"/>
          </w:tcPr>
          <w:p>
            <w:pPr>
              <w:ind w:left="4940"/>
              <w:spacing w:after="0" w:line="217" w:lineRule="exact"/>
              <w:rPr>
                <w:sz w:val="20"/>
                <w:szCs w:val="20"/>
                <w:color w:val="auto"/>
              </w:rPr>
            </w:pPr>
            <w:r>
              <w:rPr>
                <w:rFonts w:ascii="Arial" w:cs="Arial" w:eastAsia="Arial" w:hAnsi="Arial"/>
                <w:sz w:val="22"/>
                <w:szCs w:val="22"/>
                <w:color w:val="auto"/>
              </w:rPr>
              <w:t>Name:</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5"/>
        </w:trPr>
        <w:tc>
          <w:tcPr>
            <w:tcW w:w="7560" w:type="dxa"/>
            <w:vAlign w:val="bottom"/>
          </w:tcPr>
          <w:p>
            <w:pPr>
              <w:ind w:left="4940"/>
              <w:spacing w:after="0"/>
              <w:rPr>
                <w:sz w:val="20"/>
                <w:szCs w:val="20"/>
                <w:color w:val="auto"/>
              </w:rPr>
            </w:pPr>
            <w:r>
              <w:rPr>
                <w:rFonts w:ascii="Arial" w:cs="Arial" w:eastAsia="Arial" w:hAnsi="Arial"/>
                <w:sz w:val="22"/>
                <w:szCs w:val="22"/>
                <w:color w:val="auto"/>
              </w:rPr>
              <w:t>Title:</w:t>
            </w: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432"/>
        </w:trPr>
        <w:tc>
          <w:tcPr>
            <w:tcW w:w="7560" w:type="dxa"/>
            <w:vAlign w:val="bottom"/>
          </w:tcPr>
          <w:p>
            <w:pPr>
              <w:spacing w:after="0"/>
              <w:rPr>
                <w:sz w:val="20"/>
                <w:szCs w:val="20"/>
                <w:color w:val="auto"/>
              </w:rPr>
            </w:pPr>
            <w:r>
              <w:rPr>
                <w:rFonts w:ascii="Arial" w:cs="Arial" w:eastAsia="Arial" w:hAnsi="Arial"/>
                <w:sz w:val="22"/>
                <w:szCs w:val="22"/>
                <w:color w:val="auto"/>
              </w:rPr>
              <w:t>Agreed and Accepted:</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7560" w:type="dxa"/>
            <w:vAlign w:val="bottom"/>
          </w:tcPr>
          <w:p>
            <w:pPr>
              <w:spacing w:after="0"/>
              <w:rPr>
                <w:sz w:val="20"/>
                <w:szCs w:val="20"/>
                <w:color w:val="auto"/>
              </w:rPr>
            </w:pPr>
            <w:r>
              <w:rPr>
                <w:rFonts w:ascii="Arial" w:cs="Arial" w:eastAsia="Arial" w:hAnsi="Arial"/>
                <w:sz w:val="22"/>
                <w:szCs w:val="22"/>
                <w:color w:val="auto"/>
              </w:rPr>
              <w:t>RECIPIENT:</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80"/>
        </w:trPr>
        <w:tc>
          <w:tcPr>
            <w:tcW w:w="7560" w:type="dxa"/>
            <w:vAlign w:val="bottom"/>
          </w:tcPr>
          <w:p>
            <w:pPr>
              <w:spacing w:after="0"/>
              <w:rPr>
                <w:sz w:val="20"/>
                <w:szCs w:val="20"/>
                <w:color w:val="auto"/>
              </w:rPr>
            </w:pPr>
            <w:r>
              <w:rPr>
                <w:rFonts w:ascii="Arial" w:cs="Arial" w:eastAsia="Arial" w:hAnsi="Arial"/>
                <w:sz w:val="22"/>
                <w:szCs w:val="22"/>
                <w:color w:val="auto"/>
              </w:rPr>
              <w:t>Name: XXXX.</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4341495</wp:posOffset>
            </wp:positionV>
            <wp:extent cx="554863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Jorge Gonzalez, certify that:</w:t>
      </w:r>
    </w:p>
    <w:p>
      <w:pPr>
        <w:spacing w:after="0" w:line="185" w:lineRule="exact"/>
        <w:rPr>
          <w:sz w:val="20"/>
          <w:szCs w:val="20"/>
          <w:color w:val="auto"/>
        </w:rPr>
      </w:pPr>
    </w:p>
    <w:p>
      <w:pPr>
        <w:ind w:left="660" w:hanging="657"/>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2019 of The St. Joe Company;</w:t>
      </w:r>
    </w:p>
    <w:p>
      <w:pPr>
        <w:spacing w:after="0" w:line="207" w:lineRule="exact"/>
        <w:rPr>
          <w:rFonts w:ascii="Arial" w:cs="Arial" w:eastAsia="Arial" w:hAnsi="Arial"/>
          <w:sz w:val="16"/>
          <w:szCs w:val="16"/>
          <w:color w:val="auto"/>
        </w:rPr>
      </w:pPr>
    </w:p>
    <w:p>
      <w:pPr>
        <w:ind w:left="660" w:right="380" w:hanging="657"/>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80" w:hanging="657"/>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660" w:right="300" w:hanging="657"/>
        <w:spacing w:after="0" w:line="31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00" w:right="80" w:hanging="649"/>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00" w:hanging="649"/>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300" w:right="40" w:hanging="649"/>
        <w:spacing w:after="0" w:line="259"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60" w:right="60" w:hanging="657"/>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300" w:right="40" w:hanging="649"/>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300" w:right="180" w:hanging="649"/>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Jorge Gonzalez</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Jorge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Marek Bakun, certify that:</w:t>
      </w:r>
    </w:p>
    <w:p>
      <w:pPr>
        <w:spacing w:after="0" w:line="185" w:lineRule="exact"/>
        <w:rPr>
          <w:sz w:val="20"/>
          <w:szCs w:val="20"/>
          <w:color w:val="auto"/>
        </w:rPr>
      </w:pPr>
    </w:p>
    <w:p>
      <w:pPr>
        <w:ind w:left="660" w:hanging="657"/>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2019 of The St. Joe Company;</w:t>
      </w:r>
    </w:p>
    <w:p>
      <w:pPr>
        <w:spacing w:after="0" w:line="207" w:lineRule="exact"/>
        <w:rPr>
          <w:rFonts w:ascii="Arial" w:cs="Arial" w:eastAsia="Arial" w:hAnsi="Arial"/>
          <w:sz w:val="16"/>
          <w:szCs w:val="16"/>
          <w:color w:val="auto"/>
        </w:rPr>
      </w:pPr>
    </w:p>
    <w:p>
      <w:pPr>
        <w:ind w:left="660" w:right="380" w:hanging="657"/>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80" w:hanging="657"/>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left="660" w:right="300" w:hanging="657"/>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1300" w:right="80" w:hanging="649"/>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00" w:right="80" w:hanging="649"/>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00" w:hanging="649"/>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300" w:right="40" w:hanging="649"/>
        <w:spacing w:after="0" w:line="259"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660" w:right="60" w:hanging="657"/>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300" w:right="40" w:hanging="649"/>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300" w:right="180" w:hanging="649"/>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Marek Bakun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Pursuant to 18 USC §1350, the undersigned officer of The St. Joe Company (the “Company”) hereby certifies that the Company’s Quarterly Report on Form 10-Q for the period ended June 30, 2019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Jorge Gonzalez</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Jorge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Pursuant to 18 USC §1350, the undersigned officer of The St. Joe Company (the “Company”) hereby certifies that the Company’s Quarterly Report on Form 10-Q for the period ended June 30, 2019 (the “Report”) fully complies with the requirements of Section 13(a) or 15(d) of the Securities Exchange Act of 1934, as amended, and that the information contained in the Report fairly presents, in all material respects, the financial condition and results of operations of the Company.</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Marek Bakun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lowerLetter"/>
      <w:start w:val="2"/>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lowerRoman"/>
      <w:start w:val="4"/>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lowerLetter"/>
      <w:start w:val="1"/>
    </w:lvl>
    <w:lvl w:ilvl="1">
      <w:lvlJc w:val="left"/>
      <w:lvlText w:val="(%2)"/>
      <w:numFmt w:val="lowerLetter"/>
      <w:start w:val="2"/>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73" Type="http://schemas.openxmlformats.org/officeDocument/2006/relationships/hyperlink" Target="http://www.sec.gov/Archives/edgar/data/745308/000095012310072999/b81443exv3w1.htm" TargetMode="External"/><Relationship Id="rId74" Type="http://schemas.openxmlformats.org/officeDocument/2006/relationships/hyperlink" Target="http://www.sec.gov/Archives/edgar/data/745308/000095012311022239/b85418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2019-12-28T09:58:02Z</dcterms:created>
  <dcterms:modified xsi:type="dcterms:W3CDTF">2019-12-28T09:58:02Z</dcterms:modified>
</cp:coreProperties>
</file>